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14" w:tblpY="-753"/>
        <w:tblW w:w="14342" w:type="dxa"/>
        <w:tblLayout w:type="fixed"/>
        <w:tblLook w:val="04A0" w:firstRow="1" w:lastRow="0" w:firstColumn="1" w:lastColumn="0" w:noHBand="0" w:noVBand="1"/>
      </w:tblPr>
      <w:tblGrid>
        <w:gridCol w:w="2868"/>
        <w:gridCol w:w="2868"/>
        <w:gridCol w:w="2869"/>
        <w:gridCol w:w="2868"/>
        <w:gridCol w:w="2869"/>
      </w:tblGrid>
      <w:tr w:rsidR="00714ABE" w14:paraId="39F28281" w14:textId="77777777" w:rsidTr="00A03561">
        <w:trPr>
          <w:trHeight w:val="550"/>
        </w:trPr>
        <w:tc>
          <w:tcPr>
            <w:tcW w:w="2868" w:type="dxa"/>
          </w:tcPr>
          <w:p w14:paraId="1CC428D3" w14:textId="0078EF01" w:rsidR="00CF37DB" w:rsidRPr="00611ED7" w:rsidRDefault="00CF37DB" w:rsidP="00A53F0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11ED7">
              <w:rPr>
                <w:rFonts w:ascii="Arial" w:hAnsi="Arial" w:cs="Arial"/>
              </w:rPr>
              <w:t>Monday</w:t>
            </w:r>
          </w:p>
        </w:tc>
        <w:tc>
          <w:tcPr>
            <w:tcW w:w="2868" w:type="dxa"/>
          </w:tcPr>
          <w:p w14:paraId="2C5EE3A5" w14:textId="3A75B96D" w:rsidR="00CF37DB" w:rsidRPr="00611ED7" w:rsidRDefault="00CF37DB" w:rsidP="00A53F0B">
            <w:pPr>
              <w:jc w:val="center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Tuesday</w:t>
            </w:r>
          </w:p>
        </w:tc>
        <w:tc>
          <w:tcPr>
            <w:tcW w:w="2869" w:type="dxa"/>
          </w:tcPr>
          <w:p w14:paraId="4F50053C" w14:textId="5157700D" w:rsidR="00CF37DB" w:rsidRPr="00611ED7" w:rsidRDefault="00CF37DB" w:rsidP="00A53F0B">
            <w:pPr>
              <w:jc w:val="center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Wednesday</w:t>
            </w:r>
          </w:p>
        </w:tc>
        <w:tc>
          <w:tcPr>
            <w:tcW w:w="2868" w:type="dxa"/>
          </w:tcPr>
          <w:p w14:paraId="4BE5B5E6" w14:textId="227285C8" w:rsidR="00CF37DB" w:rsidRPr="00611ED7" w:rsidRDefault="00CF37DB" w:rsidP="00A53F0B">
            <w:pPr>
              <w:jc w:val="center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Thursday</w:t>
            </w:r>
          </w:p>
        </w:tc>
        <w:tc>
          <w:tcPr>
            <w:tcW w:w="2869" w:type="dxa"/>
          </w:tcPr>
          <w:p w14:paraId="46800FFF" w14:textId="1E830214" w:rsidR="00CF37DB" w:rsidRPr="00611ED7" w:rsidRDefault="00CF37DB" w:rsidP="00A53F0B">
            <w:pPr>
              <w:jc w:val="center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Friday</w:t>
            </w:r>
          </w:p>
        </w:tc>
      </w:tr>
      <w:tr w:rsidR="00714ABE" w14:paraId="25A93D27" w14:textId="77777777" w:rsidTr="00A03561">
        <w:trPr>
          <w:trHeight w:val="1428"/>
        </w:trPr>
        <w:tc>
          <w:tcPr>
            <w:tcW w:w="2868" w:type="dxa"/>
          </w:tcPr>
          <w:p w14:paraId="7AB01C47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English </w:t>
            </w:r>
          </w:p>
          <w:p w14:paraId="336A1A36" w14:textId="77777777" w:rsidR="005800A6" w:rsidRPr="00611ED7" w:rsidRDefault="005800A6" w:rsidP="00714ABE">
            <w:pPr>
              <w:rPr>
                <w:rFonts w:ascii="Arial" w:hAnsi="Arial" w:cs="Arial"/>
              </w:rPr>
            </w:pPr>
          </w:p>
          <w:p w14:paraId="278552AD" w14:textId="0D3E5A71" w:rsidR="005800A6" w:rsidRPr="00611ED7" w:rsidRDefault="005800A6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Inverted commas work sheet from learning pack.</w:t>
            </w:r>
          </w:p>
        </w:tc>
        <w:tc>
          <w:tcPr>
            <w:tcW w:w="2868" w:type="dxa"/>
          </w:tcPr>
          <w:p w14:paraId="6ECD96EB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English </w:t>
            </w:r>
          </w:p>
          <w:p w14:paraId="55CE5094" w14:textId="77777777" w:rsidR="005800A6" w:rsidRPr="00611ED7" w:rsidRDefault="005800A6" w:rsidP="00714ABE">
            <w:pPr>
              <w:rPr>
                <w:rFonts w:ascii="Arial" w:hAnsi="Arial" w:cs="Arial"/>
              </w:rPr>
            </w:pPr>
          </w:p>
          <w:p w14:paraId="40C17916" w14:textId="21C4EB4E" w:rsidR="005800A6" w:rsidRPr="00611ED7" w:rsidRDefault="005800A6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Question marks worksheet from your learning pack.</w:t>
            </w:r>
          </w:p>
        </w:tc>
        <w:tc>
          <w:tcPr>
            <w:tcW w:w="2869" w:type="dxa"/>
          </w:tcPr>
          <w:p w14:paraId="0F8C0783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English </w:t>
            </w:r>
          </w:p>
          <w:p w14:paraId="1201786B" w14:textId="77777777" w:rsidR="005800A6" w:rsidRPr="00611ED7" w:rsidRDefault="005800A6" w:rsidP="00714ABE">
            <w:pPr>
              <w:rPr>
                <w:rFonts w:ascii="Arial" w:hAnsi="Arial" w:cs="Arial"/>
              </w:rPr>
            </w:pPr>
          </w:p>
          <w:p w14:paraId="594F0A59" w14:textId="5D7566A1" w:rsidR="005800A6" w:rsidRPr="00611ED7" w:rsidRDefault="005800A6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Question marks worksheet from your learning pack</w:t>
            </w:r>
          </w:p>
        </w:tc>
        <w:tc>
          <w:tcPr>
            <w:tcW w:w="2868" w:type="dxa"/>
          </w:tcPr>
          <w:p w14:paraId="1CBD6914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English </w:t>
            </w:r>
          </w:p>
          <w:p w14:paraId="02FE2045" w14:textId="77777777" w:rsidR="005800A6" w:rsidRPr="00611ED7" w:rsidRDefault="005800A6" w:rsidP="00714ABE">
            <w:pPr>
              <w:rPr>
                <w:rFonts w:ascii="Arial" w:hAnsi="Arial" w:cs="Arial"/>
              </w:rPr>
            </w:pPr>
          </w:p>
          <w:p w14:paraId="484CCB81" w14:textId="74442B06" w:rsidR="005800A6" w:rsidRPr="00611ED7" w:rsidRDefault="005800A6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Exclamation mark work sheet from your learning pack</w:t>
            </w:r>
          </w:p>
        </w:tc>
        <w:tc>
          <w:tcPr>
            <w:tcW w:w="2869" w:type="dxa"/>
          </w:tcPr>
          <w:p w14:paraId="31EFAE02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English </w:t>
            </w:r>
          </w:p>
          <w:p w14:paraId="5A029D13" w14:textId="77777777" w:rsidR="005800A6" w:rsidRPr="00611ED7" w:rsidRDefault="005800A6" w:rsidP="00714ABE">
            <w:pPr>
              <w:rPr>
                <w:rFonts w:ascii="Arial" w:hAnsi="Arial" w:cs="Arial"/>
              </w:rPr>
            </w:pPr>
          </w:p>
          <w:p w14:paraId="4527DF2B" w14:textId="03760771" w:rsidR="005800A6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Exclamation mark work sheet from your learning pack</w:t>
            </w:r>
          </w:p>
        </w:tc>
      </w:tr>
      <w:tr w:rsidR="00714ABE" w14:paraId="24B02E17" w14:textId="77777777" w:rsidTr="00A03561">
        <w:trPr>
          <w:trHeight w:val="2832"/>
        </w:trPr>
        <w:tc>
          <w:tcPr>
            <w:tcW w:w="2868" w:type="dxa"/>
          </w:tcPr>
          <w:p w14:paraId="2E279192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Maths </w:t>
            </w:r>
          </w:p>
          <w:p w14:paraId="7CDA2250" w14:textId="2F55B2BC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Follow this link to do lesson 1</w:t>
            </w:r>
          </w:p>
          <w:p w14:paraId="161DDFCD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28E706C" w14:textId="57634368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To describe the part whole relationship</w:t>
            </w:r>
          </w:p>
          <w:p w14:paraId="2EA8BD61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9A2D5DF" w14:textId="31122EDA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https://classroom.thenational.academy/lessons/to-describe-the-part-whole-relationship</w:t>
            </w:r>
          </w:p>
          <w:p w14:paraId="390F51D2" w14:textId="77777777" w:rsidR="00714ABE" w:rsidRPr="00611ED7" w:rsidRDefault="00714ABE" w:rsidP="00714ABE">
            <w:pPr>
              <w:rPr>
                <w:rFonts w:ascii="Arial" w:hAnsi="Arial" w:cs="Arial"/>
              </w:rPr>
            </w:pPr>
          </w:p>
          <w:p w14:paraId="689BD469" w14:textId="36F39106" w:rsidR="00714ABE" w:rsidRPr="00611ED7" w:rsidRDefault="00714ABE" w:rsidP="00714ABE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14:paraId="5686F6F2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Maths </w:t>
            </w:r>
          </w:p>
          <w:p w14:paraId="4AD8342C" w14:textId="77777777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Follow this link to do lesson 2</w:t>
            </w:r>
          </w:p>
          <w:p w14:paraId="04971544" w14:textId="77777777" w:rsidR="00714ABE" w:rsidRPr="00611ED7" w:rsidRDefault="00714ABE" w:rsidP="00714ABE">
            <w:pPr>
              <w:rPr>
                <w:rFonts w:ascii="Arial" w:hAnsi="Arial" w:cs="Arial"/>
              </w:rPr>
            </w:pPr>
          </w:p>
          <w:p w14:paraId="50D493A4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To recognise parts that are equal and parts that are unequal</w:t>
            </w:r>
          </w:p>
          <w:p w14:paraId="199FA690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D30B8C8" w14:textId="219C3CD6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https://classroom.thenational.academy/lessons/to-recognise-parts-that-are-equal-and-parts-that-are-unequal </w:t>
            </w:r>
          </w:p>
        </w:tc>
        <w:tc>
          <w:tcPr>
            <w:tcW w:w="2869" w:type="dxa"/>
          </w:tcPr>
          <w:p w14:paraId="6A1F2DDC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Maths </w:t>
            </w:r>
          </w:p>
          <w:p w14:paraId="75000402" w14:textId="77777777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Follow this link to do lesson 3</w:t>
            </w:r>
          </w:p>
          <w:p w14:paraId="44249D8E" w14:textId="77777777" w:rsidR="00714ABE" w:rsidRPr="00611ED7" w:rsidRDefault="00714ABE" w:rsidP="00714ABE">
            <w:pPr>
              <w:rPr>
                <w:rFonts w:ascii="Arial" w:hAnsi="Arial" w:cs="Arial"/>
              </w:rPr>
            </w:pPr>
          </w:p>
          <w:p w14:paraId="2ADC32F2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To recognise, identify and describe unit fractions</w:t>
            </w:r>
          </w:p>
          <w:p w14:paraId="49174B93" w14:textId="77777777" w:rsidR="00714ABE" w:rsidRPr="00611ED7" w:rsidRDefault="00714ABE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112D9512" w14:textId="7E2A94F6" w:rsidR="00714ABE" w:rsidRPr="00611ED7" w:rsidRDefault="00A03561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https://classroom.thenational.academy/</w:t>
            </w:r>
            <w:r w:rsidR="00714ABE" w:rsidRPr="00611ED7">
              <w:rPr>
                <w:rFonts w:ascii="Arial" w:hAnsi="Arial" w:cs="Arial"/>
              </w:rPr>
              <w:t>lessons/to-recognise-identify-and-describe-unit-fractions</w:t>
            </w:r>
          </w:p>
        </w:tc>
        <w:tc>
          <w:tcPr>
            <w:tcW w:w="2868" w:type="dxa"/>
          </w:tcPr>
          <w:p w14:paraId="5E24D3AC" w14:textId="77777777" w:rsidR="00714ABE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Maths</w:t>
            </w:r>
          </w:p>
          <w:p w14:paraId="65B9D641" w14:textId="77777777" w:rsidR="00714ABE" w:rsidRPr="00611ED7" w:rsidRDefault="00714ABE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Follow this link to do lesson 4 </w:t>
            </w:r>
          </w:p>
          <w:p w14:paraId="0C6149C0" w14:textId="77777777" w:rsidR="00714ABE" w:rsidRPr="00611ED7" w:rsidRDefault="00714ABE" w:rsidP="00714ABE">
            <w:pPr>
              <w:rPr>
                <w:rFonts w:ascii="Arial" w:hAnsi="Arial" w:cs="Arial"/>
              </w:rPr>
            </w:pPr>
          </w:p>
          <w:p w14:paraId="2FF9B27F" w14:textId="22EB1F08" w:rsidR="00CF37DB" w:rsidRPr="00611ED7" w:rsidRDefault="00A03561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To find unit fractions of a given quantity</w:t>
            </w:r>
          </w:p>
          <w:p w14:paraId="7F622CFE" w14:textId="77777777" w:rsidR="00A03561" w:rsidRPr="00611ED7" w:rsidRDefault="00A03561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1CBC80CC" w14:textId="30B8541A" w:rsidR="00A03561" w:rsidRPr="00611ED7" w:rsidRDefault="00A03561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https://classroom.thenational.academy/lessons/to-find-unit-fractions-of-a-given-quantity</w:t>
            </w:r>
          </w:p>
        </w:tc>
        <w:tc>
          <w:tcPr>
            <w:tcW w:w="2869" w:type="dxa"/>
          </w:tcPr>
          <w:p w14:paraId="4744954A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Maths </w:t>
            </w:r>
          </w:p>
          <w:p w14:paraId="5758FF1B" w14:textId="77777777" w:rsidR="00A03561" w:rsidRPr="00611ED7" w:rsidRDefault="00A03561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Follow this link to do lesson 5</w:t>
            </w:r>
          </w:p>
          <w:p w14:paraId="7CDD14CD" w14:textId="77777777" w:rsidR="00A03561" w:rsidRPr="00611ED7" w:rsidRDefault="00A03561" w:rsidP="00714ABE">
            <w:pPr>
              <w:rPr>
                <w:rFonts w:ascii="Arial" w:hAnsi="Arial" w:cs="Arial"/>
              </w:rPr>
            </w:pPr>
          </w:p>
          <w:p w14:paraId="4A9B53FF" w14:textId="77777777" w:rsidR="00A03561" w:rsidRPr="00611ED7" w:rsidRDefault="00A03561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To find unit fractions of a given quantity</w:t>
            </w:r>
          </w:p>
          <w:p w14:paraId="3FB42491" w14:textId="77777777" w:rsidR="00A03561" w:rsidRPr="00611ED7" w:rsidRDefault="00A03561" w:rsidP="00714AB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06A5E0DD" w14:textId="706FB619" w:rsidR="00A03561" w:rsidRPr="00611ED7" w:rsidRDefault="00A03561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https://classroom.thenational.academy/lessons/to-find-unit-fractions-of-a-given-quantity</w:t>
            </w:r>
          </w:p>
        </w:tc>
      </w:tr>
      <w:tr w:rsidR="00714ABE" w14:paraId="18CC8CB9" w14:textId="77777777" w:rsidTr="00A03561">
        <w:trPr>
          <w:trHeight w:val="2652"/>
        </w:trPr>
        <w:tc>
          <w:tcPr>
            <w:tcW w:w="2868" w:type="dxa"/>
          </w:tcPr>
          <w:p w14:paraId="7414B35A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Geography </w:t>
            </w:r>
          </w:p>
          <w:p w14:paraId="15E4FDDA" w14:textId="72A74726" w:rsidR="00A53F0B" w:rsidRPr="00611ED7" w:rsidRDefault="00A53F0B" w:rsidP="00A53F0B">
            <w:pPr>
              <w:pStyle w:val="TableParagraph"/>
              <w:spacing w:before="110"/>
              <w:ind w:right="212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Decide a country you would like to visit. Find out ten facts about this country including the capital,</w:t>
            </w:r>
            <w:r w:rsidR="00611ED7">
              <w:rPr>
                <w:rFonts w:ascii="Arial" w:hAnsi="Arial" w:cs="Arial"/>
              </w:rPr>
              <w:t xml:space="preserve"> </w:t>
            </w:r>
            <w:r w:rsidRPr="00611ED7">
              <w:rPr>
                <w:rFonts w:ascii="Arial" w:hAnsi="Arial" w:cs="Arial"/>
              </w:rPr>
              <w:t xml:space="preserve">language spoken, unit of currency, which continent </w:t>
            </w:r>
            <w:r w:rsidR="00611ED7" w:rsidRPr="00611ED7">
              <w:rPr>
                <w:rFonts w:ascii="Arial" w:hAnsi="Arial" w:cs="Arial"/>
              </w:rPr>
              <w:t>it is</w:t>
            </w:r>
            <w:r w:rsidRPr="00611ED7">
              <w:rPr>
                <w:rFonts w:ascii="Arial" w:hAnsi="Arial" w:cs="Arial"/>
              </w:rPr>
              <w:t xml:space="preserve"> part of and the size of the</w:t>
            </w:r>
            <w:r w:rsidRPr="00611ED7">
              <w:rPr>
                <w:rFonts w:ascii="Arial" w:hAnsi="Arial" w:cs="Arial"/>
                <w:spacing w:val="-10"/>
              </w:rPr>
              <w:t xml:space="preserve"> </w:t>
            </w:r>
            <w:r w:rsidRPr="00611ED7">
              <w:rPr>
                <w:rFonts w:ascii="Arial" w:hAnsi="Arial" w:cs="Arial"/>
              </w:rPr>
              <w:t>population.</w:t>
            </w:r>
          </w:p>
        </w:tc>
        <w:tc>
          <w:tcPr>
            <w:tcW w:w="2868" w:type="dxa"/>
          </w:tcPr>
          <w:p w14:paraId="6E007B74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Science </w:t>
            </w:r>
          </w:p>
          <w:p w14:paraId="7352ABFF" w14:textId="79E9FCE3" w:rsidR="00611ED7" w:rsidRPr="00611ED7" w:rsidRDefault="00611ED7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  <w:b/>
                <w:bCs/>
                <w:shd w:val="clear" w:color="auto" w:fill="FFFFFF"/>
              </w:rPr>
              <w:t>Plants: What conditions could we change to investigate the growth of a plant?</w:t>
            </w:r>
          </w:p>
          <w:p w14:paraId="2B23DDAF" w14:textId="77777777" w:rsidR="00611ED7" w:rsidRPr="00611ED7" w:rsidRDefault="00611ED7" w:rsidP="00714ABE">
            <w:pPr>
              <w:rPr>
                <w:rFonts w:ascii="Arial" w:hAnsi="Arial" w:cs="Arial"/>
              </w:rPr>
            </w:pPr>
          </w:p>
          <w:p w14:paraId="0CEB5157" w14:textId="14610F34" w:rsidR="00611ED7" w:rsidRPr="00611ED7" w:rsidRDefault="00611ED7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https://classroom.thenational.academy/lessons/plants-what-conditions-could-we-change-to-investigate-the-growth-of-a-pl</w:t>
            </w:r>
          </w:p>
        </w:tc>
        <w:tc>
          <w:tcPr>
            <w:tcW w:w="2869" w:type="dxa"/>
          </w:tcPr>
          <w:p w14:paraId="19BFD1C2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PSHE </w:t>
            </w:r>
          </w:p>
          <w:p w14:paraId="40419B18" w14:textId="77777777" w:rsidR="00611ED7" w:rsidRPr="00611ED7" w:rsidRDefault="00611ED7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Debate </w:t>
            </w:r>
          </w:p>
          <w:p w14:paraId="28C08904" w14:textId="77777777" w:rsidR="00611ED7" w:rsidRPr="00611ED7" w:rsidRDefault="00611ED7" w:rsidP="00611ED7">
            <w:pPr>
              <w:pStyle w:val="TableParagraph"/>
              <w:ind w:right="170"/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Everyone should have a dog</w:t>
            </w:r>
          </w:p>
          <w:p w14:paraId="3A9C3279" w14:textId="7D552602" w:rsidR="00611ED7" w:rsidRPr="00611ED7" w:rsidRDefault="00611ED7" w:rsidP="00611ED7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Come up with five reasons to have a dog and five reasons not to have a dog</w:t>
            </w:r>
          </w:p>
        </w:tc>
        <w:tc>
          <w:tcPr>
            <w:tcW w:w="2868" w:type="dxa"/>
          </w:tcPr>
          <w:p w14:paraId="03244650" w14:textId="77777777" w:rsidR="00CF37DB" w:rsidRPr="00611ED7" w:rsidRDefault="00611ED7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Music </w:t>
            </w:r>
          </w:p>
          <w:p w14:paraId="15492AD2" w14:textId="3135F39C" w:rsidR="00611ED7" w:rsidRPr="00611ED7" w:rsidRDefault="00611ED7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Create your own </w:t>
            </w:r>
            <w:proofErr w:type="spellStart"/>
            <w:r w:rsidRPr="00611ED7">
              <w:rPr>
                <w:rFonts w:ascii="Arial" w:hAnsi="Arial" w:cs="Arial"/>
              </w:rPr>
              <w:t>TicTok</w:t>
            </w:r>
            <w:proofErr w:type="spellEnd"/>
            <w:r w:rsidRPr="00611ED7">
              <w:rPr>
                <w:rFonts w:ascii="Arial" w:hAnsi="Arial" w:cs="Arial"/>
              </w:rPr>
              <w:t xml:space="preserve"> style video. Could include other members of your family!</w:t>
            </w:r>
          </w:p>
        </w:tc>
        <w:tc>
          <w:tcPr>
            <w:tcW w:w="2869" w:type="dxa"/>
          </w:tcPr>
          <w:p w14:paraId="2D502F74" w14:textId="77777777" w:rsidR="00CF37DB" w:rsidRPr="00611ED7" w:rsidRDefault="00CF37D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Art </w:t>
            </w:r>
          </w:p>
          <w:p w14:paraId="44A13E04" w14:textId="5F10DC49" w:rsidR="00A53F0B" w:rsidRPr="00611ED7" w:rsidRDefault="00A53F0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 xml:space="preserve">Draw or paint a picture of a piece of fruit – it could be the whole fruit or part of it. Use this video to help you </w:t>
            </w:r>
          </w:p>
          <w:p w14:paraId="201E64E2" w14:textId="77777777" w:rsidR="00A53F0B" w:rsidRPr="00611ED7" w:rsidRDefault="00A53F0B" w:rsidP="00714ABE">
            <w:pPr>
              <w:rPr>
                <w:rFonts w:ascii="Arial" w:hAnsi="Arial" w:cs="Arial"/>
              </w:rPr>
            </w:pPr>
          </w:p>
          <w:p w14:paraId="32FC6C1E" w14:textId="37C8A23E" w:rsidR="00A53F0B" w:rsidRPr="00611ED7" w:rsidRDefault="00A53F0B" w:rsidP="00714ABE">
            <w:pPr>
              <w:rPr>
                <w:rFonts w:ascii="Arial" w:hAnsi="Arial" w:cs="Arial"/>
              </w:rPr>
            </w:pPr>
            <w:r w:rsidRPr="00611ED7">
              <w:rPr>
                <w:rFonts w:ascii="Arial" w:hAnsi="Arial" w:cs="Arial"/>
              </w:rPr>
              <w:t>https://www.youtube.com/watch?v=-WR-FyUQc6I</w:t>
            </w:r>
          </w:p>
        </w:tc>
      </w:tr>
    </w:tbl>
    <w:p w14:paraId="2B23DC04" w14:textId="77777777" w:rsidR="00ED440C" w:rsidRDefault="00CD7F50"/>
    <w:sectPr w:rsidR="00ED440C" w:rsidSect="00CF3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DB"/>
    <w:rsid w:val="005800A6"/>
    <w:rsid w:val="00611ED7"/>
    <w:rsid w:val="00714ABE"/>
    <w:rsid w:val="00843049"/>
    <w:rsid w:val="00A03561"/>
    <w:rsid w:val="00A53F0B"/>
    <w:rsid w:val="00C322F3"/>
    <w:rsid w:val="00CD7F50"/>
    <w:rsid w:val="00C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832"/>
  <w15:chartTrackingRefBased/>
  <w15:docId w15:val="{7CCB2140-2294-45CD-B224-3FE7A67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ABE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53F0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LaptopRemote1@outlook.com</dc:creator>
  <cp:keywords/>
  <dc:description/>
  <cp:lastModifiedBy>Holy Trinity CE Primary School Office</cp:lastModifiedBy>
  <cp:revision>2</cp:revision>
  <dcterms:created xsi:type="dcterms:W3CDTF">2020-06-15T07:56:00Z</dcterms:created>
  <dcterms:modified xsi:type="dcterms:W3CDTF">2020-06-15T07:56:00Z</dcterms:modified>
</cp:coreProperties>
</file>