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51CE16" w14:textId="0ACDE163" w:rsidR="00044F2B" w:rsidRPr="00C0624F" w:rsidRDefault="00A07BF0" w:rsidP="00F97F09">
      <w:pPr>
        <w:pStyle w:val="Article1"/>
      </w:pPr>
      <w:r>
        <mc:AlternateContent>
          <mc:Choice Requires="wps">
            <w:drawing>
              <wp:anchor distT="45720" distB="45720" distL="114300" distR="114300" simplePos="0" relativeHeight="251669504" behindDoc="0" locked="0" layoutInCell="1" allowOverlap="1" wp14:anchorId="3D89A460" wp14:editId="29519560">
                <wp:simplePos x="0" y="0"/>
                <wp:positionH relativeFrom="column">
                  <wp:posOffset>5366385</wp:posOffset>
                </wp:positionH>
                <wp:positionV relativeFrom="paragraph">
                  <wp:posOffset>0</wp:posOffset>
                </wp:positionV>
                <wp:extent cx="1764665" cy="5325110"/>
                <wp:effectExtent l="0" t="0" r="698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325110"/>
                        </a:xfrm>
                        <a:prstGeom prst="rect">
                          <a:avLst/>
                        </a:prstGeom>
                        <a:noFill/>
                        <a:ln w="9525">
                          <a:noFill/>
                          <a:miter lim="800000"/>
                          <a:headEnd/>
                          <a:tailEnd/>
                        </a:ln>
                      </wps:spPr>
                      <wps:txbx>
                        <w:txbxContent>
                          <w:p w14:paraId="0B296BE4" w14:textId="77777777" w:rsidR="00730F8D" w:rsidRPr="008D08A1" w:rsidRDefault="003846ED" w:rsidP="00730F8D">
                            <w:pPr>
                              <w:pStyle w:val="BasicCopy"/>
                            </w:pPr>
                            <w:r>
                              <w:t>relatedness is presumed for events or exposures in the work environment.</w:t>
                            </w:r>
                          </w:p>
                          <w:p w14:paraId="4F1CBE6D" w14:textId="77777777" w:rsidR="00FE21E7" w:rsidRDefault="003846ED" w:rsidP="00730F8D">
                            <w:pPr>
                              <w:pStyle w:val="BasicCopy"/>
                            </w:pPr>
                            <w:r w:rsidRPr="00730F8D">
                              <w:t>Unfortunately, because the coronavirus is so widespread, determining whether an empl</w:t>
                            </w:r>
                            <w:r w:rsidRPr="00730F8D">
                              <w:t>oyee’s illness is work-related can be difficult and should be evaluated on a case-by-case basis</w:t>
                            </w:r>
                            <w:r>
                              <w:t>.</w:t>
                            </w:r>
                          </w:p>
                          <w:p w14:paraId="1CC24912" w14:textId="77777777" w:rsidR="00730F8D" w:rsidRDefault="003846ED" w:rsidP="00730F8D">
                            <w:pPr>
                              <w:pStyle w:val="BasicCopy"/>
                            </w:pPr>
                            <w:r>
                              <w:t xml:space="preserve">Employers should ask </w:t>
                            </w:r>
                            <w:r w:rsidR="00D76277">
                              <w:t>probing questions to reveal the potential exposure of COVID-19 in their workplaces. Employers should consult with legal counsel if they are concerned about what kinds of questions they may ask.</w:t>
                            </w:r>
                          </w:p>
                          <w:p w14:paraId="6479F979" w14:textId="77777777" w:rsidR="00D76277" w:rsidRDefault="003846ED" w:rsidP="00730F8D">
                            <w:pPr>
                              <w:pStyle w:val="BasicCopy"/>
                            </w:pPr>
                            <w:r>
                              <w:t xml:space="preserve">After conducting a review, employers will need to record the incident and report it to OSHA. </w:t>
                            </w:r>
                          </w:p>
                          <w:p w14:paraId="4B21DBE9" w14:textId="2EEB9EB8" w:rsidR="00FE21E7" w:rsidRDefault="003846ED" w:rsidP="00A07BF0">
                            <w:pPr>
                              <w:pStyle w:val="BasicCopy"/>
                            </w:pPr>
                            <w:r>
                              <w:t>Speak with us for more information related to this process.</w:t>
                            </w:r>
                          </w:p>
                          <w:p w14:paraId="2C707BDA" w14:textId="77777777" w:rsidR="00A07BF0" w:rsidRDefault="00A07BF0" w:rsidP="00A07BF0">
                            <w:pPr>
                              <w:pStyle w:val="BasicCopy"/>
                              <w:spacing w:after="0"/>
                            </w:pPr>
                            <w:r>
                              <w:t xml:space="preserve">Call or email </w:t>
                            </w:r>
                          </w:p>
                          <w:p w14:paraId="2034BB02" w14:textId="38DA3B55" w:rsidR="00A07BF0" w:rsidRDefault="00A07BF0" w:rsidP="00A07BF0">
                            <w:pPr>
                              <w:pStyle w:val="BasicCopy"/>
                              <w:spacing w:after="0"/>
                            </w:pPr>
                            <w:hyperlink r:id="rId8" w:history="1">
                              <w:r w:rsidRPr="00A07BF0">
                                <w:rPr>
                                  <w:rStyle w:val="Hyperlink"/>
                                  <w:b/>
                                  <w:bCs/>
                                </w:rPr>
                                <w:t>Compliance &amp; Safety First</w:t>
                              </w:r>
                            </w:hyperlink>
                            <w:r>
                              <w:t xml:space="preserve"> at </w:t>
                            </w:r>
                          </w:p>
                          <w:p w14:paraId="6F66A16E" w14:textId="062185D6" w:rsidR="00A07BF0" w:rsidRDefault="00A07BF0" w:rsidP="00A07BF0">
                            <w:pPr>
                              <w:pStyle w:val="BasicCopy"/>
                              <w:spacing w:after="0"/>
                            </w:pPr>
                            <w:r w:rsidRPr="00A07BF0">
                              <w:rPr>
                                <w:b/>
                                <w:bCs/>
                                <w:color w:val="FF0000"/>
                              </w:rPr>
                              <w:t>909-481-7222</w:t>
                            </w:r>
                            <w:r w:rsidRPr="00A07BF0">
                              <w:rPr>
                                <w:color w:val="FF0000"/>
                              </w:rPr>
                              <w:t xml:space="preserve"> </w:t>
                            </w:r>
                            <w:r>
                              <w:t xml:space="preserve">or </w:t>
                            </w:r>
                          </w:p>
                          <w:p w14:paraId="4F1824FA" w14:textId="4CE05CB7" w:rsidR="00A07BF0" w:rsidRDefault="00A07BF0" w:rsidP="00A07BF0">
                            <w:pPr>
                              <w:pStyle w:val="BasicCopy"/>
                              <w:spacing w:after="0"/>
                            </w:pPr>
                            <w:r>
                              <w:t xml:space="preserve">Email us at: </w:t>
                            </w:r>
                            <w:hyperlink r:id="rId9" w:history="1">
                              <w:r w:rsidRPr="00A07BF0">
                                <w:rPr>
                                  <w:rStyle w:val="Hyperlink"/>
                                  <w:b/>
                                  <w:bCs/>
                                </w:rPr>
                                <w:t>GSalter@delaneyins.com</w:t>
                              </w:r>
                            </w:hyperlink>
                            <w:r>
                              <w:t xml:space="preserve">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type w14:anchorId="3D89A460" id="_x0000_t202" coordsize="21600,21600" o:spt="202" path="m,l,21600r21600,l21600,xe">
                <v:stroke joinstyle="miter"/>
                <v:path gradientshapeok="t" o:connecttype="rect"/>
              </v:shapetype>
              <v:shape id="Text Box 2" o:spid="_x0000_s1026" type="#_x0000_t202" style="position:absolute;margin-left:422.55pt;margin-top:0;width:138.95pt;height:419.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" filled="f" stroked="f">
                <v:textbox inset="0,,0">
                  <w:txbxContent>
                    <w:p w14:paraId="0B296BE4" w14:textId="77777777" w:rsidR="00730F8D" w:rsidRPr="008D08A1" w:rsidRDefault="003846ED" w:rsidP="00730F8D">
                      <w:pPr>
                        <w:pStyle w:val="BasicCopy"/>
                      </w:pPr>
                      <w:r>
                        <w:t>relatedness is presumed for events or exposures in the work environment.</w:t>
                      </w:r>
                    </w:p>
                    <w:p w14:paraId="4F1CBE6D" w14:textId="77777777" w:rsidR="00FE21E7" w:rsidRDefault="003846ED" w:rsidP="00730F8D">
                      <w:pPr>
                        <w:pStyle w:val="BasicCopy"/>
                      </w:pPr>
                      <w:r w:rsidRPr="00730F8D">
                        <w:t>Unfortunately, because the coronavirus is so widespread, determining whether an empl</w:t>
                      </w:r>
                      <w:r w:rsidRPr="00730F8D">
                        <w:t>oyee’s illness is work-related can be difficult and should be evaluated on a case-by-case basis</w:t>
                      </w:r>
                      <w:r>
                        <w:t>.</w:t>
                      </w:r>
                    </w:p>
                    <w:p w14:paraId="1CC24912" w14:textId="77777777" w:rsidR="00730F8D" w:rsidRDefault="003846ED" w:rsidP="00730F8D">
                      <w:pPr>
                        <w:pStyle w:val="BasicCopy"/>
                      </w:pPr>
                      <w:r>
                        <w:t xml:space="preserve">Employers should ask </w:t>
                      </w:r>
                      <w:r w:rsidR="00D76277">
                        <w:t>probing questions to reveal the potential exposure of COVID-19 in their workplaces. Employers should consult with legal counsel if they are concerned about what kinds of questions they may ask.</w:t>
                      </w:r>
                    </w:p>
                    <w:p w14:paraId="6479F979" w14:textId="77777777" w:rsidR="00D76277" w:rsidRDefault="003846ED" w:rsidP="00730F8D">
                      <w:pPr>
                        <w:pStyle w:val="BasicCopy"/>
                      </w:pPr>
                      <w:r>
                        <w:t xml:space="preserve">After conducting a review, employers will need to record the incident and report it to OSHA. </w:t>
                      </w:r>
                    </w:p>
                    <w:p w14:paraId="4B21DBE9" w14:textId="2EEB9EB8" w:rsidR="00FE21E7" w:rsidRDefault="003846ED" w:rsidP="00A07BF0">
                      <w:pPr>
                        <w:pStyle w:val="BasicCopy"/>
                      </w:pPr>
                      <w:r>
                        <w:t>Speak with us for more information related to this process.</w:t>
                      </w:r>
                    </w:p>
                    <w:p w14:paraId="2C707BDA" w14:textId="77777777" w:rsidR="00A07BF0" w:rsidRDefault="00A07BF0" w:rsidP="00A07BF0">
                      <w:pPr>
                        <w:pStyle w:val="BasicCopy"/>
                        <w:spacing w:after="0"/>
                      </w:pPr>
                      <w:r>
                        <w:t xml:space="preserve">Call or email </w:t>
                      </w:r>
                    </w:p>
                    <w:p w14:paraId="2034BB02" w14:textId="38DA3B55" w:rsidR="00A07BF0" w:rsidRDefault="00A07BF0" w:rsidP="00A07BF0">
                      <w:pPr>
                        <w:pStyle w:val="BasicCopy"/>
                        <w:spacing w:after="0"/>
                      </w:pPr>
                      <w:hyperlink r:id="rId10" w:history="1">
                        <w:r w:rsidRPr="00A07BF0">
                          <w:rPr>
                            <w:rStyle w:val="Hyperlink"/>
                            <w:b/>
                            <w:bCs/>
                          </w:rPr>
                          <w:t>Compliance &amp; Safety First</w:t>
                        </w:r>
                      </w:hyperlink>
                      <w:r>
                        <w:t xml:space="preserve"> at </w:t>
                      </w:r>
                    </w:p>
                    <w:p w14:paraId="6F66A16E" w14:textId="062185D6" w:rsidR="00A07BF0" w:rsidRDefault="00A07BF0" w:rsidP="00A07BF0">
                      <w:pPr>
                        <w:pStyle w:val="BasicCopy"/>
                        <w:spacing w:after="0"/>
                      </w:pPr>
                      <w:r w:rsidRPr="00A07BF0">
                        <w:rPr>
                          <w:b/>
                          <w:bCs/>
                          <w:color w:val="FF0000"/>
                        </w:rPr>
                        <w:t>909-481-7222</w:t>
                      </w:r>
                      <w:r w:rsidRPr="00A07BF0">
                        <w:rPr>
                          <w:color w:val="FF0000"/>
                        </w:rPr>
                        <w:t xml:space="preserve"> </w:t>
                      </w:r>
                      <w:r>
                        <w:t xml:space="preserve">or </w:t>
                      </w:r>
                    </w:p>
                    <w:p w14:paraId="4F1824FA" w14:textId="4CE05CB7" w:rsidR="00A07BF0" w:rsidRDefault="00A07BF0" w:rsidP="00A07BF0">
                      <w:pPr>
                        <w:pStyle w:val="BasicCopy"/>
                        <w:spacing w:after="0"/>
                      </w:pPr>
                      <w:r>
                        <w:t xml:space="preserve">Email us at: </w:t>
                      </w:r>
                      <w:hyperlink r:id="rId11" w:history="1">
                        <w:r w:rsidRPr="00A07BF0">
                          <w:rPr>
                            <w:rStyle w:val="Hyperlink"/>
                            <w:b/>
                            <w:bCs/>
                          </w:rPr>
                          <w:t>GSalter@delaneyins.com</w:t>
                        </w:r>
                      </w:hyperlink>
                      <w:r>
                        <w:t xml:space="preserve"> </w:t>
                      </w:r>
                    </w:p>
                  </w:txbxContent>
                </v:textbox>
                <w10:wrap type="square"/>
              </v:shape>
            </w:pict>
          </mc:Fallback>
        </mc:AlternateContent>
      </w:r>
      <w:r w:rsidR="003846ED" w:rsidRPr="00C0624F">
        <w:drawing>
          <wp:anchor distT="0" distB="0" distL="114300" distR="114300" simplePos="0" relativeHeight="251658240" behindDoc="0" locked="1" layoutInCell="1" allowOverlap="1" wp14:anchorId="2E5BCD87" wp14:editId="12E87BFA">
            <wp:simplePos x="0" y="0"/>
            <wp:positionH relativeFrom="margin">
              <wp:posOffset>5270500</wp:posOffset>
            </wp:positionH>
            <wp:positionV relativeFrom="margin">
              <wp:posOffset>5080000</wp:posOffset>
            </wp:positionV>
            <wp:extent cx="1645923" cy="1120142"/>
            <wp:effectExtent l="0" t="0" r="0" b="0"/>
            <wp:wrapNone/>
            <wp:docPr id="100021" name="Picture 100021"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2164" name=""/>
                    <pic:cNvPicPr>
                      <a:picLocks noChangeAspect="1"/>
                    </pic:cNvPicPr>
                  </pic:nvPicPr>
                  <pic:blipFill>
                    <a:blip r:embed="rId12"/>
                    <a:stretch>
                      <a:fillRect/>
                    </a:stretch>
                  </pic:blipFill>
                  <pic:spPr>
                    <a:xfrm>
                      <a:off x="0" y="0"/>
                      <a:ext cx="1645923" cy="1120142"/>
                    </a:xfrm>
                    <a:prstGeom prst="rect">
                      <a:avLst/>
                    </a:prstGeom>
                  </pic:spPr>
                </pic:pic>
              </a:graphicData>
            </a:graphic>
          </wp:anchor>
        </w:drawing>
      </w:r>
      <w:r w:rsidR="003846ED">
        <mc:AlternateContent>
          <mc:Choice Requires="wps">
            <w:drawing>
              <wp:anchor distT="45720" distB="45720" distL="114300" distR="114300" simplePos="0" relativeHeight="251663360" behindDoc="0" locked="0" layoutInCell="1" allowOverlap="1" wp14:anchorId="7BE8E7AE" wp14:editId="310CF174">
                <wp:simplePos x="0" y="0"/>
                <wp:positionH relativeFrom="column">
                  <wp:posOffset>-166370</wp:posOffset>
                </wp:positionH>
                <wp:positionV relativeFrom="paragraph">
                  <wp:posOffset>0</wp:posOffset>
                </wp:positionV>
                <wp:extent cx="1627505" cy="5887720"/>
                <wp:effectExtent l="0" t="0" r="1079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887720"/>
                        </a:xfrm>
                        <a:prstGeom prst="rect">
                          <a:avLst/>
                        </a:prstGeom>
                        <a:noFill/>
                        <a:ln w="9525">
                          <a:noFill/>
                          <a:miter lim="800000"/>
                          <a:headEnd/>
                          <a:tailEnd/>
                        </a:ln>
                      </wps:spPr>
                      <wps:txbx>
                        <w:txbxContent>
                          <w:p w14:paraId="42DA9302" w14:textId="77777777" w:rsidR="00410130" w:rsidRDefault="003846ED" w:rsidP="006608B2">
                            <w:pPr>
                              <w:pStyle w:val="Article1"/>
                            </w:pPr>
                            <w:r>
                              <w:t xml:space="preserve">Preparing for a Second Wave of COVID-19 </w:t>
                            </w:r>
                          </w:p>
                          <w:p w14:paraId="56467CC8" w14:textId="77777777" w:rsidR="006608B2" w:rsidRDefault="003846ED" w:rsidP="006608B2">
                            <w:pPr>
                              <w:pStyle w:val="BasicCopy"/>
                            </w:pPr>
                            <w:r>
                              <w:t>The coronavirus (COVID-19) pandemic is still going on, despite businesses reopening. Moreover, public health officials and experts are warning of a potential second wave of COVID-19 cases.</w:t>
                            </w:r>
                          </w:p>
                          <w:p w14:paraId="692DE250" w14:textId="77777777" w:rsidR="00410130" w:rsidRDefault="003846ED" w:rsidP="006608B2">
                            <w:pPr>
                              <w:pStyle w:val="BasicCopy"/>
                            </w:pPr>
                            <w:r>
                              <w:t xml:space="preserve">Of course, no one </w:t>
                            </w:r>
                            <w:r>
                              <w:t>knows if or when a second wave of infection will strike—or whether it will be as bad as or worse than the first wave. As such, businesses across the country should start planning today to properly prepare for a second wave of COVID-19 cases.</w:t>
                            </w:r>
                          </w:p>
                          <w:p w14:paraId="20501937" w14:textId="77777777" w:rsidR="006608B2" w:rsidRDefault="003846ED" w:rsidP="006608B2">
                            <w:pPr>
                              <w:pStyle w:val="BasicCopy"/>
                            </w:pPr>
                            <w:r>
                              <w:t xml:space="preserve">Here are </w:t>
                            </w:r>
                            <w:r w:rsidR="00FB6220">
                              <w:t>three</w:t>
                            </w:r>
                            <w:r>
                              <w:t xml:space="preserve"> ways organizations can prepare:</w:t>
                            </w:r>
                          </w:p>
                          <w:p w14:paraId="3BE41A03" w14:textId="77777777" w:rsidR="006608B2" w:rsidRDefault="003846ED" w:rsidP="006608B2">
                            <w:pPr>
                              <w:pStyle w:val="BasicCopy"/>
                              <w:spacing w:after="0"/>
                              <w:rPr>
                                <w:b/>
                              </w:rPr>
                            </w:pPr>
                            <w:r>
                              <w:rPr>
                                <w:b/>
                              </w:rPr>
                              <w:t xml:space="preserve">1. </w:t>
                            </w:r>
                            <w:r w:rsidRPr="006608B2">
                              <w:rPr>
                                <w:b/>
                              </w:rPr>
                              <w:t>Review Federal, State and Local Guidance</w:t>
                            </w:r>
                          </w:p>
                          <w:p w14:paraId="38C6C66C" w14:textId="77777777" w:rsidR="006608B2" w:rsidRPr="006608B2" w:rsidRDefault="003846ED" w:rsidP="006608B2">
                            <w:pPr>
                              <w:pStyle w:val="BasicCopy"/>
                            </w:pPr>
                            <w:r>
                              <w:t>B</w:t>
                            </w:r>
                            <w:r w:rsidRPr="006608B2">
                              <w:t>usinesses in one region may be able to remain open, while businesses in other regions may need to close or adjust for a second time. As such, it’s critical to understand and cont</w:t>
                            </w:r>
                            <w:r w:rsidRPr="006608B2">
                              <w:t xml:space="preserve">inually review all relevant state and local orders to determine if your business needs to take action in the </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7BE8E7AE" id="_x0000_s1027" type="#_x0000_t202" style="position:absolute;margin-left:-13.1pt;margin-top:0;width:128.15pt;height:463.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" filled="f" stroked="f">
                <v:textbox inset="0,,0">
                  <w:txbxContent>
                    <w:p w14:paraId="42DA9302" w14:textId="77777777" w:rsidR="00410130" w:rsidRDefault="003846ED" w:rsidP="006608B2">
                      <w:pPr>
                        <w:pStyle w:val="Article1"/>
                      </w:pPr>
                      <w:r>
                        <w:t xml:space="preserve">Preparing for a Second Wave of COVID-19 </w:t>
                      </w:r>
                    </w:p>
                    <w:p w14:paraId="56467CC8" w14:textId="77777777" w:rsidR="006608B2" w:rsidRDefault="003846ED" w:rsidP="006608B2">
                      <w:pPr>
                        <w:pStyle w:val="BasicCopy"/>
                      </w:pPr>
                      <w:r>
                        <w:t>The coronavirus (COVID-19) pandemic is still going on, despite businesses reopening. Moreover, public health officials and experts are warning of a potential second wave of COVID-19 cases.</w:t>
                      </w:r>
                    </w:p>
                    <w:p w14:paraId="692DE250" w14:textId="77777777" w:rsidR="00410130" w:rsidRDefault="003846ED" w:rsidP="006608B2">
                      <w:pPr>
                        <w:pStyle w:val="BasicCopy"/>
                      </w:pPr>
                      <w:r>
                        <w:t xml:space="preserve">Of course, no one </w:t>
                      </w:r>
                      <w:r>
                        <w:t>knows if or when a second wave of infection will strike—or whether it will be as bad as or worse than the first wave. As such, businesses across the country should start planning today to properly prepare for a second wave of COVID-19 cases.</w:t>
                      </w:r>
                    </w:p>
                    <w:p w14:paraId="20501937" w14:textId="77777777" w:rsidR="006608B2" w:rsidRDefault="003846ED" w:rsidP="006608B2">
                      <w:pPr>
                        <w:pStyle w:val="BasicCopy"/>
                      </w:pPr>
                      <w:r>
                        <w:t xml:space="preserve">Here are </w:t>
                      </w:r>
                      <w:r w:rsidR="00FB6220">
                        <w:t>three</w:t>
                      </w:r>
                      <w:r>
                        <w:t xml:space="preserve"> ways organizations can prepare:</w:t>
                      </w:r>
                    </w:p>
                    <w:p w14:paraId="3BE41A03" w14:textId="77777777" w:rsidR="006608B2" w:rsidRDefault="003846ED" w:rsidP="006608B2">
                      <w:pPr>
                        <w:pStyle w:val="BasicCopy"/>
                        <w:spacing w:after="0"/>
                        <w:rPr>
                          <w:b/>
                        </w:rPr>
                      </w:pPr>
                      <w:r>
                        <w:rPr>
                          <w:b/>
                        </w:rPr>
                        <w:t xml:space="preserve">1. </w:t>
                      </w:r>
                      <w:r w:rsidRPr="006608B2">
                        <w:rPr>
                          <w:b/>
                        </w:rPr>
                        <w:t>Review Federal, State and Local Guidance</w:t>
                      </w:r>
                    </w:p>
                    <w:p w14:paraId="38C6C66C" w14:textId="77777777" w:rsidR="006608B2" w:rsidRPr="006608B2" w:rsidRDefault="003846ED" w:rsidP="006608B2">
                      <w:pPr>
                        <w:pStyle w:val="BasicCopy"/>
                      </w:pPr>
                      <w:r>
                        <w:t>B</w:t>
                      </w:r>
                      <w:r w:rsidRPr="006608B2">
                        <w:t>usinesses in one region may be able to remain open, while businesses in other regions may need to close or adjust for a second time. As such, it’s critical to understand and cont</w:t>
                      </w:r>
                      <w:r w:rsidRPr="006608B2">
                        <w:t xml:space="preserve">inually review all relevant state and local orders to determine if your business needs to take action in the </w:t>
                      </w:r>
                    </w:p>
                  </w:txbxContent>
                </v:textbox>
                <w10:wrap type="square"/>
              </v:shape>
            </w:pict>
          </mc:Fallback>
        </mc:AlternateContent>
      </w:r>
      <w:r w:rsidR="00FE21E7">
        <mc:AlternateContent>
          <mc:Choice Requires="wps">
            <w:drawing>
              <wp:anchor distT="45720" distB="45720" distL="114300" distR="114300" simplePos="0" relativeHeight="251667456" behindDoc="0" locked="0" layoutInCell="1" allowOverlap="1" wp14:anchorId="5897B0B4" wp14:editId="0DE1FC5E">
                <wp:simplePos x="0" y="0"/>
                <wp:positionH relativeFrom="column">
                  <wp:posOffset>3565525</wp:posOffset>
                </wp:positionH>
                <wp:positionV relativeFrom="paragraph">
                  <wp:posOffset>0</wp:posOffset>
                </wp:positionV>
                <wp:extent cx="1627505" cy="5887720"/>
                <wp:effectExtent l="0" t="0" r="1079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7505" cy="5887720"/>
                        </a:xfrm>
                        <a:prstGeom prst="rect">
                          <a:avLst/>
                        </a:prstGeom>
                        <a:noFill/>
                        <a:ln w="9525">
                          <a:noFill/>
                          <a:miter lim="800000"/>
                          <a:headEnd/>
                          <a:tailEnd/>
                        </a:ln>
                      </wps:spPr>
                      <wps:txbx>
                        <w:txbxContent>
                          <w:p w14:paraId="51E988CE" w14:textId="77777777" w:rsidR="00730F8D" w:rsidRDefault="003846ED" w:rsidP="00FE21E7">
                            <w:pPr>
                              <w:pStyle w:val="BasicCopy"/>
                              <w:rPr>
                                <w:rFonts w:asciiTheme="minorHAnsi" w:hAnsiTheme="minorHAnsi" w:cstheme="minorHAnsi"/>
                                <w:b/>
                                <w:noProof/>
                                <w:color w:val="000000"/>
                                <w:sz w:val="26"/>
                                <w:szCs w:val="26"/>
                              </w:rPr>
                            </w:pPr>
                            <w:r w:rsidRPr="00730F8D">
                              <w:rPr>
                                <w:rFonts w:asciiTheme="minorHAnsi" w:hAnsiTheme="minorHAnsi" w:cstheme="minorHAnsi"/>
                                <w:b/>
                                <w:noProof/>
                                <w:color w:val="000000"/>
                                <w:sz w:val="26"/>
                                <w:szCs w:val="26"/>
                              </w:rPr>
                              <w:t>Determining Whether a COVID-19 Case Is Work-related</w:t>
                            </w:r>
                          </w:p>
                          <w:p w14:paraId="07323A87" w14:textId="77777777" w:rsidR="00730F8D" w:rsidRDefault="003846ED" w:rsidP="00730F8D">
                            <w:pPr>
                              <w:pStyle w:val="BasicCopy"/>
                            </w:pPr>
                            <w:r w:rsidRPr="00730F8D">
                              <w:t>Even as businesses reopen and employees return to their new normal, the risk of becoming ex</w:t>
                            </w:r>
                            <w:r w:rsidRPr="00730F8D">
                              <w:t>posed to and ill with COVID-19 is still present. When an employee reports they have COVID-19, employers are faced with the difficult task of determining whether the employee’s illness is work-related.</w:t>
                            </w:r>
                          </w:p>
                          <w:p w14:paraId="2CFC11E7" w14:textId="77777777" w:rsidR="00730F8D" w:rsidRDefault="003846ED" w:rsidP="00730F8D">
                            <w:pPr>
                              <w:pStyle w:val="BasicCopy"/>
                            </w:pPr>
                            <w:r w:rsidRPr="00730F8D">
                              <w:t>As is the case with all inherently legal issues, employ</w:t>
                            </w:r>
                            <w:r w:rsidRPr="00730F8D">
                              <w:t xml:space="preserve">ers are strongly recommended to seek the guidance of legal counsel when faced with </w:t>
                            </w:r>
                            <w:r>
                              <w:t>these sorts of situations.</w:t>
                            </w:r>
                          </w:p>
                          <w:p w14:paraId="5D47A1FC" w14:textId="77777777" w:rsidR="00730F8D" w:rsidRPr="00730F8D" w:rsidRDefault="003846ED" w:rsidP="00730F8D">
                            <w:pPr>
                              <w:pStyle w:val="BasicCopy"/>
                              <w:spacing w:after="0"/>
                              <w:rPr>
                                <w:b/>
                              </w:rPr>
                            </w:pPr>
                            <w:r w:rsidRPr="00730F8D">
                              <w:rPr>
                                <w:b/>
                              </w:rPr>
                              <w:t>OSHA Guidance on Work-relatedness</w:t>
                            </w:r>
                          </w:p>
                          <w:p w14:paraId="201E1CF0" w14:textId="77777777" w:rsidR="00730F8D" w:rsidRPr="008D08A1" w:rsidRDefault="003846ED" w:rsidP="00730F8D">
                            <w:pPr>
                              <w:pStyle w:val="BasicCopy"/>
                            </w:pPr>
                            <w:r>
                              <w:t>An injury or illness is work-related if an event or exposure in the work environment either caused or contribute</w:t>
                            </w:r>
                            <w:r>
                              <w:t>d to the resulting condition or significantly aggravated a preexisting injury or illness. Work-</w:t>
                            </w:r>
                            <w:bookmarkStart w:id="0" w:name="_GoBack"/>
                            <w:bookmarkEnd w:id="0"/>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5897B0B4" id="_x0000_s1028" type="#_x0000_t202" style="position:absolute;margin-left:280.75pt;margin-top:0;width:128.15pt;height:463.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" filled="f" stroked="f">
                <v:textbox inset="0,,0">
                  <w:txbxContent>
                    <w:p w14:paraId="51E988CE" w14:textId="77777777" w:rsidR="00730F8D" w:rsidRDefault="003846ED" w:rsidP="00FE21E7">
                      <w:pPr>
                        <w:pStyle w:val="BasicCopy"/>
                        <w:rPr>
                          <w:rFonts w:asciiTheme="minorHAnsi" w:hAnsiTheme="minorHAnsi" w:cstheme="minorHAnsi"/>
                          <w:b/>
                          <w:noProof/>
                          <w:color w:val="000000"/>
                          <w:sz w:val="26"/>
                          <w:szCs w:val="26"/>
                        </w:rPr>
                      </w:pPr>
                      <w:r w:rsidRPr="00730F8D">
                        <w:rPr>
                          <w:rFonts w:asciiTheme="minorHAnsi" w:hAnsiTheme="minorHAnsi" w:cstheme="minorHAnsi"/>
                          <w:b/>
                          <w:noProof/>
                          <w:color w:val="000000"/>
                          <w:sz w:val="26"/>
                          <w:szCs w:val="26"/>
                        </w:rPr>
                        <w:t>Determining Whether a COVID-19 Case Is Work-related</w:t>
                      </w:r>
                    </w:p>
                    <w:p w14:paraId="07323A87" w14:textId="77777777" w:rsidR="00730F8D" w:rsidRDefault="003846ED" w:rsidP="00730F8D">
                      <w:pPr>
                        <w:pStyle w:val="BasicCopy"/>
                      </w:pPr>
                      <w:r w:rsidRPr="00730F8D">
                        <w:t>Even as businesses reopen and employees return to their new normal, the risk of becoming ex</w:t>
                      </w:r>
                      <w:r w:rsidRPr="00730F8D">
                        <w:t>posed to and ill with COVID-19 is still present. When an employee reports they have COVID-19, employers are faced with the difficult task of determining whether the employee’s illness is work-related.</w:t>
                      </w:r>
                    </w:p>
                    <w:p w14:paraId="2CFC11E7" w14:textId="77777777" w:rsidR="00730F8D" w:rsidRDefault="003846ED" w:rsidP="00730F8D">
                      <w:pPr>
                        <w:pStyle w:val="BasicCopy"/>
                      </w:pPr>
                      <w:r w:rsidRPr="00730F8D">
                        <w:t>As is the case with all inherently legal issues, employ</w:t>
                      </w:r>
                      <w:r w:rsidRPr="00730F8D">
                        <w:t xml:space="preserve">ers are strongly recommended to seek the guidance of legal counsel when faced with </w:t>
                      </w:r>
                      <w:r>
                        <w:t>these sorts of situations.</w:t>
                      </w:r>
                    </w:p>
                    <w:p w14:paraId="5D47A1FC" w14:textId="77777777" w:rsidR="00730F8D" w:rsidRPr="00730F8D" w:rsidRDefault="003846ED" w:rsidP="00730F8D">
                      <w:pPr>
                        <w:pStyle w:val="BasicCopy"/>
                        <w:spacing w:after="0"/>
                        <w:rPr>
                          <w:b/>
                        </w:rPr>
                      </w:pPr>
                      <w:r w:rsidRPr="00730F8D">
                        <w:rPr>
                          <w:b/>
                        </w:rPr>
                        <w:t>OSHA Guidance on Work-relatedness</w:t>
                      </w:r>
                    </w:p>
                    <w:p w14:paraId="201E1CF0" w14:textId="77777777" w:rsidR="00730F8D" w:rsidRPr="008D08A1" w:rsidRDefault="003846ED" w:rsidP="00730F8D">
                      <w:pPr>
                        <w:pStyle w:val="BasicCopy"/>
                      </w:pPr>
                      <w:r>
                        <w:t>An injury or illness is work-related if an event or exposure in the work environment either caused or contribute</w:t>
                      </w:r>
                      <w:r>
                        <w:t>d to the resulting condition or significantly aggravated a preexisting injury or illness. Work-</w:t>
                      </w:r>
                      <w:bookmarkStart w:id="1" w:name="_GoBack"/>
                      <w:bookmarkEnd w:id="1"/>
                    </w:p>
                  </w:txbxContent>
                </v:textbox>
                <w10:wrap type="square"/>
              </v:shape>
            </w:pict>
          </mc:Fallback>
        </mc:AlternateContent>
      </w:r>
      <w:r w:rsidR="008D4445">
        <mc:AlternateContent>
          <mc:Choice Requires="wps">
            <w:drawing>
              <wp:anchor distT="45720" distB="45720" distL="114300" distR="114300" simplePos="0" relativeHeight="251666432" behindDoc="0" locked="0" layoutInCell="1" allowOverlap="1" wp14:anchorId="476BCD10" wp14:editId="0DA6ABB1">
                <wp:simplePos x="0" y="0"/>
                <wp:positionH relativeFrom="column">
                  <wp:posOffset>1612760</wp:posOffset>
                </wp:positionH>
                <wp:positionV relativeFrom="paragraph">
                  <wp:posOffset>440</wp:posOffset>
                </wp:positionV>
                <wp:extent cx="1764665" cy="5325626"/>
                <wp:effectExtent l="0" t="0" r="698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325626"/>
                        </a:xfrm>
                        <a:prstGeom prst="rect">
                          <a:avLst/>
                        </a:prstGeom>
                        <a:noFill/>
                        <a:ln w="9525">
                          <a:noFill/>
                          <a:miter lim="800000"/>
                          <a:headEnd/>
                          <a:tailEnd/>
                        </a:ln>
                      </wps:spPr>
                      <wps:txbx>
                        <w:txbxContent>
                          <w:p w14:paraId="772E272D" w14:textId="77777777" w:rsidR="006608B2" w:rsidRDefault="003846ED" w:rsidP="006608B2">
                            <w:pPr>
                              <w:pStyle w:val="BasicCopy"/>
                            </w:pPr>
                            <w:r w:rsidRPr="006608B2">
                              <w:t xml:space="preserve">face of a second wave of COVID-19 </w:t>
                            </w:r>
                            <w:r w:rsidRPr="006608B2">
                              <w:t>cases.</w:t>
                            </w:r>
                          </w:p>
                          <w:p w14:paraId="40A1E8A7" w14:textId="77777777" w:rsidR="00FE21E7" w:rsidRDefault="003846ED" w:rsidP="006608B2">
                            <w:pPr>
                              <w:pStyle w:val="BasicCopy"/>
                              <w:spacing w:after="0"/>
                              <w:rPr>
                                <w:b/>
                              </w:rPr>
                            </w:pPr>
                            <w:r w:rsidRPr="006608B2">
                              <w:rPr>
                                <w:b/>
                              </w:rPr>
                              <w:t xml:space="preserve">2. Review Your Organizational Risks </w:t>
                            </w:r>
                          </w:p>
                          <w:p w14:paraId="1E671986" w14:textId="77777777" w:rsidR="006608B2" w:rsidRPr="006608B2" w:rsidRDefault="003846ED" w:rsidP="006608B2">
                            <w:pPr>
                              <w:pStyle w:val="BasicCopy"/>
                            </w:pPr>
                            <w:r w:rsidRPr="006608B2">
                              <w:t xml:space="preserve">Even if there aren’t federal, state or local recommendations to close your business, that doesn’t mean your organization is safe from the coronavirus. </w:t>
                            </w:r>
                            <w:r>
                              <w:t xml:space="preserve"> S</w:t>
                            </w:r>
                            <w:r w:rsidRPr="006608B2">
                              <w:t>imilar to conducting a risk assessment for planning to reop</w:t>
                            </w:r>
                            <w:r w:rsidRPr="006608B2">
                              <w:t>en following the first wave of COVID-19 cases, your organization should conduct a risk assessment in preparation for a reemergence of COVID-19 cases.</w:t>
                            </w:r>
                          </w:p>
                          <w:p w14:paraId="744AEEC3" w14:textId="77777777" w:rsidR="001667FA" w:rsidRDefault="003846ED" w:rsidP="006608B2">
                            <w:pPr>
                              <w:pStyle w:val="BasicCopy"/>
                              <w:spacing w:after="0"/>
                              <w:rPr>
                                <w:b/>
                              </w:rPr>
                            </w:pPr>
                            <w:r w:rsidRPr="006608B2">
                              <w:rPr>
                                <w:b/>
                              </w:rPr>
                              <w:t>3. Maintain Workplace Safety and Communicate With Employees</w:t>
                            </w:r>
                          </w:p>
                          <w:p w14:paraId="79B69ACF" w14:textId="77777777" w:rsidR="006608B2" w:rsidRDefault="003846ED" w:rsidP="006608B2">
                            <w:pPr>
                              <w:pStyle w:val="BasicCopy"/>
                            </w:pPr>
                            <w:r>
                              <w:t>There is a variety of guidance from official s</w:t>
                            </w:r>
                            <w:r>
                              <w:t>ources, like OSHA, to help employers maintain health and safety, and keep employees informed.</w:t>
                            </w:r>
                          </w:p>
                          <w:p w14:paraId="6D5DEDA9" w14:textId="77777777" w:rsidR="006608B2" w:rsidRPr="006608B2" w:rsidRDefault="003846ED" w:rsidP="006608B2">
                            <w:pPr>
                              <w:pStyle w:val="BasicCopy"/>
                            </w:pPr>
                            <w:r>
                              <w:t>Speak with Delaney Insurance Agency, Inc. for more workplace guidance.</w:t>
                            </w:r>
                          </w:p>
                        </w:txbxContent>
                      </wps:txbx>
                      <wps:bodyPr rot="0" vert="horz" wrap="square" lIns="0" tIns="45720" rIns="0" bIns="45720" anchor="t" anchorCtr="0"/>
                    </wps:wsp>
                  </a:graphicData>
                </a:graphic>
                <wp14:sizeRelH relativeFrom="margin">
                  <wp14:pctWidth>0</wp14:pctWidth>
                </wp14:sizeRelH>
                <wp14:sizeRelV relativeFrom="margin">
                  <wp14:pctHeight>0</wp14:pctHeight>
                </wp14:sizeRelV>
              </wp:anchor>
            </w:drawing>
          </mc:Choice>
          <mc:Fallback>
            <w:pict>
              <v:shape w14:anchorId="476BCD10" id="_x0000_s1029" type="#_x0000_t202" style="position:absolute;margin-left:127pt;margin-top:.05pt;width:138.95pt;height:419.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" filled="f" stroked="f">
                <v:textbox inset="0,,0">
                  <w:txbxContent>
                    <w:p w14:paraId="772E272D" w14:textId="77777777" w:rsidR="006608B2" w:rsidRDefault="003846ED" w:rsidP="006608B2">
                      <w:pPr>
                        <w:pStyle w:val="BasicCopy"/>
                      </w:pPr>
                      <w:r w:rsidRPr="006608B2">
                        <w:t xml:space="preserve">face of a second wave of COVID-19 </w:t>
                      </w:r>
                      <w:r w:rsidRPr="006608B2">
                        <w:t>cases.</w:t>
                      </w:r>
                    </w:p>
                    <w:p w14:paraId="40A1E8A7" w14:textId="77777777" w:rsidR="00FE21E7" w:rsidRDefault="003846ED" w:rsidP="006608B2">
                      <w:pPr>
                        <w:pStyle w:val="BasicCopy"/>
                        <w:spacing w:after="0"/>
                        <w:rPr>
                          <w:b/>
                        </w:rPr>
                      </w:pPr>
                      <w:r w:rsidRPr="006608B2">
                        <w:rPr>
                          <w:b/>
                        </w:rPr>
                        <w:t xml:space="preserve">2. Review Your Organizational Risks </w:t>
                      </w:r>
                    </w:p>
                    <w:p w14:paraId="1E671986" w14:textId="77777777" w:rsidR="006608B2" w:rsidRPr="006608B2" w:rsidRDefault="003846ED" w:rsidP="006608B2">
                      <w:pPr>
                        <w:pStyle w:val="BasicCopy"/>
                      </w:pPr>
                      <w:r w:rsidRPr="006608B2">
                        <w:t xml:space="preserve">Even if there aren’t federal, state or local recommendations to close your business, that doesn’t mean your organization is safe from the coronavirus. </w:t>
                      </w:r>
                      <w:r>
                        <w:t xml:space="preserve"> S</w:t>
                      </w:r>
                      <w:r w:rsidRPr="006608B2">
                        <w:t>imilar to conducting a risk assessment for planning to reop</w:t>
                      </w:r>
                      <w:r w:rsidRPr="006608B2">
                        <w:t>en following the first wave of COVID-19 cases, your organization should conduct a risk assessment in preparation for a reemergence of COVID-19 cases.</w:t>
                      </w:r>
                    </w:p>
                    <w:p w14:paraId="744AEEC3" w14:textId="77777777" w:rsidR="001667FA" w:rsidRDefault="003846ED" w:rsidP="006608B2">
                      <w:pPr>
                        <w:pStyle w:val="BasicCopy"/>
                        <w:spacing w:after="0"/>
                        <w:rPr>
                          <w:b/>
                        </w:rPr>
                      </w:pPr>
                      <w:r w:rsidRPr="006608B2">
                        <w:rPr>
                          <w:b/>
                        </w:rPr>
                        <w:t>3. Maintain Workplace Safety and Communicate With Employees</w:t>
                      </w:r>
                    </w:p>
                    <w:p w14:paraId="79B69ACF" w14:textId="77777777" w:rsidR="006608B2" w:rsidRDefault="003846ED" w:rsidP="006608B2">
                      <w:pPr>
                        <w:pStyle w:val="BasicCopy"/>
                      </w:pPr>
                      <w:r>
                        <w:t>There is a variety of guidance from official s</w:t>
                      </w:r>
                      <w:r>
                        <w:t>ources, like OSHA, to help employers maintain health and safety, and keep employees informed.</w:t>
                      </w:r>
                    </w:p>
                    <w:p w14:paraId="6D5DEDA9" w14:textId="77777777" w:rsidR="006608B2" w:rsidRPr="006608B2" w:rsidRDefault="003846ED" w:rsidP="006608B2">
                      <w:pPr>
                        <w:pStyle w:val="BasicCopy"/>
                      </w:pPr>
                      <w:r>
                        <w:t>Speak with Delaney Insurance Agency, Inc. for more workplace guidance.</w:t>
                      </w:r>
                    </w:p>
                  </w:txbxContent>
                </v:textbox>
                <w10:wrap type="square"/>
              </v:shape>
            </w:pict>
          </mc:Fallback>
        </mc:AlternateContent>
      </w:r>
      <w:r w:rsidR="003F1B86" w:rsidRPr="00130CBD">
        <mc:AlternateContent>
          <mc:Choice Requires="wps">
            <w:drawing>
              <wp:anchor distT="0" distB="0" distL="114300" distR="114300" simplePos="0" relativeHeight="251662336" behindDoc="0" locked="0" layoutInCell="1" allowOverlap="1" wp14:anchorId="4E1566B6" wp14:editId="261243E9">
                <wp:simplePos x="0" y="0"/>
                <wp:positionH relativeFrom="margin">
                  <wp:align>center</wp:align>
                </wp:positionH>
                <wp:positionV relativeFrom="page">
                  <wp:posOffset>1615440</wp:posOffset>
                </wp:positionV>
                <wp:extent cx="7576185" cy="307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576185" cy="307975"/>
                        </a:xfrm>
                        <a:prstGeom prst="rect">
                          <a:avLst/>
                        </a:prstGeom>
                        <a:noFill/>
                        <a:ln w="6350">
                          <a:noFill/>
                        </a:ln>
                      </wps:spPr>
                      <wps:txbx>
                        <w:txbxContent>
                          <w:p w14:paraId="2D5CF1E8" w14:textId="77777777" w:rsidR="00C0624F" w:rsidRPr="00AD3A69" w:rsidRDefault="003846ED" w:rsidP="008D08A1">
                            <w:pPr>
                              <w:pStyle w:val="HeaderInfo"/>
                            </w:pPr>
                            <w:r w:rsidRPr="00AD3A69">
                              <w:t>Provided by</w:t>
                            </w:r>
                            <w:r>
                              <w:t xml:space="preserve"> </w:t>
                            </w:r>
                            <w:r w:rsidRPr="008D08A1">
                              <w:rPr>
                                <w:b/>
                              </w:rPr>
                              <w:t>Delaney Insurance Agency, Inc.</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E1566B6" id="Text Box 15" o:spid="_x0000_s1030" type="#_x0000_t202" style="position:absolute;margin-left:0;margin-top:127.2pt;width:596.55pt;height:24.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" filled="f" stroked="f" strokeweight=".5pt">
                <v:textbox>
                  <w:txbxContent>
                    <w:p w14:paraId="2D5CF1E8" w14:textId="77777777" w:rsidR="00C0624F" w:rsidRPr="00AD3A69" w:rsidRDefault="003846ED" w:rsidP="008D08A1">
                      <w:pPr>
                        <w:pStyle w:val="HeaderInfo"/>
                      </w:pPr>
                      <w:r w:rsidRPr="00AD3A69">
                        <w:t>Provided by</w:t>
                      </w:r>
                      <w:r>
                        <w:t xml:space="preserve"> </w:t>
                      </w:r>
                      <w:r w:rsidRPr="008D08A1">
                        <w:rPr>
                          <w:b/>
                        </w:rPr>
                        <w:t>Delaney Insurance Agency, Inc.</w:t>
                      </w:r>
                    </w:p>
                  </w:txbxContent>
                </v:textbox>
                <w10:wrap anchorx="margin" anchory="page"/>
              </v:shape>
            </w:pict>
          </mc:Fallback>
        </mc:AlternateContent>
      </w:r>
      <w:r w:rsidR="00CA41E9" w:rsidRPr="00130CBD">
        <mc:AlternateContent>
          <mc:Choice Requires="wps">
            <w:drawing>
              <wp:anchor distT="0" distB="0" distL="114300" distR="114300" simplePos="0" relativeHeight="251659264" behindDoc="0" locked="0" layoutInCell="1" allowOverlap="1" wp14:anchorId="25C41BC9" wp14:editId="6F6AB533">
                <wp:simplePos x="0" y="0"/>
                <wp:positionH relativeFrom="margin">
                  <wp:align>center</wp:align>
                </wp:positionH>
                <wp:positionV relativeFrom="page">
                  <wp:posOffset>307975</wp:posOffset>
                </wp:positionV>
                <wp:extent cx="3311525" cy="33147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311525" cy="331470"/>
                        </a:xfrm>
                        <a:prstGeom prst="rect">
                          <a:avLst/>
                        </a:prstGeom>
                        <a:noFill/>
                        <a:ln w="6350">
                          <a:noFill/>
                        </a:ln>
                      </wps:spPr>
                      <wps:txbx>
                        <w:txbxContent>
                          <w:p w14:paraId="14DB16EA" w14:textId="77777777" w:rsidR="00C0624F" w:rsidRPr="00AD3A69" w:rsidRDefault="003846ED" w:rsidP="008D08A1">
                            <w:pPr>
                              <w:pStyle w:val="HeaderInfo"/>
                            </w:pPr>
                            <w:r>
                              <w:rPr>
                                <w:b/>
                              </w:rPr>
                              <w:t>August</w:t>
                            </w:r>
                            <w:r w:rsidRPr="00AD3A69">
                              <w:t xml:space="preserve"> </w:t>
                            </w:r>
                            <w:r w:rsidRPr="00766ECB">
                              <w:t>20</w:t>
                            </w:r>
                            <w:r w:rsidR="00FC2C40">
                              <w:t>2</w:t>
                            </w:r>
                            <w:r>
                              <w:t>0</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C41BC9" id="Text Box 14" o:spid="_x0000_s1031" type="#_x0000_t202" style="position:absolute;margin-left:0;margin-top:24.25pt;width:260.75pt;height:26.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" filled="f" stroked="f" strokeweight=".5pt">
                <v:textbox>
                  <w:txbxContent>
                    <w:p w14:paraId="14DB16EA" w14:textId="77777777" w:rsidR="00C0624F" w:rsidRPr="00AD3A69" w:rsidRDefault="003846ED" w:rsidP="008D08A1">
                      <w:pPr>
                        <w:pStyle w:val="HeaderInfo"/>
                      </w:pPr>
                      <w:r>
                        <w:rPr>
                          <w:b/>
                        </w:rPr>
                        <w:t>August</w:t>
                      </w:r>
                      <w:r w:rsidRPr="00AD3A69">
                        <w:t xml:space="preserve"> </w:t>
                      </w:r>
                      <w:r w:rsidRPr="00766ECB">
                        <w:t>20</w:t>
                      </w:r>
                      <w:r w:rsidR="00FC2C40">
                        <w:t>2</w:t>
                      </w:r>
                      <w:r>
                        <w:t>0</w:t>
                      </w:r>
                    </w:p>
                  </w:txbxContent>
                </v:textbox>
                <w10:wrap anchorx="margin" anchory="page"/>
              </v:shape>
            </w:pict>
          </mc:Fallback>
        </mc:AlternateContent>
      </w:r>
    </w:p>
    <w:sectPr w:rsidR="00044F2B" w:rsidRPr="00C0624F" w:rsidSect="00B95FD3">
      <w:headerReference w:type="default" r:id="rId13"/>
      <w:footerReference w:type="default" r:id="rId14"/>
      <w:type w:val="continuous"/>
      <w:pgSz w:w="12240" w:h="15840"/>
      <w:pgMar w:top="5400" w:right="720" w:bottom="2592" w:left="720" w:header="720" w:footer="720" w:gutter="0"/>
      <w:cols w:num="4" w:space="38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B8AD1" w14:textId="77777777" w:rsidR="003846ED" w:rsidRDefault="003846ED">
      <w:pPr>
        <w:spacing w:after="0" w:line="240" w:lineRule="auto"/>
      </w:pPr>
      <w:r>
        <w:separator/>
      </w:r>
    </w:p>
  </w:endnote>
  <w:endnote w:type="continuationSeparator" w:id="0">
    <w:p w14:paraId="4D3449D6" w14:textId="77777777" w:rsidR="003846ED" w:rsidRDefault="003846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FA46B" w14:textId="24F71F59" w:rsidR="00232637" w:rsidRDefault="003846ED">
    <w:pPr>
      <w:pStyle w:val="Footer"/>
    </w:pPr>
    <w:r w:rsidRPr="008D08A1">
      <w:rPr>
        <w:noProof/>
      </w:rPr>
      <mc:AlternateContent>
        <mc:Choice Requires="wps">
          <w:drawing>
            <wp:anchor distT="0" distB="0" distL="114300" distR="114300" simplePos="0" relativeHeight="251661312" behindDoc="1" locked="0" layoutInCell="1" allowOverlap="1" wp14:anchorId="101F1D34" wp14:editId="14B019CD">
              <wp:simplePos x="0" y="0"/>
              <wp:positionH relativeFrom="column">
                <wp:posOffset>-251209</wp:posOffset>
              </wp:positionH>
              <wp:positionV relativeFrom="page">
                <wp:posOffset>9550958</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14:paraId="2A0374EA" w14:textId="77777777" w:rsidR="00232637" w:rsidRPr="00044F2B" w:rsidRDefault="003846ED"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xml:space="preserve">© </w:t>
                          </w:r>
                          <w:r w:rsidRPr="00044F2B">
                            <w:rPr>
                              <w:rFonts w:ascii="Arial" w:hAnsi="Arial" w:cs="Arial"/>
                              <w:color w:val="808080" w:themeColor="background1" w:themeShade="80"/>
                              <w:sz w:val="16"/>
                              <w:szCs w:val="16"/>
                            </w:rPr>
                            <w:t>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w:t>
                          </w:r>
                          <w:proofErr w:type="spellStart"/>
                          <w:r w:rsidRPr="00044F2B">
                            <w:rPr>
                              <w:rFonts w:ascii="Arial" w:hAnsi="Arial" w:cs="Arial"/>
                              <w:color w:val="808080" w:themeColor="background1" w:themeShade="80"/>
                              <w:sz w:val="16"/>
                              <w:szCs w:val="16"/>
                            </w:rPr>
                            <w:t>Zywave</w:t>
                          </w:r>
                          <w:proofErr w:type="spellEnd"/>
                          <w:r w:rsidRPr="00044F2B">
                            <w:rPr>
                              <w:rFonts w:ascii="Arial" w:hAnsi="Arial" w:cs="Arial"/>
                              <w:color w:val="808080" w:themeColor="background1" w:themeShade="80"/>
                              <w:sz w:val="16"/>
                              <w:szCs w:val="16"/>
                            </w:rPr>
                            <w:t>, Inc. All rights reserved</w:t>
                          </w:r>
                          <w:r w:rsidR="00FB6220">
                            <w:rPr>
                              <w:rFonts w:ascii="Arial" w:hAnsi="Arial" w:cs="Arial"/>
                              <w:color w:val="808080" w:themeColor="background1" w:themeShade="80"/>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01F1D34" id="_x0000_t202" coordsize="21600,21600" o:spt="202" path="m,l,21600r21600,l21600,xe">
              <v:stroke joinstyle="miter"/>
              <v:path gradientshapeok="t" o:connecttype="rect"/>
            </v:shapetype>
            <v:shape id="Text Box 12" o:spid="_x0000_s1032" type="#_x0000_t202" style="position:absolute;margin-left:-19.8pt;margin-top:752.05pt;width:163.1pt;height: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" filled="f" stroked="f" strokeweight=".5pt">
              <v:textbox>
                <w:txbxContent>
                  <w:p w14:paraId="2A0374EA" w14:textId="77777777" w:rsidR="00232637" w:rsidRPr="00044F2B" w:rsidRDefault="003846ED" w:rsidP="00232637">
                    <w:pPr>
                      <w:rPr>
                        <w:rFonts w:ascii="Arial" w:hAnsi="Arial" w:cs="Arial"/>
                        <w:color w:val="808080" w:themeColor="background1" w:themeShade="80"/>
                        <w:sz w:val="16"/>
                        <w:szCs w:val="16"/>
                      </w:rPr>
                    </w:pPr>
                    <w:r w:rsidRPr="00044F2B">
                      <w:rPr>
                        <w:rFonts w:ascii="Arial" w:hAnsi="Arial" w:cs="Arial"/>
                        <w:color w:val="808080" w:themeColor="background1" w:themeShade="80"/>
                        <w:sz w:val="16"/>
                        <w:szCs w:val="16"/>
                      </w:rPr>
                      <w:t xml:space="preserve">© </w:t>
                    </w:r>
                    <w:r w:rsidRPr="00044F2B">
                      <w:rPr>
                        <w:rFonts w:ascii="Arial" w:hAnsi="Arial" w:cs="Arial"/>
                        <w:color w:val="808080" w:themeColor="background1" w:themeShade="80"/>
                        <w:sz w:val="16"/>
                        <w:szCs w:val="16"/>
                      </w:rPr>
                      <w:t>20</w:t>
                    </w:r>
                    <w:r>
                      <w:rPr>
                        <w:rFonts w:ascii="Arial" w:hAnsi="Arial" w:cs="Arial"/>
                        <w:color w:val="808080" w:themeColor="background1" w:themeShade="80"/>
                        <w:sz w:val="16"/>
                        <w:szCs w:val="16"/>
                      </w:rPr>
                      <w:t>20</w:t>
                    </w:r>
                    <w:r w:rsidRPr="00044F2B">
                      <w:rPr>
                        <w:rFonts w:ascii="Arial" w:hAnsi="Arial" w:cs="Arial"/>
                        <w:color w:val="808080" w:themeColor="background1" w:themeShade="80"/>
                        <w:sz w:val="16"/>
                        <w:szCs w:val="16"/>
                      </w:rPr>
                      <w:t xml:space="preserve"> </w:t>
                    </w:r>
                    <w:proofErr w:type="spellStart"/>
                    <w:r w:rsidRPr="00044F2B">
                      <w:rPr>
                        <w:rFonts w:ascii="Arial" w:hAnsi="Arial" w:cs="Arial"/>
                        <w:color w:val="808080" w:themeColor="background1" w:themeShade="80"/>
                        <w:sz w:val="16"/>
                        <w:szCs w:val="16"/>
                      </w:rPr>
                      <w:t>Zywave</w:t>
                    </w:r>
                    <w:proofErr w:type="spellEnd"/>
                    <w:r w:rsidRPr="00044F2B">
                      <w:rPr>
                        <w:rFonts w:ascii="Arial" w:hAnsi="Arial" w:cs="Arial"/>
                        <w:color w:val="808080" w:themeColor="background1" w:themeShade="80"/>
                        <w:sz w:val="16"/>
                        <w:szCs w:val="16"/>
                      </w:rPr>
                      <w:t>, Inc. All rights reserved</w:t>
                    </w:r>
                    <w:r w:rsidR="00FB6220">
                      <w:rPr>
                        <w:rFonts w:ascii="Arial" w:hAnsi="Arial" w:cs="Arial"/>
                        <w:color w:val="808080" w:themeColor="background1" w:themeShade="80"/>
                        <w:sz w:val="16"/>
                        <w:szCs w:val="16"/>
                      </w:rPr>
                      <w:t>.</w:t>
                    </w:r>
                  </w:p>
                </w:txbxContent>
              </v:textbox>
              <w10:wrap anchory="page"/>
            </v:shape>
          </w:pict>
        </mc:Fallback>
      </mc:AlternateContent>
    </w:r>
    <w:r w:rsidR="00A07BF0">
      <w:t xml:space="preserve">                                                      </w:t>
    </w:r>
    <w:r w:rsidR="00A07BF0">
      <w:rPr>
        <w:noProof/>
      </w:rPr>
      <w:drawing>
        <wp:inline distT="0" distB="0" distL="0" distR="0" wp14:anchorId="377A4E75" wp14:editId="024BF2F2">
          <wp:extent cx="1266825" cy="732914"/>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saf1.jpg"/>
                  <pic:cNvPicPr/>
                </pic:nvPicPr>
                <pic:blipFill>
                  <a:blip r:embed="rId1">
                    <a:extLst>
                      <a:ext uri="{28A0092B-C50C-407E-A947-70E740481C1C}">
                        <a14:useLocalDpi xmlns:a14="http://schemas.microsoft.com/office/drawing/2010/main" val="0"/>
                      </a:ext>
                    </a:extLst>
                  </a:blip>
                  <a:stretch>
                    <a:fillRect/>
                  </a:stretch>
                </pic:blipFill>
                <pic:spPr>
                  <a:xfrm>
                    <a:off x="0" y="0"/>
                    <a:ext cx="1286417" cy="7442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7E3EA" w14:textId="77777777" w:rsidR="003846ED" w:rsidRDefault="003846ED">
      <w:pPr>
        <w:spacing w:after="0" w:line="240" w:lineRule="auto"/>
      </w:pPr>
      <w:r>
        <w:separator/>
      </w:r>
    </w:p>
  </w:footnote>
  <w:footnote w:type="continuationSeparator" w:id="0">
    <w:p w14:paraId="544CD4CC" w14:textId="77777777" w:rsidR="003846ED" w:rsidRDefault="003846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B15CC" w14:textId="77777777" w:rsidR="00044F2B" w:rsidRDefault="003846ED">
    <w:pPr>
      <w:pStyle w:val="Header"/>
    </w:pPr>
    <w:r>
      <w:rPr>
        <w:noProof/>
      </w:rPr>
      <w:drawing>
        <wp:anchor distT="0" distB="0" distL="114300" distR="114300" simplePos="0" relativeHeight="251658240" behindDoc="1" locked="0" layoutInCell="1" allowOverlap="1" wp14:anchorId="3E93AECE" wp14:editId="42A5DCFE">
          <wp:simplePos x="0" y="0"/>
          <wp:positionH relativeFrom="page">
            <wp:align>center</wp:align>
          </wp:positionH>
          <wp:positionV relativeFrom="page">
            <wp:align>top</wp:align>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C61F8">
      <w:rPr>
        <w:noProof/>
      </w:rPr>
      <mc:AlternateContent>
        <mc:Choice Requires="wps">
          <w:drawing>
            <wp:anchor distT="0" distB="0" distL="114300" distR="114300" simplePos="0" relativeHeight="251659264" behindDoc="0" locked="0" layoutInCell="1" allowOverlap="1" wp14:anchorId="701BD30A" wp14:editId="767C0D82">
              <wp:simplePos x="0" y="0"/>
              <wp:positionH relativeFrom="column">
                <wp:posOffset>3415294</wp:posOffset>
              </wp:positionH>
              <wp:positionV relativeFrom="paragraph">
                <wp:posOffset>2984500</wp:posOffset>
              </wp:positionV>
              <wp:extent cx="0" cy="4977441"/>
              <wp:effectExtent l="19050" t="0" r="19050" b="33020"/>
              <wp:wrapNone/>
              <wp:docPr id="2" name="Straight Connector 2"/>
              <wp:cNvGraphicFramePr/>
              <a:graphic xmlns:a="http://schemas.openxmlformats.org/drawingml/2006/main">
                <a:graphicData uri="http://schemas.microsoft.com/office/word/2010/wordprocessingShape">
                  <wps:wsp>
                    <wps:cNvCnPr/>
                    <wps:spPr>
                      <a:xfrm>
                        <a:off x="0" y="0"/>
                        <a:ext cx="0" cy="4977441"/>
                      </a:xfrm>
                      <a:prstGeom prst="line">
                        <a:avLst/>
                      </a:prstGeom>
                      <a:ln w="317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2049" style="mso-wrap-distance-bottom:0;mso-wrap-distance-left:9pt;mso-wrap-distance-right:9pt;mso-wrap-distance-top:0;mso-wrap-style:square;position:absolute;visibility:visible;z-index:251660288" from="268.9pt,235pt" to="268.9pt,626.9pt" strokecolor="#a5a5a5" strokeweight="2.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45794"/>
    <w:multiLevelType w:val="hybridMultilevel"/>
    <w:tmpl w:val="431E6B16"/>
    <w:lvl w:ilvl="0" w:tplc="D9565F60">
      <w:start w:val="1"/>
      <w:numFmt w:val="decimal"/>
      <w:pStyle w:val="NumberedList"/>
      <w:lvlText w:val="%1."/>
      <w:lvlJc w:val="left"/>
      <w:pPr>
        <w:ind w:left="720" w:hanging="360"/>
      </w:pPr>
      <w:rPr>
        <w:rFonts w:hint="default"/>
        <w:b/>
        <w:i w:val="0"/>
      </w:rPr>
    </w:lvl>
    <w:lvl w:ilvl="1" w:tplc="63BEC6A2" w:tentative="1">
      <w:start w:val="1"/>
      <w:numFmt w:val="lowerLetter"/>
      <w:lvlText w:val="%2."/>
      <w:lvlJc w:val="left"/>
      <w:pPr>
        <w:ind w:left="1440" w:hanging="360"/>
      </w:pPr>
    </w:lvl>
    <w:lvl w:ilvl="2" w:tplc="AF1E8848" w:tentative="1">
      <w:start w:val="1"/>
      <w:numFmt w:val="lowerRoman"/>
      <w:lvlText w:val="%3."/>
      <w:lvlJc w:val="right"/>
      <w:pPr>
        <w:ind w:left="2160" w:hanging="180"/>
      </w:pPr>
    </w:lvl>
    <w:lvl w:ilvl="3" w:tplc="96DE67F8" w:tentative="1">
      <w:start w:val="1"/>
      <w:numFmt w:val="decimal"/>
      <w:lvlText w:val="%4."/>
      <w:lvlJc w:val="left"/>
      <w:pPr>
        <w:ind w:left="2880" w:hanging="360"/>
      </w:pPr>
    </w:lvl>
    <w:lvl w:ilvl="4" w:tplc="30ACC78C" w:tentative="1">
      <w:start w:val="1"/>
      <w:numFmt w:val="lowerLetter"/>
      <w:lvlText w:val="%5."/>
      <w:lvlJc w:val="left"/>
      <w:pPr>
        <w:ind w:left="3600" w:hanging="360"/>
      </w:pPr>
    </w:lvl>
    <w:lvl w:ilvl="5" w:tplc="BE3218F6" w:tentative="1">
      <w:start w:val="1"/>
      <w:numFmt w:val="lowerRoman"/>
      <w:lvlText w:val="%6."/>
      <w:lvlJc w:val="right"/>
      <w:pPr>
        <w:ind w:left="4320" w:hanging="180"/>
      </w:pPr>
    </w:lvl>
    <w:lvl w:ilvl="6" w:tplc="F162ED1C" w:tentative="1">
      <w:start w:val="1"/>
      <w:numFmt w:val="decimal"/>
      <w:lvlText w:val="%7."/>
      <w:lvlJc w:val="left"/>
      <w:pPr>
        <w:ind w:left="5040" w:hanging="360"/>
      </w:pPr>
    </w:lvl>
    <w:lvl w:ilvl="7" w:tplc="E9227A3A" w:tentative="1">
      <w:start w:val="1"/>
      <w:numFmt w:val="lowerLetter"/>
      <w:lvlText w:val="%8."/>
      <w:lvlJc w:val="left"/>
      <w:pPr>
        <w:ind w:left="5760" w:hanging="360"/>
      </w:pPr>
    </w:lvl>
    <w:lvl w:ilvl="8" w:tplc="6ED69E8E" w:tentative="1">
      <w:start w:val="1"/>
      <w:numFmt w:val="lowerRoman"/>
      <w:lvlText w:val="%9."/>
      <w:lvlJc w:val="right"/>
      <w:pPr>
        <w:ind w:left="6480" w:hanging="180"/>
      </w:pPr>
    </w:lvl>
  </w:abstractNum>
  <w:abstractNum w:abstractNumId="1" w15:restartNumberingAfterBreak="0">
    <w:nsid w:val="0F5D165A"/>
    <w:multiLevelType w:val="hybridMultilevel"/>
    <w:tmpl w:val="8EE20A00"/>
    <w:lvl w:ilvl="0" w:tplc="E4867FAE">
      <w:start w:val="1"/>
      <w:numFmt w:val="bullet"/>
      <w:pStyle w:val="BulletedList"/>
      <w:lvlText w:val=""/>
      <w:lvlJc w:val="left"/>
      <w:pPr>
        <w:ind w:left="720" w:hanging="360"/>
      </w:pPr>
      <w:rPr>
        <w:rFonts w:ascii="Symbol" w:hAnsi="Symbol" w:hint="default"/>
      </w:rPr>
    </w:lvl>
    <w:lvl w:ilvl="1" w:tplc="C846DA16" w:tentative="1">
      <w:start w:val="1"/>
      <w:numFmt w:val="bullet"/>
      <w:lvlText w:val="o"/>
      <w:lvlJc w:val="left"/>
      <w:pPr>
        <w:ind w:left="1440" w:hanging="360"/>
      </w:pPr>
      <w:rPr>
        <w:rFonts w:ascii="Courier New" w:hAnsi="Courier New" w:cs="Courier New" w:hint="default"/>
      </w:rPr>
    </w:lvl>
    <w:lvl w:ilvl="2" w:tplc="2CECBF84" w:tentative="1">
      <w:start w:val="1"/>
      <w:numFmt w:val="bullet"/>
      <w:lvlText w:val=""/>
      <w:lvlJc w:val="left"/>
      <w:pPr>
        <w:ind w:left="2160" w:hanging="360"/>
      </w:pPr>
      <w:rPr>
        <w:rFonts w:ascii="Wingdings" w:hAnsi="Wingdings" w:hint="default"/>
      </w:rPr>
    </w:lvl>
    <w:lvl w:ilvl="3" w:tplc="D7BA7914" w:tentative="1">
      <w:start w:val="1"/>
      <w:numFmt w:val="bullet"/>
      <w:lvlText w:val=""/>
      <w:lvlJc w:val="left"/>
      <w:pPr>
        <w:ind w:left="2880" w:hanging="360"/>
      </w:pPr>
      <w:rPr>
        <w:rFonts w:ascii="Symbol" w:hAnsi="Symbol" w:hint="default"/>
      </w:rPr>
    </w:lvl>
    <w:lvl w:ilvl="4" w:tplc="4FF84C2A" w:tentative="1">
      <w:start w:val="1"/>
      <w:numFmt w:val="bullet"/>
      <w:lvlText w:val="o"/>
      <w:lvlJc w:val="left"/>
      <w:pPr>
        <w:ind w:left="3600" w:hanging="360"/>
      </w:pPr>
      <w:rPr>
        <w:rFonts w:ascii="Courier New" w:hAnsi="Courier New" w:cs="Courier New" w:hint="default"/>
      </w:rPr>
    </w:lvl>
    <w:lvl w:ilvl="5" w:tplc="72F498A6" w:tentative="1">
      <w:start w:val="1"/>
      <w:numFmt w:val="bullet"/>
      <w:lvlText w:val=""/>
      <w:lvlJc w:val="left"/>
      <w:pPr>
        <w:ind w:left="4320" w:hanging="360"/>
      </w:pPr>
      <w:rPr>
        <w:rFonts w:ascii="Wingdings" w:hAnsi="Wingdings" w:hint="default"/>
      </w:rPr>
    </w:lvl>
    <w:lvl w:ilvl="6" w:tplc="9CB44DB4" w:tentative="1">
      <w:start w:val="1"/>
      <w:numFmt w:val="bullet"/>
      <w:lvlText w:val=""/>
      <w:lvlJc w:val="left"/>
      <w:pPr>
        <w:ind w:left="5040" w:hanging="360"/>
      </w:pPr>
      <w:rPr>
        <w:rFonts w:ascii="Symbol" w:hAnsi="Symbol" w:hint="default"/>
      </w:rPr>
    </w:lvl>
    <w:lvl w:ilvl="7" w:tplc="57F22F78" w:tentative="1">
      <w:start w:val="1"/>
      <w:numFmt w:val="bullet"/>
      <w:lvlText w:val="o"/>
      <w:lvlJc w:val="left"/>
      <w:pPr>
        <w:ind w:left="5760" w:hanging="360"/>
      </w:pPr>
      <w:rPr>
        <w:rFonts w:ascii="Courier New" w:hAnsi="Courier New" w:cs="Courier New" w:hint="default"/>
      </w:rPr>
    </w:lvl>
    <w:lvl w:ilvl="8" w:tplc="7096C2D0" w:tentative="1">
      <w:start w:val="1"/>
      <w:numFmt w:val="bullet"/>
      <w:lvlText w:val=""/>
      <w:lvlJc w:val="left"/>
      <w:pPr>
        <w:ind w:left="6480" w:hanging="360"/>
      </w:pPr>
      <w:rPr>
        <w:rFonts w:ascii="Wingdings" w:hAnsi="Wingdings" w:hint="default"/>
      </w:rPr>
    </w:lvl>
  </w:abstractNum>
  <w:abstractNum w:abstractNumId="2" w15:restartNumberingAfterBreak="0">
    <w:nsid w:val="713B46A2"/>
    <w:multiLevelType w:val="hybridMultilevel"/>
    <w:tmpl w:val="427E3B28"/>
    <w:lvl w:ilvl="0" w:tplc="6A3CD858">
      <w:start w:val="1"/>
      <w:numFmt w:val="bullet"/>
      <w:pStyle w:val="BulletList"/>
      <w:lvlText w:val=""/>
      <w:lvlJc w:val="left"/>
      <w:pPr>
        <w:ind w:left="720" w:hanging="360"/>
      </w:pPr>
      <w:rPr>
        <w:rFonts w:ascii="Symbol" w:hAnsi="Symbol" w:hint="default"/>
      </w:rPr>
    </w:lvl>
    <w:lvl w:ilvl="1" w:tplc="348A0F24">
      <w:start w:val="1"/>
      <w:numFmt w:val="bullet"/>
      <w:pStyle w:val="SubBullet"/>
      <w:lvlText w:val="o"/>
      <w:lvlJc w:val="left"/>
      <w:pPr>
        <w:ind w:left="1440" w:hanging="360"/>
      </w:pPr>
      <w:rPr>
        <w:rFonts w:ascii="Courier New" w:hAnsi="Courier New" w:cs="Courier New" w:hint="default"/>
      </w:rPr>
    </w:lvl>
    <w:lvl w:ilvl="2" w:tplc="227AED56" w:tentative="1">
      <w:start w:val="1"/>
      <w:numFmt w:val="bullet"/>
      <w:lvlText w:val=""/>
      <w:lvlJc w:val="left"/>
      <w:pPr>
        <w:ind w:left="2160" w:hanging="360"/>
      </w:pPr>
      <w:rPr>
        <w:rFonts w:ascii="Wingdings" w:hAnsi="Wingdings" w:hint="default"/>
      </w:rPr>
    </w:lvl>
    <w:lvl w:ilvl="3" w:tplc="C2AE068C" w:tentative="1">
      <w:start w:val="1"/>
      <w:numFmt w:val="bullet"/>
      <w:lvlText w:val=""/>
      <w:lvlJc w:val="left"/>
      <w:pPr>
        <w:ind w:left="2880" w:hanging="360"/>
      </w:pPr>
      <w:rPr>
        <w:rFonts w:ascii="Symbol" w:hAnsi="Symbol" w:hint="default"/>
      </w:rPr>
    </w:lvl>
    <w:lvl w:ilvl="4" w:tplc="A8CAF956" w:tentative="1">
      <w:start w:val="1"/>
      <w:numFmt w:val="bullet"/>
      <w:lvlText w:val="o"/>
      <w:lvlJc w:val="left"/>
      <w:pPr>
        <w:ind w:left="3600" w:hanging="360"/>
      </w:pPr>
      <w:rPr>
        <w:rFonts w:ascii="Courier New" w:hAnsi="Courier New" w:cs="Courier New" w:hint="default"/>
      </w:rPr>
    </w:lvl>
    <w:lvl w:ilvl="5" w:tplc="FC1C81BE" w:tentative="1">
      <w:start w:val="1"/>
      <w:numFmt w:val="bullet"/>
      <w:lvlText w:val=""/>
      <w:lvlJc w:val="left"/>
      <w:pPr>
        <w:ind w:left="4320" w:hanging="360"/>
      </w:pPr>
      <w:rPr>
        <w:rFonts w:ascii="Wingdings" w:hAnsi="Wingdings" w:hint="default"/>
      </w:rPr>
    </w:lvl>
    <w:lvl w:ilvl="6" w:tplc="C18EEE26" w:tentative="1">
      <w:start w:val="1"/>
      <w:numFmt w:val="bullet"/>
      <w:lvlText w:val=""/>
      <w:lvlJc w:val="left"/>
      <w:pPr>
        <w:ind w:left="5040" w:hanging="360"/>
      </w:pPr>
      <w:rPr>
        <w:rFonts w:ascii="Symbol" w:hAnsi="Symbol" w:hint="default"/>
      </w:rPr>
    </w:lvl>
    <w:lvl w:ilvl="7" w:tplc="B6624BC8" w:tentative="1">
      <w:start w:val="1"/>
      <w:numFmt w:val="bullet"/>
      <w:lvlText w:val="o"/>
      <w:lvlJc w:val="left"/>
      <w:pPr>
        <w:ind w:left="5760" w:hanging="360"/>
      </w:pPr>
      <w:rPr>
        <w:rFonts w:ascii="Courier New" w:hAnsi="Courier New" w:cs="Courier New" w:hint="default"/>
      </w:rPr>
    </w:lvl>
    <w:lvl w:ilvl="8" w:tplc="8834A162"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sLAwNDAyNTIyNDZW0lEKTi0uzszPAykwqgUACKOajiwAAAA="/>
  </w:docVars>
  <w:rsids>
    <w:rsidRoot w:val="006608B2"/>
    <w:rsid w:val="00044F2B"/>
    <w:rsid w:val="0006255F"/>
    <w:rsid w:val="00067A88"/>
    <w:rsid w:val="000A0AE3"/>
    <w:rsid w:val="000C1AFF"/>
    <w:rsid w:val="000D66B6"/>
    <w:rsid w:val="00110C2E"/>
    <w:rsid w:val="001266B5"/>
    <w:rsid w:val="00130CBD"/>
    <w:rsid w:val="00132D87"/>
    <w:rsid w:val="001667FA"/>
    <w:rsid w:val="00172EF4"/>
    <w:rsid w:val="0018711F"/>
    <w:rsid w:val="001A15B9"/>
    <w:rsid w:val="00232637"/>
    <w:rsid w:val="0026396D"/>
    <w:rsid w:val="00265557"/>
    <w:rsid w:val="0027096B"/>
    <w:rsid w:val="002A33D2"/>
    <w:rsid w:val="002D14A1"/>
    <w:rsid w:val="00360822"/>
    <w:rsid w:val="003661E9"/>
    <w:rsid w:val="0036670C"/>
    <w:rsid w:val="003846ED"/>
    <w:rsid w:val="003C2E3B"/>
    <w:rsid w:val="003C5C06"/>
    <w:rsid w:val="003F1B86"/>
    <w:rsid w:val="00410130"/>
    <w:rsid w:val="00443A42"/>
    <w:rsid w:val="004452BF"/>
    <w:rsid w:val="00447048"/>
    <w:rsid w:val="00465D37"/>
    <w:rsid w:val="006608B2"/>
    <w:rsid w:val="006973AE"/>
    <w:rsid w:val="006E5A67"/>
    <w:rsid w:val="006E6936"/>
    <w:rsid w:val="006F735C"/>
    <w:rsid w:val="00730F8D"/>
    <w:rsid w:val="00766ECB"/>
    <w:rsid w:val="007C6965"/>
    <w:rsid w:val="007D4EC1"/>
    <w:rsid w:val="008B6A20"/>
    <w:rsid w:val="008D08A1"/>
    <w:rsid w:val="008D4445"/>
    <w:rsid w:val="00900AC2"/>
    <w:rsid w:val="00952044"/>
    <w:rsid w:val="0096300C"/>
    <w:rsid w:val="009F74F9"/>
    <w:rsid w:val="00A0648A"/>
    <w:rsid w:val="00A07BF0"/>
    <w:rsid w:val="00A20654"/>
    <w:rsid w:val="00AB3C5E"/>
    <w:rsid w:val="00AB5637"/>
    <w:rsid w:val="00AD3A69"/>
    <w:rsid w:val="00B068D1"/>
    <w:rsid w:val="00B47124"/>
    <w:rsid w:val="00B56BD7"/>
    <w:rsid w:val="00B95FD3"/>
    <w:rsid w:val="00BD7582"/>
    <w:rsid w:val="00C0624F"/>
    <w:rsid w:val="00CA41E9"/>
    <w:rsid w:val="00CA537C"/>
    <w:rsid w:val="00CC61F8"/>
    <w:rsid w:val="00CE2733"/>
    <w:rsid w:val="00CE778C"/>
    <w:rsid w:val="00D005C0"/>
    <w:rsid w:val="00D76277"/>
    <w:rsid w:val="00DA2545"/>
    <w:rsid w:val="00E36849"/>
    <w:rsid w:val="00E56B13"/>
    <w:rsid w:val="00E94A10"/>
    <w:rsid w:val="00EB19D6"/>
    <w:rsid w:val="00EC7A66"/>
    <w:rsid w:val="00ED1F9B"/>
    <w:rsid w:val="00EE0F5A"/>
    <w:rsid w:val="00EF342A"/>
    <w:rsid w:val="00F32E0F"/>
    <w:rsid w:val="00F37854"/>
    <w:rsid w:val="00F722CE"/>
    <w:rsid w:val="00F97F09"/>
    <w:rsid w:val="00FB6220"/>
    <w:rsid w:val="00FC2C40"/>
    <w:rsid w:val="00FE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F247A"/>
  <w15:chartTrackingRefBased/>
  <w15:docId w15:val="{EEE699CB-D83F-4F3D-BC9D-88290DF87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1667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4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F2B"/>
  </w:style>
  <w:style w:type="paragraph" w:styleId="Footer">
    <w:name w:val="footer"/>
    <w:basedOn w:val="Normal"/>
    <w:link w:val="FooterChar"/>
    <w:uiPriority w:val="99"/>
    <w:unhideWhenUsed/>
    <w:rsid w:val="00044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F2B"/>
  </w:style>
  <w:style w:type="paragraph" w:customStyle="1" w:styleId="BasicParagraph">
    <w:name w:val="[Basic Paragraph]"/>
    <w:basedOn w:val="Normal"/>
    <w:link w:val="BasicParagraphChar"/>
    <w:uiPriority w:val="99"/>
    <w:rsid w:val="00044F2B"/>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rticleHeader">
    <w:name w:val="Article Header"/>
    <w:basedOn w:val="BasicParagraph"/>
    <w:link w:val="ArticleHeaderChar"/>
    <w:rsid w:val="00E36849"/>
    <w:pPr>
      <w:spacing w:after="80" w:line="192" w:lineRule="auto"/>
    </w:pPr>
    <w:rPr>
      <w:rFonts w:ascii="Arial Black" w:hAnsi="Arial Black" w:cs="Arial Black"/>
    </w:rPr>
  </w:style>
  <w:style w:type="paragraph" w:customStyle="1" w:styleId="BulletedList">
    <w:name w:val="Bulleted List"/>
    <w:basedOn w:val="Normal"/>
    <w:link w:val="BulletedListChar"/>
    <w:rsid w:val="0018711F"/>
    <w:pPr>
      <w:numPr>
        <w:numId w:val="1"/>
      </w:numPr>
      <w:spacing w:after="0" w:line="240" w:lineRule="auto"/>
      <w:ind w:left="270" w:hanging="180"/>
    </w:pPr>
    <w:rPr>
      <w:rFonts w:ascii="Arial" w:hAnsi="Arial" w:cs="Arial"/>
      <w:sz w:val="20"/>
      <w:szCs w:val="20"/>
    </w:rPr>
  </w:style>
  <w:style w:type="character" w:customStyle="1" w:styleId="BasicParagraphChar">
    <w:name w:val="[Basic Paragraph] Char"/>
    <w:basedOn w:val="DefaultParagraphFont"/>
    <w:link w:val="BasicParagraph"/>
    <w:uiPriority w:val="99"/>
    <w:rsid w:val="0018711F"/>
    <w:rPr>
      <w:rFonts w:ascii="MinionPro-Regular" w:hAnsi="MinionPro-Regular" w:cs="MinionPro-Regular"/>
      <w:color w:val="000000"/>
      <w:sz w:val="24"/>
      <w:szCs w:val="24"/>
    </w:rPr>
  </w:style>
  <w:style w:type="character" w:customStyle="1" w:styleId="ArticleHeaderChar">
    <w:name w:val="Article Header Char"/>
    <w:basedOn w:val="BasicParagraphChar"/>
    <w:link w:val="ArticleHeader"/>
    <w:rsid w:val="00E36849"/>
    <w:rPr>
      <w:rFonts w:ascii="Arial Black" w:hAnsi="Arial Black" w:cs="Arial Black"/>
      <w:color w:val="000000"/>
      <w:sz w:val="24"/>
      <w:szCs w:val="24"/>
    </w:rPr>
  </w:style>
  <w:style w:type="paragraph" w:customStyle="1" w:styleId="NumberedList">
    <w:name w:val="Numbered List"/>
    <w:basedOn w:val="BulletedList"/>
    <w:link w:val="NumberedListChar"/>
    <w:rsid w:val="0018711F"/>
    <w:pPr>
      <w:numPr>
        <w:numId w:val="2"/>
      </w:numPr>
    </w:pPr>
  </w:style>
  <w:style w:type="character" w:customStyle="1" w:styleId="BulletedListChar">
    <w:name w:val="Bulleted List Char"/>
    <w:basedOn w:val="DefaultParagraphFont"/>
    <w:link w:val="BulletedList"/>
    <w:rsid w:val="0018711F"/>
    <w:rPr>
      <w:rFonts w:ascii="Arial" w:hAnsi="Arial" w:cs="Arial"/>
      <w:sz w:val="20"/>
      <w:szCs w:val="20"/>
    </w:rPr>
  </w:style>
  <w:style w:type="character" w:customStyle="1" w:styleId="NumberedListChar">
    <w:name w:val="Numbered List Char"/>
    <w:basedOn w:val="BulletedListChar"/>
    <w:link w:val="NumberedList"/>
    <w:rsid w:val="0018711F"/>
    <w:rPr>
      <w:rFonts w:ascii="Arial" w:hAnsi="Arial" w:cs="Arial"/>
      <w:sz w:val="20"/>
      <w:szCs w:val="20"/>
    </w:rPr>
  </w:style>
  <w:style w:type="paragraph" w:customStyle="1" w:styleId="HeaderInformation">
    <w:name w:val="Header Information"/>
    <w:basedOn w:val="Normal"/>
    <w:link w:val="HeaderInformationChar"/>
    <w:rsid w:val="00AD3A69"/>
    <w:pPr>
      <w:jc w:val="center"/>
    </w:pPr>
    <w:rPr>
      <w:rFonts w:ascii="Arial" w:hAnsi="Arial" w:cs="Arial"/>
      <w:b/>
      <w:color w:val="FFFFFF" w:themeColor="background1"/>
      <w:sz w:val="28"/>
      <w:szCs w:val="28"/>
    </w:rPr>
  </w:style>
  <w:style w:type="paragraph" w:customStyle="1" w:styleId="BodyText1">
    <w:name w:val="Body Text1"/>
    <w:basedOn w:val="Normal"/>
    <w:link w:val="bodytextChar"/>
    <w:rsid w:val="00110C2E"/>
    <w:pPr>
      <w:spacing w:after="120" w:line="240" w:lineRule="auto"/>
    </w:pPr>
    <w:rPr>
      <w:rFonts w:ascii="Arial" w:hAnsi="Arial" w:cs="Arial"/>
      <w:sz w:val="20"/>
      <w:szCs w:val="20"/>
    </w:rPr>
  </w:style>
  <w:style w:type="character" w:customStyle="1" w:styleId="HeaderInformationChar">
    <w:name w:val="Header Information Char"/>
    <w:basedOn w:val="DefaultParagraphFont"/>
    <w:link w:val="HeaderInformation"/>
    <w:rsid w:val="00AD3A69"/>
    <w:rPr>
      <w:rFonts w:ascii="Arial" w:hAnsi="Arial" w:cs="Arial"/>
      <w:b/>
      <w:color w:val="FFFFFF" w:themeColor="background1"/>
      <w:sz w:val="28"/>
      <w:szCs w:val="28"/>
    </w:rPr>
  </w:style>
  <w:style w:type="character" w:customStyle="1" w:styleId="bodytextChar">
    <w:name w:val="body text Char"/>
    <w:basedOn w:val="DefaultParagraphFont"/>
    <w:link w:val="BodyText1"/>
    <w:rsid w:val="00110C2E"/>
    <w:rPr>
      <w:rFonts w:ascii="Arial" w:hAnsi="Arial" w:cs="Arial"/>
      <w:sz w:val="20"/>
      <w:szCs w:val="20"/>
    </w:rPr>
  </w:style>
  <w:style w:type="character" w:styleId="Hyperlink">
    <w:name w:val="Hyperlink"/>
    <w:basedOn w:val="DefaultParagraphFont"/>
    <w:uiPriority w:val="99"/>
    <w:unhideWhenUsed/>
    <w:rsid w:val="00110C2E"/>
    <w:rPr>
      <w:color w:val="0563C1" w:themeColor="hyperlink"/>
      <w:u w:val="single"/>
    </w:rPr>
  </w:style>
  <w:style w:type="paragraph" w:customStyle="1" w:styleId="HeaderInfo">
    <w:name w:val="Header Info"/>
    <w:basedOn w:val="HeaderInformation"/>
    <w:link w:val="HeaderInfoChar"/>
    <w:qFormat/>
    <w:rsid w:val="008D08A1"/>
    <w:rPr>
      <w:b w:val="0"/>
    </w:rPr>
  </w:style>
  <w:style w:type="paragraph" w:customStyle="1" w:styleId="Article1">
    <w:name w:val="Article 1"/>
    <w:link w:val="Article1Char"/>
    <w:qFormat/>
    <w:rsid w:val="00130CBD"/>
    <w:pPr>
      <w:spacing w:after="120"/>
    </w:pPr>
    <w:rPr>
      <w:rFonts w:cstheme="minorHAnsi"/>
      <w:b/>
      <w:noProof/>
      <w:color w:val="000000"/>
      <w:sz w:val="26"/>
      <w:szCs w:val="26"/>
    </w:rPr>
  </w:style>
  <w:style w:type="character" w:customStyle="1" w:styleId="HeaderInfoChar">
    <w:name w:val="Header Info Char"/>
    <w:basedOn w:val="HeaderInformationChar"/>
    <w:link w:val="HeaderInfo"/>
    <w:rsid w:val="008D08A1"/>
    <w:rPr>
      <w:rFonts w:ascii="Arial" w:hAnsi="Arial" w:cs="Arial"/>
      <w:b w:val="0"/>
      <w:color w:val="FFFFFF" w:themeColor="background1"/>
      <w:sz w:val="28"/>
      <w:szCs w:val="28"/>
    </w:rPr>
  </w:style>
  <w:style w:type="paragraph" w:customStyle="1" w:styleId="Article2">
    <w:name w:val="Article 2"/>
    <w:basedOn w:val="ArticleHeader"/>
    <w:link w:val="Article2Char"/>
    <w:rsid w:val="00CE778C"/>
    <w:pPr>
      <w:pBdr>
        <w:top w:val="single" w:sz="4" w:space="6" w:color="auto"/>
      </w:pBdr>
      <w:spacing w:before="320"/>
    </w:pPr>
    <w:rPr>
      <w:rFonts w:asciiTheme="minorHAnsi" w:hAnsiTheme="minorHAnsi" w:cstheme="minorHAnsi"/>
      <w:b/>
      <w:sz w:val="26"/>
      <w:szCs w:val="26"/>
    </w:rPr>
  </w:style>
  <w:style w:type="character" w:customStyle="1" w:styleId="Article1Char">
    <w:name w:val="Article 1 Char"/>
    <w:basedOn w:val="ArticleHeaderChar"/>
    <w:link w:val="Article1"/>
    <w:rsid w:val="00130CBD"/>
    <w:rPr>
      <w:rFonts w:ascii="Arial Black" w:hAnsi="Arial Black" w:cstheme="minorHAnsi"/>
      <w:b/>
      <w:noProof/>
      <w:color w:val="000000"/>
      <w:sz w:val="26"/>
      <w:szCs w:val="26"/>
    </w:rPr>
  </w:style>
  <w:style w:type="paragraph" w:customStyle="1" w:styleId="BasicCopy">
    <w:name w:val="Basic Copy"/>
    <w:basedOn w:val="Normal"/>
    <w:link w:val="BasicCopyChar"/>
    <w:qFormat/>
    <w:rsid w:val="002A33D2"/>
    <w:pPr>
      <w:spacing w:after="120" w:line="240" w:lineRule="auto"/>
    </w:pPr>
    <w:rPr>
      <w:rFonts w:asciiTheme="majorHAnsi" w:hAnsiTheme="majorHAnsi" w:cstheme="majorHAnsi"/>
      <w:sz w:val="21"/>
      <w:szCs w:val="20"/>
    </w:rPr>
  </w:style>
  <w:style w:type="character" w:customStyle="1" w:styleId="Article2Char">
    <w:name w:val="Article 2 Char"/>
    <w:basedOn w:val="ArticleHeaderChar"/>
    <w:link w:val="Article2"/>
    <w:rsid w:val="00CE778C"/>
    <w:rPr>
      <w:rFonts w:ascii="Arial Black" w:hAnsi="Arial Black" w:cstheme="minorHAnsi"/>
      <w:b/>
      <w:color w:val="000000"/>
      <w:sz w:val="26"/>
      <w:szCs w:val="26"/>
    </w:rPr>
  </w:style>
  <w:style w:type="character" w:customStyle="1" w:styleId="BasicCopyChar">
    <w:name w:val="Basic Copy Char"/>
    <w:basedOn w:val="DefaultParagraphFont"/>
    <w:link w:val="BasicCopy"/>
    <w:rsid w:val="002A33D2"/>
    <w:rPr>
      <w:rFonts w:asciiTheme="majorHAnsi" w:hAnsiTheme="majorHAnsi" w:cstheme="majorHAnsi"/>
      <w:sz w:val="21"/>
      <w:szCs w:val="20"/>
    </w:rPr>
  </w:style>
  <w:style w:type="paragraph" w:customStyle="1" w:styleId="BulletList">
    <w:name w:val="Bullet List"/>
    <w:basedOn w:val="BasicCopy"/>
    <w:link w:val="BulletListChar"/>
    <w:qFormat/>
    <w:rsid w:val="00952044"/>
    <w:pPr>
      <w:numPr>
        <w:numId w:val="3"/>
      </w:numPr>
      <w:ind w:left="360" w:hanging="180"/>
    </w:pPr>
  </w:style>
  <w:style w:type="paragraph" w:customStyle="1" w:styleId="SubBullet">
    <w:name w:val="Sub Bullet"/>
    <w:basedOn w:val="BulletList"/>
    <w:link w:val="SubBulletChar"/>
    <w:qFormat/>
    <w:rsid w:val="00952044"/>
    <w:pPr>
      <w:numPr>
        <w:ilvl w:val="1"/>
      </w:numPr>
      <w:ind w:left="630" w:hanging="180"/>
    </w:pPr>
  </w:style>
  <w:style w:type="character" w:customStyle="1" w:styleId="BulletListChar">
    <w:name w:val="Bullet List Char"/>
    <w:basedOn w:val="BasicCopyChar"/>
    <w:link w:val="BulletList"/>
    <w:rsid w:val="00952044"/>
    <w:rPr>
      <w:rFonts w:asciiTheme="majorHAnsi" w:hAnsiTheme="majorHAnsi" w:cstheme="majorHAnsi"/>
      <w:sz w:val="21"/>
      <w:szCs w:val="20"/>
    </w:rPr>
  </w:style>
  <w:style w:type="character" w:customStyle="1" w:styleId="SubBulletChar">
    <w:name w:val="Sub Bullet Char"/>
    <w:basedOn w:val="BulletListChar"/>
    <w:link w:val="SubBullet"/>
    <w:rsid w:val="00952044"/>
    <w:rPr>
      <w:rFonts w:asciiTheme="majorHAnsi" w:hAnsiTheme="majorHAnsi" w:cstheme="majorHAnsi"/>
      <w:sz w:val="21"/>
      <w:szCs w:val="20"/>
    </w:rPr>
  </w:style>
  <w:style w:type="paragraph" w:styleId="BalloonText">
    <w:name w:val="Balloon Text"/>
    <w:basedOn w:val="Normal"/>
    <w:link w:val="BalloonTextChar"/>
    <w:uiPriority w:val="99"/>
    <w:semiHidden/>
    <w:unhideWhenUsed/>
    <w:rsid w:val="00166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67FA"/>
    <w:rPr>
      <w:rFonts w:ascii="Segoe UI" w:hAnsi="Segoe UI" w:cs="Segoe UI"/>
      <w:sz w:val="18"/>
      <w:szCs w:val="18"/>
    </w:rPr>
  </w:style>
  <w:style w:type="character" w:styleId="UnresolvedMention">
    <w:name w:val="Unresolved Mention"/>
    <w:basedOn w:val="DefaultParagraphFont"/>
    <w:uiPriority w:val="99"/>
    <w:rsid w:val="00A07B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lianceandsafetyfirst.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lter@delaneyins.com?subject=Covid%20at%20Wor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omplianceandsafetyfirst.com" TargetMode="External"/><Relationship Id="rId4" Type="http://schemas.openxmlformats.org/officeDocument/2006/relationships/settings" Target="settings.xml"/><Relationship Id="rId9" Type="http://schemas.openxmlformats.org/officeDocument/2006/relationships/hyperlink" Target="mailto:gsalter@delaneyins.com?subject=Covid%20at%20Wor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HR%20Brief\2020\HR_Brief-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FF50E-18E0-4C05-A3CA-351930A1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HR_Brief-EB-2020-US</Template>
  <TotalTime>6</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Thiel, Erik</dc:creator>
  <cp:lastModifiedBy>james salter</cp:lastModifiedBy>
  <cp:revision>2</cp:revision>
  <dcterms:created xsi:type="dcterms:W3CDTF">2020-08-07T16:25:00Z</dcterms:created>
  <dcterms:modified xsi:type="dcterms:W3CDTF">2020-08-07T16:25:00Z</dcterms:modified>
</cp:coreProperties>
</file>