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BEB15" w14:textId="77777777" w:rsidR="001F38D2" w:rsidRDefault="001F38D2" w:rsidP="001F38D2">
      <w:pPr>
        <w:spacing w:after="240"/>
        <w:rPr>
          <w:rFonts w:eastAsia="Times New Roman"/>
        </w:rPr>
      </w:pPr>
      <w:r>
        <w:rPr>
          <w:rFonts w:eastAsia="Times New Roman"/>
          <w:b/>
          <w:bCs/>
          <w:sz w:val="27"/>
          <w:szCs w:val="27"/>
        </w:rPr>
        <w:t>Renouvellement des commissions de contrôle des listes électorales dans chaque commune</w:t>
      </w:r>
      <w:r>
        <w:rPr>
          <w:rFonts w:eastAsia="Times New Roman"/>
        </w:rPr>
        <w:br/>
      </w:r>
      <w:r>
        <w:rPr>
          <w:rFonts w:eastAsia="Times New Roman"/>
        </w:rPr>
        <w:br/>
      </w:r>
      <w:r>
        <w:rPr>
          <w:rFonts w:eastAsia="Times New Roman"/>
        </w:rPr>
        <w:br/>
        <w:t>Dans chaque commune, une commission de contrôle des listes électorales est instituée, en application de la loi n°2016-1048 du 1er août 2016 rénovant les modalités d’inscription sur les listes électorales.</w:t>
      </w:r>
      <w:r>
        <w:rPr>
          <w:rFonts w:eastAsia="Times New Roman"/>
        </w:rPr>
        <w:br/>
      </w:r>
      <w:r>
        <w:rPr>
          <w:rFonts w:eastAsia="Times New Roman"/>
        </w:rPr>
        <w:br/>
        <w:t>Pour rappel, la commission de contrôle est chargée d’examiner les recours administratifs formés par les électeurs préalablement à tout recours contentieux contre les décisions prises par le maire à leur encontre et plus généralement, de contrôler la régularité des listes électorales.</w:t>
      </w:r>
      <w:r>
        <w:rPr>
          <w:rFonts w:eastAsia="Times New Roman"/>
        </w:rPr>
        <w:br/>
      </w:r>
      <w:r>
        <w:rPr>
          <w:rFonts w:eastAsia="Times New Roman"/>
        </w:rPr>
        <w:br/>
        <w:t>Les commissions se réunissent obligatoirement entre le 24e et le 21e jour avant chaque scrutin ou, en l’absence de scrutin, au moins une fois par an. Leur secrétariat est assuré par les services municipaux de la commune.</w:t>
      </w:r>
      <w:r>
        <w:rPr>
          <w:rFonts w:eastAsia="Times New Roman"/>
        </w:rPr>
        <w:br/>
      </w:r>
      <w:r>
        <w:rPr>
          <w:rFonts w:eastAsia="Times New Roman"/>
        </w:rPr>
        <w:br/>
        <w:t>Les membres des commissions de contrôle sont nommés par arrêté préfectoral pour une durée de trois ans, et après chaque renouvellement intégral du conseil municipal. Les élections municipales organisées cette année entraînent un renouvellement général des conseils municipaux. Par conséquent, les membres des commissions doivent être à nouveau désignés et nommés par arrêté préfectoral.</w:t>
      </w:r>
      <w:r>
        <w:rPr>
          <w:rFonts w:eastAsia="Times New Roman"/>
        </w:rPr>
        <w:br/>
      </w:r>
      <w:r>
        <w:rPr>
          <w:rFonts w:eastAsia="Times New Roman"/>
        </w:rPr>
        <w:br/>
      </w:r>
      <w:r>
        <w:rPr>
          <w:rFonts w:eastAsia="Times New Roman"/>
          <w:b/>
          <w:bCs/>
        </w:rPr>
        <w:t>Afin de préparer cet arrêté, il vous est demandé d’adresser à la préfecture de l’Oise, à Beauvais, par courrier électronique à l’adresse qui suit :</w:t>
      </w:r>
    </w:p>
    <w:p w14:paraId="7EB67F5C" w14:textId="77777777" w:rsidR="001F38D2" w:rsidRDefault="00E81F23" w:rsidP="001F38D2">
      <w:pPr>
        <w:jc w:val="center"/>
        <w:rPr>
          <w:rFonts w:eastAsia="Times New Roman"/>
        </w:rPr>
      </w:pPr>
      <w:hyperlink r:id="rId6" w:history="1">
        <w:r w:rsidR="001F38D2">
          <w:rPr>
            <w:rStyle w:val="Lienhypertexte"/>
            <w:rFonts w:eastAsia="Times New Roman"/>
            <w:sz w:val="27"/>
            <w:szCs w:val="27"/>
          </w:rPr>
          <w:t>pref-elections@oise.gouv.fr</w:t>
        </w:r>
      </w:hyperlink>
    </w:p>
    <w:p w14:paraId="3A40DAA4" w14:textId="77777777" w:rsidR="001F38D2" w:rsidRDefault="001F38D2" w:rsidP="001F38D2">
      <w:pPr>
        <w:spacing w:after="240"/>
        <w:rPr>
          <w:rFonts w:eastAsia="Times New Roman"/>
        </w:rPr>
      </w:pPr>
      <w:r>
        <w:rPr>
          <w:rFonts w:eastAsia="Times New Roman"/>
        </w:rPr>
        <w:br/>
      </w:r>
      <w:proofErr w:type="gramStart"/>
      <w:r>
        <w:rPr>
          <w:rFonts w:eastAsia="Times New Roman"/>
        </w:rPr>
        <w:t>les</w:t>
      </w:r>
      <w:proofErr w:type="gramEnd"/>
      <w:r>
        <w:rPr>
          <w:rFonts w:eastAsia="Times New Roman"/>
        </w:rPr>
        <w:t xml:space="preserve"> documents nécessaires, en fonction du nombre d’habitants dans la commune, moins de 1 000 habitants ou bien 1 000 habitants et plus.</w:t>
      </w:r>
      <w:r>
        <w:rPr>
          <w:rFonts w:eastAsia="Times New Roman"/>
        </w:rPr>
        <w:br/>
      </w:r>
      <w:r>
        <w:rPr>
          <w:rFonts w:eastAsia="Times New Roman"/>
        </w:rPr>
        <w:br/>
      </w:r>
      <w:r>
        <w:rPr>
          <w:rFonts w:eastAsia="Times New Roman"/>
        </w:rPr>
        <w:br/>
        <w:t>Vous trouverez les fiches et les tableaux récapitulatifs à fournir sur le site internet des services de l’État dans l’Oise, en suivant ce lien :</w:t>
      </w:r>
    </w:p>
    <w:p w14:paraId="6510A6E8" w14:textId="77777777" w:rsidR="001F38D2" w:rsidRDefault="00E81F23" w:rsidP="001F38D2">
      <w:pPr>
        <w:jc w:val="center"/>
        <w:rPr>
          <w:rFonts w:eastAsia="Times New Roman"/>
        </w:rPr>
      </w:pPr>
      <w:hyperlink r:id="rId7" w:history="1">
        <w:r w:rsidR="001F38D2">
          <w:rPr>
            <w:rStyle w:val="Lienhypertexte"/>
            <w:rFonts w:eastAsia="Times New Roman"/>
          </w:rPr>
          <w:t>http://www.oise.gouv.fr/Demarches-administratives/Elections/COMMISSIONS-DE-LISTES-ELECTORALES/Note-explicative-sur-les-commissions-de-listes-electorales</w:t>
        </w:r>
      </w:hyperlink>
    </w:p>
    <w:p w14:paraId="4AE0109C" w14:textId="77777777" w:rsidR="001F38D2" w:rsidRDefault="001F38D2" w:rsidP="001F38D2">
      <w:pPr>
        <w:spacing w:after="240"/>
        <w:rPr>
          <w:rFonts w:eastAsia="Times New Roman"/>
        </w:rPr>
      </w:pPr>
      <w:r>
        <w:rPr>
          <w:rFonts w:eastAsia="Times New Roman"/>
        </w:rPr>
        <w:br/>
      </w:r>
      <w:r>
        <w:rPr>
          <w:rFonts w:eastAsia="Times New Roman"/>
        </w:rPr>
        <w:br/>
      </w:r>
      <w:r>
        <w:rPr>
          <w:rFonts w:eastAsia="Times New Roman"/>
          <w:b/>
          <w:bCs/>
        </w:rPr>
        <w:t>Il s’agit :</w:t>
      </w:r>
      <w:r>
        <w:rPr>
          <w:rFonts w:eastAsia="Times New Roman"/>
        </w:rPr>
        <w:br/>
      </w:r>
      <w:r>
        <w:rPr>
          <w:rFonts w:eastAsia="Times New Roman"/>
        </w:rPr>
        <w:br/>
        <w:t xml:space="preserve">    </w:t>
      </w:r>
      <w:r>
        <w:rPr>
          <w:rFonts w:eastAsia="Times New Roman"/>
          <w:u w:val="single"/>
        </w:rPr>
        <w:t>A &gt; communes de moins de 1 000 habitants </w:t>
      </w:r>
      <w:r>
        <w:rPr>
          <w:rFonts w:eastAsia="Times New Roman"/>
        </w:rPr>
        <w:t xml:space="preserve">: fiche conseiller municipal + </w:t>
      </w:r>
      <w:proofErr w:type="gramStart"/>
      <w:r>
        <w:rPr>
          <w:rFonts w:eastAsia="Times New Roman"/>
        </w:rPr>
        <w:t>fiche délégué</w:t>
      </w:r>
      <w:proofErr w:type="gramEnd"/>
      <w:r>
        <w:rPr>
          <w:rFonts w:eastAsia="Times New Roman"/>
        </w:rPr>
        <w:t xml:space="preserve"> de l’administration + fiche délégué du tribunal + tableau récapitulatif</w:t>
      </w:r>
    </w:p>
    <w:tbl>
      <w:tblPr>
        <w:tblW w:w="4500" w:type="pct"/>
        <w:tblCellSpacing w:w="12" w:type="dxa"/>
        <w:tblBorders>
          <w:top w:val="outset" w:sz="36" w:space="0" w:color="auto"/>
          <w:left w:val="outset" w:sz="36" w:space="0" w:color="auto"/>
          <w:bottom w:val="outset" w:sz="36" w:space="0" w:color="auto"/>
          <w:right w:val="outset" w:sz="36" w:space="0" w:color="auto"/>
        </w:tblBorders>
        <w:tblCellMar>
          <w:top w:w="24" w:type="dxa"/>
          <w:left w:w="24" w:type="dxa"/>
          <w:bottom w:w="24" w:type="dxa"/>
          <w:right w:w="24" w:type="dxa"/>
        </w:tblCellMar>
        <w:tblLook w:val="04A0" w:firstRow="1" w:lastRow="0" w:firstColumn="1" w:lastColumn="0" w:noHBand="0" w:noVBand="1"/>
      </w:tblPr>
      <w:tblGrid>
        <w:gridCol w:w="8150"/>
      </w:tblGrid>
      <w:tr w:rsidR="001F38D2" w14:paraId="7F0C44F7" w14:textId="77777777" w:rsidTr="001F38D2">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14:paraId="10EA13F4" w14:textId="77777777" w:rsidR="001F38D2" w:rsidRDefault="001F38D2">
            <w:pPr>
              <w:rPr>
                <w:rFonts w:eastAsia="Times New Roman"/>
              </w:rPr>
            </w:pPr>
            <w:r>
              <w:rPr>
                <w:rFonts w:eastAsia="Times New Roman"/>
                <w:b/>
                <w:bCs/>
              </w:rPr>
              <w:t>Rappels pour la désignation des délégués dans les communes de moins de 1 000 habitants :</w:t>
            </w:r>
            <w:r>
              <w:rPr>
                <w:rFonts w:eastAsia="Times New Roman"/>
              </w:rPr>
              <w:br/>
            </w:r>
            <w:r>
              <w:rPr>
                <w:rFonts w:eastAsia="Times New Roman"/>
              </w:rPr>
              <w:br/>
              <w:t>1 - Vous devez proposer d’une part au tribunal et d’autre part à la préfecture, les noms de 2 ou 3 personnes à chacun de ces deux services.</w:t>
            </w:r>
            <w:r>
              <w:rPr>
                <w:rFonts w:eastAsia="Times New Roman"/>
              </w:rPr>
              <w:br/>
            </w:r>
            <w:r>
              <w:rPr>
                <w:rFonts w:eastAsia="Times New Roman"/>
              </w:rPr>
              <w:br/>
              <w:t xml:space="preserve">2- De son côté, le tribunal sélectionnera son délégué parmi les 2 ou 3 personnes que vous </w:t>
            </w:r>
            <w:r>
              <w:rPr>
                <w:rFonts w:eastAsia="Times New Roman"/>
              </w:rPr>
              <w:lastRenderedPageBreak/>
              <w:t>aurez proposées et sa décision vous sera transmise par une ordonnance.</w:t>
            </w:r>
            <w:r>
              <w:rPr>
                <w:rFonts w:eastAsia="Times New Roman"/>
              </w:rPr>
              <w:br/>
            </w:r>
            <w:r>
              <w:rPr>
                <w:rFonts w:eastAsia="Times New Roman"/>
              </w:rPr>
              <w:br/>
              <w:t>3- De leur côté, nos services en préfecture recevront également de votre part les noms de 2 ou 3 autres personnes, le préfet choisira un délégué et vous en informera en retour.</w:t>
            </w:r>
            <w:r>
              <w:rPr>
                <w:rFonts w:eastAsia="Times New Roman"/>
              </w:rPr>
              <w:br/>
            </w:r>
            <w:r>
              <w:rPr>
                <w:rFonts w:eastAsia="Times New Roman"/>
              </w:rPr>
              <w:br/>
              <w:t>4 – Une fois que le tribunal vous a répondu et vous a communiqué le nom du délégué qu’il a choisi, et que la préfecture aussi vous a répondu et communiqué le nom du délégué qu’elle a choisi, vous remplissez les fiches « délégué du tribunal » et « délégué de l’administration, vous établissez le tableau récapitulatif et lorsque toutes ces démarches sont accomplies, vous transmettez le tout à la préfecture.</w:t>
            </w:r>
          </w:p>
        </w:tc>
      </w:tr>
    </w:tbl>
    <w:p w14:paraId="14BEA2F5" w14:textId="77777777" w:rsidR="001F38D2" w:rsidRDefault="001F38D2" w:rsidP="001F38D2">
      <w:pPr>
        <w:spacing w:after="240"/>
        <w:rPr>
          <w:rFonts w:eastAsia="Times New Roman"/>
        </w:rPr>
      </w:pPr>
      <w:r>
        <w:rPr>
          <w:rFonts w:eastAsia="Times New Roman"/>
        </w:rPr>
        <w:lastRenderedPageBreak/>
        <w:br/>
      </w:r>
      <w:r>
        <w:rPr>
          <w:rFonts w:eastAsia="Times New Roman"/>
        </w:rPr>
        <w:br/>
      </w:r>
      <w:r>
        <w:rPr>
          <w:rFonts w:eastAsia="Times New Roman"/>
        </w:rPr>
        <w:br/>
        <w:t>   </w:t>
      </w:r>
      <w:r>
        <w:rPr>
          <w:rFonts w:eastAsia="Times New Roman"/>
          <w:u w:val="single"/>
        </w:rPr>
        <w:t xml:space="preserve"> B &gt; communes de 1 000 habitants et plus : fiches membres + tableau récapitulatif.</w:t>
      </w:r>
      <w:r>
        <w:rPr>
          <w:rFonts w:eastAsia="Times New Roman"/>
        </w:rPr>
        <w:br/>
      </w:r>
      <w:r>
        <w:rPr>
          <w:rFonts w:eastAsia="Times New Roman"/>
        </w:rPr>
        <w:br/>
      </w:r>
      <w:r>
        <w:rPr>
          <w:rFonts w:eastAsia="Times New Roman"/>
        </w:rPr>
        <w:br/>
        <w:t xml:space="preserve">Vous veillerez à respecter que </w:t>
      </w:r>
      <w:r>
        <w:rPr>
          <w:rFonts w:eastAsia="Times New Roman"/>
          <w:b/>
          <w:bCs/>
          <w:u w:val="single"/>
        </w:rPr>
        <w:t>le maire, les adjoints titulaires d’une délégation et les conseillers municipaux titulaires d’une délégation en matière d’inscription sur la liste électorale ne soient pas membres de la commission</w:t>
      </w:r>
      <w:r>
        <w:rPr>
          <w:rFonts w:eastAsia="Times New Roman"/>
        </w:rPr>
        <w:t xml:space="preserve"> de contrôle, quel que soit le nombre d’habitants de la commune.</w:t>
      </w:r>
      <w:r>
        <w:rPr>
          <w:rFonts w:eastAsia="Times New Roman"/>
        </w:rPr>
        <w:br/>
      </w:r>
      <w:r>
        <w:rPr>
          <w:rFonts w:eastAsia="Times New Roman"/>
        </w:rPr>
        <w:br/>
      </w:r>
      <w:r>
        <w:rPr>
          <w:rFonts w:eastAsia="Times New Roman"/>
          <w:b/>
          <w:bCs/>
        </w:rPr>
        <w:t xml:space="preserve">Vos tableaux et vos fiches doivent être transmis pour le </w:t>
      </w:r>
      <w:r>
        <w:rPr>
          <w:rFonts w:eastAsia="Times New Roman"/>
          <w:b/>
          <w:bCs/>
          <w:u w:val="single"/>
        </w:rPr>
        <w:t>1er septembre 2020</w:t>
      </w:r>
      <w:r>
        <w:rPr>
          <w:rFonts w:eastAsia="Times New Roman"/>
          <w:b/>
          <w:bCs/>
        </w:rPr>
        <w:t xml:space="preserve"> au plus tard.</w:t>
      </w:r>
    </w:p>
    <w:p w14:paraId="7CD215BA" w14:textId="77777777" w:rsidR="005A425B" w:rsidRDefault="005A425B"/>
    <w:sectPr w:rsidR="005A425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EC4CD" w14:textId="77777777" w:rsidR="00E81F23" w:rsidRDefault="00E81F23" w:rsidP="00322EB9">
      <w:r>
        <w:separator/>
      </w:r>
    </w:p>
  </w:endnote>
  <w:endnote w:type="continuationSeparator" w:id="0">
    <w:p w14:paraId="3CC7BBE3" w14:textId="77777777" w:rsidR="00E81F23" w:rsidRDefault="00E81F23" w:rsidP="0032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C4400" w14:textId="1DFB07C9" w:rsidR="00322EB9" w:rsidRDefault="00322EB9">
    <w:pPr>
      <w:pStyle w:val="Pieddepage"/>
    </w:pPr>
    <w:r>
      <w:t>UMO – Sébastien Piatkowski le 17 juin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8C86B" w14:textId="77777777" w:rsidR="00E81F23" w:rsidRDefault="00E81F23" w:rsidP="00322EB9">
      <w:r>
        <w:separator/>
      </w:r>
    </w:p>
  </w:footnote>
  <w:footnote w:type="continuationSeparator" w:id="0">
    <w:p w14:paraId="54E2F776" w14:textId="77777777" w:rsidR="00E81F23" w:rsidRDefault="00E81F23" w:rsidP="00322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34"/>
    <w:rsid w:val="001F38D2"/>
    <w:rsid w:val="00322EB9"/>
    <w:rsid w:val="005A425B"/>
    <w:rsid w:val="00984C34"/>
    <w:rsid w:val="00E81F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2C92"/>
  <w15:chartTrackingRefBased/>
  <w15:docId w15:val="{ECA33E8C-225F-4D32-A2A9-073F9C7A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8D2"/>
    <w:pPr>
      <w:spacing w:after="0" w:line="240" w:lineRule="auto"/>
    </w:pPr>
    <w:rPr>
      <w:rFonts w:ascii="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F38D2"/>
    <w:rPr>
      <w:color w:val="0000FF"/>
      <w:u w:val="single"/>
    </w:rPr>
  </w:style>
  <w:style w:type="paragraph" w:styleId="En-tte">
    <w:name w:val="header"/>
    <w:basedOn w:val="Normal"/>
    <w:link w:val="En-tteCar"/>
    <w:uiPriority w:val="99"/>
    <w:unhideWhenUsed/>
    <w:rsid w:val="00322EB9"/>
    <w:pPr>
      <w:tabs>
        <w:tab w:val="center" w:pos="4536"/>
        <w:tab w:val="right" w:pos="9072"/>
      </w:tabs>
    </w:pPr>
  </w:style>
  <w:style w:type="character" w:customStyle="1" w:styleId="En-tteCar">
    <w:name w:val="En-tête Car"/>
    <w:basedOn w:val="Policepardfaut"/>
    <w:link w:val="En-tte"/>
    <w:uiPriority w:val="99"/>
    <w:rsid w:val="00322EB9"/>
    <w:rPr>
      <w:rFonts w:ascii="Calibri" w:hAnsi="Calibri" w:cs="Calibri"/>
      <w:color w:val="000000"/>
      <w:lang w:eastAsia="fr-FR"/>
    </w:rPr>
  </w:style>
  <w:style w:type="paragraph" w:styleId="Pieddepage">
    <w:name w:val="footer"/>
    <w:basedOn w:val="Normal"/>
    <w:link w:val="PieddepageCar"/>
    <w:uiPriority w:val="99"/>
    <w:unhideWhenUsed/>
    <w:rsid w:val="00322EB9"/>
    <w:pPr>
      <w:tabs>
        <w:tab w:val="center" w:pos="4536"/>
        <w:tab w:val="right" w:pos="9072"/>
      </w:tabs>
    </w:pPr>
  </w:style>
  <w:style w:type="character" w:customStyle="1" w:styleId="PieddepageCar">
    <w:name w:val="Pied de page Car"/>
    <w:basedOn w:val="Policepardfaut"/>
    <w:link w:val="Pieddepage"/>
    <w:uiPriority w:val="99"/>
    <w:rsid w:val="00322EB9"/>
    <w:rPr>
      <w:rFonts w:ascii="Calibri"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6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oise.gouv.fr/Demarches-administratives/Elections/COMMISSIONS-DE-LISTES-ELECTORALES/Note-explicative-sur-les-commissions-de-listes-elector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f-elections@oise.gouv.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3093</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Piat</dc:creator>
  <cp:keywords/>
  <dc:description/>
  <cp:lastModifiedBy>Seb Piat</cp:lastModifiedBy>
  <cp:revision>3</cp:revision>
  <dcterms:created xsi:type="dcterms:W3CDTF">2020-06-17T16:23:00Z</dcterms:created>
  <dcterms:modified xsi:type="dcterms:W3CDTF">2020-06-17T16:24:00Z</dcterms:modified>
</cp:coreProperties>
</file>