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57" w:rsidRDefault="00607728">
      <w:pPr>
        <w:jc w:val="center"/>
        <w:rPr>
          <w:rFonts w:ascii="標楷體" w:eastAsia="標楷體" w:hAnsi="標楷體"/>
          <w:b/>
          <w:sz w:val="36"/>
          <w:szCs w:val="36"/>
        </w:rPr>
      </w:pPr>
      <w:r>
        <w:rPr>
          <w:rFonts w:ascii="標楷體" w:eastAsia="標楷體" w:hAnsi="標楷體"/>
          <w:b/>
          <w:sz w:val="36"/>
          <w:szCs w:val="36"/>
        </w:rPr>
        <w:t>財政部</w:t>
      </w:r>
      <w:r>
        <w:rPr>
          <w:rFonts w:ascii="標楷體" w:eastAsia="標楷體" w:hAnsi="標楷體"/>
          <w:b/>
          <w:sz w:val="36"/>
          <w:szCs w:val="36"/>
        </w:rPr>
        <w:t>北區</w:t>
      </w:r>
      <w:r>
        <w:rPr>
          <w:rFonts w:ascii="標楷體" w:eastAsia="標楷體" w:hAnsi="標楷體"/>
          <w:b/>
          <w:sz w:val="36"/>
          <w:szCs w:val="36"/>
        </w:rPr>
        <w:t>國稅局</w:t>
      </w:r>
    </w:p>
    <w:p w:rsidR="00216C57" w:rsidRDefault="00607728">
      <w:pPr>
        <w:jc w:val="center"/>
        <w:rPr>
          <w:rFonts w:ascii="標楷體" w:eastAsia="標楷體" w:hAnsi="標楷體"/>
          <w:b/>
          <w:sz w:val="36"/>
          <w:szCs w:val="36"/>
        </w:rPr>
      </w:pPr>
      <w:bookmarkStart w:id="0" w:name="_GoBack"/>
      <w:r>
        <w:rPr>
          <w:rFonts w:ascii="標楷體" w:eastAsia="標楷體" w:hAnsi="標楷體"/>
          <w:b/>
          <w:sz w:val="36"/>
          <w:szCs w:val="36"/>
        </w:rPr>
        <w:t>個人房地合一課徵所得稅自我檢核表</w:t>
      </w:r>
    </w:p>
    <w:bookmarkEnd w:id="0"/>
    <w:p w:rsidR="00216C57" w:rsidRDefault="00607728">
      <w:pPr>
        <w:spacing w:before="240" w:after="0"/>
        <w:rPr>
          <w:rFonts w:ascii="標楷體" w:eastAsia="標楷體" w:hAnsi="標楷體" w:cs="Times New Roman"/>
          <w:sz w:val="28"/>
          <w:szCs w:val="28"/>
        </w:rPr>
      </w:pPr>
      <w:r>
        <w:rPr>
          <w:rFonts w:ascii="標楷體" w:eastAsia="標楷體" w:hAnsi="標楷體" w:cs="Times New Roman"/>
          <w:sz w:val="28"/>
          <w:szCs w:val="28"/>
        </w:rPr>
        <w:t>為協助您正確申報房地合一所得稅制</w:t>
      </w:r>
      <w:r>
        <w:rPr>
          <w:rFonts w:ascii="標楷體" w:eastAsia="標楷體" w:hAnsi="標楷體" w:cs="Times New Roman"/>
          <w:sz w:val="28"/>
          <w:szCs w:val="28"/>
        </w:rPr>
        <w:t>(</w:t>
      </w:r>
      <w:r>
        <w:rPr>
          <w:rFonts w:ascii="標楷體" w:eastAsia="標楷體" w:hAnsi="標楷體" w:cs="Times New Roman"/>
          <w:sz w:val="28"/>
          <w:szCs w:val="28"/>
        </w:rPr>
        <w:t>新制</w:t>
      </w:r>
      <w:r>
        <w:rPr>
          <w:rFonts w:ascii="標楷體" w:eastAsia="標楷體" w:hAnsi="標楷體" w:cs="Times New Roman"/>
          <w:sz w:val="28"/>
          <w:szCs w:val="28"/>
        </w:rPr>
        <w:t>)</w:t>
      </w:r>
      <w:r>
        <w:rPr>
          <w:rFonts w:ascii="標楷體" w:eastAsia="標楷體" w:hAnsi="標楷體" w:cs="Times New Roman"/>
          <w:sz w:val="28"/>
          <w:szCs w:val="28"/>
        </w:rPr>
        <w:t>，</w:t>
      </w:r>
      <w:r>
        <w:rPr>
          <w:rFonts w:ascii="標楷體" w:eastAsia="標楷體" w:hAnsi="標楷體"/>
          <w:sz w:val="28"/>
          <w:szCs w:val="28"/>
        </w:rPr>
        <w:t>自</w:t>
      </w:r>
      <w:r>
        <w:rPr>
          <w:rFonts w:ascii="標楷體" w:eastAsia="標楷體" w:hAnsi="標楷體" w:cs="Times New Roman"/>
          <w:b/>
          <w:sz w:val="28"/>
          <w:szCs w:val="28"/>
          <w:u w:val="single"/>
          <w:shd w:val="pct15" w:color="auto" w:fill="FFFFFF"/>
        </w:rPr>
        <w:t>105</w:t>
      </w:r>
      <w:r>
        <w:rPr>
          <w:rFonts w:ascii="標楷體" w:eastAsia="標楷體" w:hAnsi="標楷體" w:cs="Times New Roman"/>
          <w:b/>
          <w:sz w:val="28"/>
          <w:szCs w:val="28"/>
          <w:u w:val="single"/>
          <w:shd w:val="pct15" w:color="auto" w:fill="FFFFFF"/>
        </w:rPr>
        <w:t>年</w:t>
      </w:r>
      <w:r>
        <w:rPr>
          <w:rFonts w:ascii="標楷體" w:eastAsia="標楷體" w:hAnsi="標楷體" w:cs="Times New Roman"/>
          <w:b/>
          <w:sz w:val="28"/>
          <w:szCs w:val="28"/>
          <w:u w:val="single"/>
          <w:shd w:val="pct15" w:color="auto" w:fill="FFFFFF"/>
        </w:rPr>
        <w:t>1</w:t>
      </w:r>
      <w:r>
        <w:rPr>
          <w:rFonts w:ascii="標楷體" w:eastAsia="標楷體" w:hAnsi="標楷體" w:cs="Times New Roman"/>
          <w:b/>
          <w:sz w:val="28"/>
          <w:szCs w:val="28"/>
          <w:u w:val="single"/>
          <w:shd w:val="pct15" w:color="auto" w:fill="FFFFFF"/>
        </w:rPr>
        <w:t>月</w:t>
      </w:r>
      <w:r>
        <w:rPr>
          <w:rFonts w:ascii="標楷體" w:eastAsia="標楷體" w:hAnsi="標楷體" w:cs="Times New Roman"/>
          <w:b/>
          <w:sz w:val="28"/>
          <w:szCs w:val="28"/>
          <w:u w:val="single"/>
          <w:shd w:val="pct15" w:color="auto" w:fill="FFFFFF"/>
        </w:rPr>
        <w:t>1</w:t>
      </w:r>
      <w:r>
        <w:rPr>
          <w:rFonts w:ascii="標楷體" w:eastAsia="標楷體" w:hAnsi="標楷體" w:cs="Times New Roman"/>
          <w:b/>
          <w:sz w:val="28"/>
          <w:szCs w:val="28"/>
          <w:u w:val="single"/>
          <w:shd w:val="pct15" w:color="auto" w:fill="FFFFFF"/>
        </w:rPr>
        <w:t>日</w:t>
      </w:r>
      <w:r>
        <w:rPr>
          <w:rFonts w:ascii="標楷體" w:eastAsia="標楷體" w:hAnsi="標楷體" w:cs="Times New Roman"/>
          <w:sz w:val="28"/>
          <w:szCs w:val="28"/>
        </w:rPr>
        <w:t>起，您如果有交易</w:t>
      </w:r>
      <w:r>
        <w:rPr>
          <w:rFonts w:ascii="標楷體" w:eastAsia="標楷體" w:hAnsi="標楷體" w:cs="Times New Roman"/>
          <w:sz w:val="28"/>
          <w:szCs w:val="28"/>
        </w:rPr>
        <w:t>(</w:t>
      </w:r>
      <w:r>
        <w:rPr>
          <w:rFonts w:ascii="標楷體" w:eastAsia="標楷體" w:hAnsi="標楷體" w:cs="Times New Roman"/>
          <w:sz w:val="28"/>
          <w:szCs w:val="28"/>
        </w:rPr>
        <w:t>出售或交換</w:t>
      </w:r>
      <w:r>
        <w:rPr>
          <w:rFonts w:ascii="標楷體" w:eastAsia="標楷體" w:hAnsi="標楷體" w:cs="Times New Roman"/>
          <w:sz w:val="28"/>
          <w:szCs w:val="28"/>
        </w:rPr>
        <w:t>)</w:t>
      </w:r>
      <w:r>
        <w:rPr>
          <w:rFonts w:ascii="標楷體" w:eastAsia="標楷體" w:hAnsi="標楷體" w:cs="Times New Roman"/>
          <w:sz w:val="28"/>
          <w:szCs w:val="28"/>
        </w:rPr>
        <w:t>房屋、土地者</w:t>
      </w:r>
      <w:r>
        <w:rPr>
          <w:rFonts w:ascii="標楷體" w:eastAsia="標楷體" w:hAnsi="標楷體" w:cs="Times New Roman"/>
          <w:sz w:val="28"/>
          <w:szCs w:val="28"/>
        </w:rPr>
        <w:t>(</w:t>
      </w:r>
      <w:r>
        <w:rPr>
          <w:rFonts w:ascii="標楷體" w:eastAsia="標楷體" w:hAnsi="標楷體" w:cs="Times New Roman"/>
          <w:sz w:val="28"/>
          <w:szCs w:val="28"/>
        </w:rPr>
        <w:t>包括</w:t>
      </w:r>
      <w:r>
        <w:rPr>
          <w:rFonts w:ascii="標楷體" w:eastAsia="標楷體" w:hAnsi="標楷體" w:cs="Times New Roman"/>
          <w:sz w:val="28"/>
          <w:szCs w:val="28"/>
        </w:rPr>
        <w:t>105</w:t>
      </w:r>
      <w:r>
        <w:rPr>
          <w:rFonts w:ascii="標楷體" w:eastAsia="標楷體" w:hAnsi="標楷體" w:cs="Times New Roman"/>
          <w:sz w:val="28"/>
          <w:szCs w:val="28"/>
        </w:rPr>
        <w:t>年</w:t>
      </w:r>
      <w:r>
        <w:rPr>
          <w:rFonts w:ascii="標楷體" w:eastAsia="標楷體" w:hAnsi="標楷體" w:cs="Times New Roman"/>
          <w:sz w:val="28"/>
          <w:szCs w:val="28"/>
        </w:rPr>
        <w:t>1</w:t>
      </w:r>
      <w:r>
        <w:rPr>
          <w:rFonts w:ascii="標楷體" w:eastAsia="標楷體" w:hAnsi="標楷體" w:cs="Times New Roman"/>
          <w:sz w:val="28"/>
          <w:szCs w:val="28"/>
        </w:rPr>
        <w:t>月</w:t>
      </w:r>
      <w:r>
        <w:rPr>
          <w:rFonts w:ascii="標楷體" w:eastAsia="標楷體" w:hAnsi="標楷體" w:cs="Times New Roman"/>
          <w:sz w:val="28"/>
          <w:szCs w:val="28"/>
        </w:rPr>
        <w:t>1</w:t>
      </w:r>
      <w:r>
        <w:rPr>
          <w:rFonts w:ascii="標楷體" w:eastAsia="標楷體" w:hAnsi="標楷體" w:cs="Times New Roman"/>
          <w:sz w:val="28"/>
          <w:szCs w:val="28"/>
        </w:rPr>
        <w:t>日以後取得以設定地上權方式的房屋使用權</w:t>
      </w:r>
      <w:r>
        <w:rPr>
          <w:rFonts w:ascii="標楷體" w:eastAsia="標楷體" w:hAnsi="標楷體" w:cs="Times New Roman"/>
          <w:sz w:val="28"/>
          <w:szCs w:val="28"/>
        </w:rPr>
        <w:t>)</w:t>
      </w:r>
      <w:r>
        <w:rPr>
          <w:rFonts w:ascii="標楷體" w:eastAsia="標楷體" w:hAnsi="標楷體" w:cs="Times New Roman"/>
          <w:sz w:val="28"/>
          <w:szCs w:val="28"/>
        </w:rPr>
        <w:t>，</w:t>
      </w:r>
      <w:proofErr w:type="gramStart"/>
      <w:r>
        <w:rPr>
          <w:rFonts w:ascii="標楷體" w:eastAsia="標楷體" w:hAnsi="標楷體" w:cs="Times New Roman"/>
          <w:sz w:val="28"/>
          <w:szCs w:val="28"/>
        </w:rPr>
        <w:t>請逐題閱讀後勾</w:t>
      </w:r>
      <w:proofErr w:type="gramEnd"/>
      <w:r>
        <w:rPr>
          <w:rFonts w:ascii="標楷體" w:eastAsia="標楷體" w:hAnsi="標楷體" w:cs="Times New Roman"/>
          <w:sz w:val="28"/>
          <w:szCs w:val="28"/>
        </w:rPr>
        <w:t>選，以瞭解您所交易之房屋、土地是否屬新制課稅範圍。</w:t>
      </w:r>
    </w:p>
    <w:p w:rsidR="00216C57" w:rsidRDefault="00607728">
      <w:pPr>
        <w:pStyle w:val="ac"/>
        <w:numPr>
          <w:ilvl w:val="0"/>
          <w:numId w:val="1"/>
        </w:numPr>
        <w:rPr>
          <w:rFonts w:ascii="標楷體" w:eastAsia="標楷體" w:hAnsi="標楷體"/>
          <w:sz w:val="28"/>
          <w:szCs w:val="28"/>
        </w:rPr>
      </w:pPr>
      <w:r>
        <w:rPr>
          <w:rFonts w:ascii="標楷體" w:eastAsia="標楷體" w:hAnsi="標楷體"/>
          <w:sz w:val="28"/>
          <w:szCs w:val="28"/>
        </w:rPr>
        <w:t>交易的房地是否因</w:t>
      </w:r>
      <w:r>
        <w:rPr>
          <w:rFonts w:ascii="標楷體" w:eastAsia="標楷體" w:hAnsi="標楷體"/>
          <w:b/>
          <w:sz w:val="28"/>
          <w:szCs w:val="28"/>
        </w:rPr>
        <w:t>繼承</w:t>
      </w:r>
      <w:r>
        <w:rPr>
          <w:rFonts w:ascii="標楷體" w:eastAsia="標楷體" w:hAnsi="標楷體"/>
          <w:sz w:val="28"/>
          <w:szCs w:val="28"/>
        </w:rPr>
        <w:t>而取得？</w:t>
      </w:r>
    </w:p>
    <w:p w:rsidR="00216C57" w:rsidRDefault="00607728">
      <w:pPr>
        <w:pStyle w:val="ac"/>
        <w:ind w:left="72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是，</w:t>
      </w:r>
      <w:proofErr w:type="gramStart"/>
      <w:r>
        <w:rPr>
          <w:rFonts w:ascii="標楷體" w:eastAsia="標楷體" w:hAnsi="標楷體"/>
          <w:sz w:val="28"/>
          <w:szCs w:val="28"/>
        </w:rPr>
        <w:t>請至題</w:t>
      </w:r>
      <w:proofErr w:type="gramEnd"/>
      <w:r>
        <w:rPr>
          <w:rFonts w:ascii="標楷體" w:eastAsia="標楷體" w:hAnsi="標楷體"/>
          <w:sz w:val="28"/>
          <w:szCs w:val="28"/>
        </w:rPr>
        <w:t>二。</w:t>
      </w:r>
    </w:p>
    <w:p w:rsidR="00216C57" w:rsidRDefault="00607728">
      <w:pPr>
        <w:pStyle w:val="ac"/>
        <w:ind w:left="720"/>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否</w:t>
      </w:r>
      <w:proofErr w:type="gramEnd"/>
      <w:r>
        <w:rPr>
          <w:rFonts w:ascii="標楷體" w:eastAsia="標楷體" w:hAnsi="標楷體"/>
          <w:sz w:val="28"/>
          <w:szCs w:val="28"/>
        </w:rPr>
        <w:t>，請至題</w:t>
      </w:r>
      <w:proofErr w:type="gramStart"/>
      <w:r>
        <w:rPr>
          <w:rFonts w:ascii="標楷體" w:eastAsia="標楷體" w:hAnsi="標楷體"/>
          <w:sz w:val="28"/>
          <w:szCs w:val="28"/>
        </w:rPr>
        <w:t>三</w:t>
      </w:r>
      <w:proofErr w:type="gramEnd"/>
      <w:r>
        <w:rPr>
          <w:rFonts w:ascii="標楷體" w:eastAsia="標楷體" w:hAnsi="標楷體"/>
          <w:sz w:val="28"/>
          <w:szCs w:val="28"/>
        </w:rPr>
        <w:t>。</w:t>
      </w:r>
    </w:p>
    <w:p w:rsidR="00216C57" w:rsidRDefault="00607728">
      <w:pPr>
        <w:pStyle w:val="ac"/>
        <w:numPr>
          <w:ilvl w:val="0"/>
          <w:numId w:val="1"/>
        </w:numPr>
        <w:rPr>
          <w:rFonts w:ascii="標楷體" w:eastAsia="標楷體" w:hAnsi="標楷體" w:cs="Times New Roman"/>
          <w:sz w:val="28"/>
          <w:szCs w:val="28"/>
        </w:rPr>
      </w:pPr>
      <w:r>
        <w:rPr>
          <w:rFonts w:ascii="標楷體" w:eastAsia="標楷體" w:hAnsi="標楷體" w:cs="Times New Roman"/>
          <w:sz w:val="28"/>
          <w:szCs w:val="28"/>
        </w:rPr>
        <w:t>交易因繼承取得的</w:t>
      </w:r>
      <w:r>
        <w:rPr>
          <w:rFonts w:ascii="標楷體" w:eastAsia="標楷體" w:hAnsi="標楷體"/>
          <w:sz w:val="28"/>
          <w:szCs w:val="28"/>
        </w:rPr>
        <w:t>房地，</w:t>
      </w:r>
      <w:r>
        <w:rPr>
          <w:rFonts w:ascii="標楷體" w:eastAsia="標楷體" w:hAnsi="標楷體" w:cs="Times New Roman"/>
          <w:b/>
          <w:color w:val="000000"/>
          <w:sz w:val="28"/>
          <w:szCs w:val="28"/>
        </w:rPr>
        <w:t>被繼承人</w:t>
      </w:r>
      <w:r>
        <w:rPr>
          <w:rFonts w:ascii="標楷體" w:eastAsia="標楷體" w:hAnsi="標楷體" w:cs="Times New Roman"/>
          <w:color w:val="000000"/>
          <w:sz w:val="28"/>
          <w:szCs w:val="28"/>
        </w:rPr>
        <w:t>是否於</w:t>
      </w:r>
      <w:r>
        <w:rPr>
          <w:rFonts w:ascii="標楷體" w:eastAsia="標楷體" w:hAnsi="標楷體" w:cs="Times New Roman"/>
          <w:color w:val="000000"/>
          <w:sz w:val="28"/>
          <w:szCs w:val="28"/>
        </w:rPr>
        <w:t>105</w:t>
      </w:r>
      <w:r>
        <w:rPr>
          <w:rFonts w:ascii="標楷體" w:eastAsia="標楷體" w:hAnsi="標楷體" w:cs="Times New Roman"/>
          <w:color w:val="000000"/>
          <w:sz w:val="28"/>
          <w:szCs w:val="28"/>
        </w:rPr>
        <w:t>年</w:t>
      </w:r>
      <w:r>
        <w:rPr>
          <w:rFonts w:ascii="標楷體" w:eastAsia="標楷體" w:hAnsi="標楷體" w:cs="Times New Roman"/>
          <w:color w:val="000000"/>
          <w:sz w:val="28"/>
          <w:szCs w:val="28"/>
        </w:rPr>
        <w:t>1</w:t>
      </w:r>
      <w:r>
        <w:rPr>
          <w:rFonts w:ascii="標楷體" w:eastAsia="標楷體" w:hAnsi="標楷體" w:cs="Times New Roman"/>
          <w:color w:val="000000"/>
          <w:sz w:val="28"/>
          <w:szCs w:val="28"/>
        </w:rPr>
        <w:t>月</w:t>
      </w:r>
      <w:r>
        <w:rPr>
          <w:rFonts w:ascii="標楷體" w:eastAsia="標楷體" w:hAnsi="標楷體" w:cs="Times New Roman"/>
          <w:color w:val="000000"/>
          <w:sz w:val="28"/>
          <w:szCs w:val="28"/>
        </w:rPr>
        <w:t>1</w:t>
      </w:r>
      <w:r>
        <w:rPr>
          <w:rFonts w:ascii="標楷體" w:eastAsia="標楷體" w:hAnsi="標楷體" w:cs="Times New Roman"/>
          <w:color w:val="000000"/>
          <w:sz w:val="28"/>
          <w:szCs w:val="28"/>
        </w:rPr>
        <w:t>日以後取得</w:t>
      </w:r>
      <w:r>
        <w:rPr>
          <w:rFonts w:ascii="標楷體" w:eastAsia="標楷體" w:hAnsi="標楷體" w:cs="Times New Roman"/>
          <w:color w:val="000000"/>
          <w:sz w:val="28"/>
          <w:szCs w:val="28"/>
        </w:rPr>
        <w:t>?</w:t>
      </w:r>
    </w:p>
    <w:p w:rsidR="00216C57" w:rsidRDefault="00607728">
      <w:pPr>
        <w:pStyle w:val="ac"/>
        <w:ind w:left="720"/>
        <w:rPr>
          <w:rFonts w:ascii="標楷體" w:eastAsia="標楷體" w:hAnsi="標楷體" w:cs="Times New Roman"/>
          <w:color w:val="000000"/>
          <w:sz w:val="28"/>
          <w:szCs w:val="28"/>
        </w:rPr>
      </w:pPr>
      <w:r>
        <w:rPr>
          <w:rFonts w:ascii="標楷體" w:eastAsia="標楷體" w:hAnsi="標楷體" w:cs="Times New Roman"/>
          <w:color w:val="000000"/>
          <w:sz w:val="28"/>
          <w:szCs w:val="28"/>
        </w:rPr>
        <w:t>□</w:t>
      </w:r>
      <w:r>
        <w:rPr>
          <w:rFonts w:ascii="標楷體" w:eastAsia="標楷體" w:hAnsi="標楷體" w:cs="Times New Roman"/>
          <w:color w:val="000000"/>
          <w:sz w:val="28"/>
          <w:szCs w:val="28"/>
        </w:rPr>
        <w:t>是，適用新制，</w:t>
      </w:r>
      <w:proofErr w:type="gramStart"/>
      <w:r>
        <w:rPr>
          <w:rFonts w:ascii="標楷體" w:eastAsia="標楷體" w:hAnsi="標楷體" w:cs="Times New Roman"/>
          <w:color w:val="000000"/>
          <w:sz w:val="28"/>
          <w:szCs w:val="28"/>
        </w:rPr>
        <w:t>請至題</w:t>
      </w:r>
      <w:proofErr w:type="gramEnd"/>
      <w:r>
        <w:rPr>
          <w:rFonts w:ascii="標楷體" w:eastAsia="標楷體" w:hAnsi="標楷體" w:cs="Times New Roman"/>
          <w:color w:val="000000"/>
          <w:sz w:val="28"/>
          <w:szCs w:val="28"/>
        </w:rPr>
        <w:t>四。</w:t>
      </w:r>
    </w:p>
    <w:p w:rsidR="00216C57" w:rsidRDefault="00607728">
      <w:pPr>
        <w:pStyle w:val="ac"/>
        <w:ind w:left="992" w:hanging="286"/>
        <w:rPr>
          <w:rFonts w:ascii="標楷體" w:eastAsia="標楷體" w:hAnsi="標楷體" w:cs="Times New Roman"/>
          <w:color w:val="000000"/>
          <w:sz w:val="28"/>
          <w:szCs w:val="28"/>
        </w:rPr>
      </w:pPr>
      <w:r>
        <w:rPr>
          <w:noProof/>
        </w:rPr>
        <mc:AlternateContent>
          <mc:Choice Requires="wps">
            <w:drawing>
              <wp:anchor distT="0" distB="0" distL="114300" distR="114300" simplePos="0" relativeHeight="2" behindDoc="0" locked="0" layoutInCell="1" allowOverlap="1" wp14:anchorId="4A5F272D">
                <wp:simplePos x="0" y="0"/>
                <wp:positionH relativeFrom="column">
                  <wp:posOffset>4813935</wp:posOffset>
                </wp:positionH>
                <wp:positionV relativeFrom="paragraph">
                  <wp:posOffset>987425</wp:posOffset>
                </wp:positionV>
                <wp:extent cx="2132965" cy="549275"/>
                <wp:effectExtent l="0" t="0" r="22860" b="13970"/>
                <wp:wrapNone/>
                <wp:docPr id="1" name="文字方塊 2"/>
                <wp:cNvGraphicFramePr/>
                <a:graphic xmlns:a="http://schemas.openxmlformats.org/drawingml/2006/main">
                  <a:graphicData uri="http://schemas.microsoft.com/office/word/2010/wordprocessingShape">
                    <wps:wsp>
                      <wps:cNvSpPr/>
                      <wps:spPr>
                        <a:xfrm>
                          <a:off x="0" y="0"/>
                          <a:ext cx="2132280" cy="54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16C57" w:rsidRDefault="00607728">
                            <w:pPr>
                              <w:pStyle w:val="ae"/>
                              <w:spacing w:line="240" w:lineRule="exact"/>
                            </w:pPr>
                            <w:proofErr w:type="gramStart"/>
                            <w:r>
                              <w:rPr>
                                <w:rFonts w:ascii="標楷體" w:eastAsia="標楷體" w:hAnsi="標楷體"/>
                                <w:color w:val="00000A"/>
                                <w:szCs w:val="20"/>
                              </w:rPr>
                              <w:t>註</w:t>
                            </w:r>
                            <w:proofErr w:type="gramEnd"/>
                            <w:r>
                              <w:rPr>
                                <w:rFonts w:ascii="標楷體" w:eastAsia="標楷體" w:hAnsi="標楷體"/>
                                <w:color w:val="00000A"/>
                                <w:szCs w:val="20"/>
                              </w:rPr>
                              <w:t>：如您在</w:t>
                            </w:r>
                            <w:r>
                              <w:rPr>
                                <w:rFonts w:ascii="標楷體" w:eastAsia="標楷體" w:hAnsi="標楷體"/>
                                <w:color w:val="00000A"/>
                                <w:szCs w:val="20"/>
                              </w:rPr>
                              <w:t>105</w:t>
                            </w:r>
                            <w:r>
                              <w:rPr>
                                <w:rFonts w:ascii="標楷體" w:eastAsia="標楷體" w:hAnsi="標楷體"/>
                                <w:color w:val="00000A"/>
                                <w:szCs w:val="20"/>
                              </w:rPr>
                              <w:t>年</w:t>
                            </w:r>
                            <w:r>
                              <w:rPr>
                                <w:rFonts w:ascii="標楷體" w:eastAsia="標楷體" w:hAnsi="標楷體"/>
                                <w:color w:val="00000A"/>
                                <w:szCs w:val="20"/>
                              </w:rPr>
                              <w:t>1</w:t>
                            </w:r>
                            <w:r>
                              <w:rPr>
                                <w:rFonts w:ascii="標楷體" w:eastAsia="標楷體" w:hAnsi="標楷體"/>
                                <w:color w:val="00000A"/>
                                <w:szCs w:val="20"/>
                              </w:rPr>
                              <w:t>月</w:t>
                            </w:r>
                            <w:r>
                              <w:rPr>
                                <w:rFonts w:ascii="標楷體" w:eastAsia="標楷體" w:hAnsi="標楷體"/>
                                <w:color w:val="00000A"/>
                                <w:szCs w:val="20"/>
                              </w:rPr>
                              <w:t>1</w:t>
                            </w:r>
                            <w:r>
                              <w:rPr>
                                <w:rFonts w:ascii="標楷體" w:eastAsia="標楷體" w:hAnsi="標楷體"/>
                                <w:color w:val="00000A"/>
                                <w:szCs w:val="20"/>
                              </w:rPr>
                              <w:t>日以後繼承取得房地，且符合自住房地租稅優惠規定，得選擇依新制規定辦理申報。</w:t>
                            </w:r>
                          </w:p>
                        </w:txbxContent>
                      </wps:txbx>
                      <wps:bodyPr>
                        <a:spAutoFit/>
                      </wps:bodyPr>
                    </wps:wsp>
                  </a:graphicData>
                </a:graphic>
                <wp14:sizeRelV relativeFrom="margin">
                  <wp14:pctHeight>20000</wp14:pctHeight>
                </wp14:sizeRelV>
              </wp:anchor>
            </w:drawing>
          </mc:Choice>
          <mc:Fallback>
            <w:pict>
              <v:rect id="shape_0" ID="文字方塊 2" fillcolor="white" stroked="t" style="position:absolute;margin-left:379.05pt;margin-top:77.75pt;width:167.85pt;height:43.15pt" wp14:anchorId="4A5F272D">
                <w10:wrap type="square"/>
                <v:fill type="solid" color2="black" o:detectmouseclick="t"/>
                <v:stroke color="black" weight="9360" joinstyle="miter" endcap="flat"/>
                <v:textbox>
                  <w:txbxContent>
                    <w:p>
                      <w:pPr>
                        <w:pStyle w:val="Style24"/>
                        <w:spacing w:lineRule="exact" w:line="240"/>
                        <w:rPr/>
                      </w:pPr>
                      <w:r>
                        <w:rPr>
                          <w:rFonts w:ascii="標楷體" w:hAnsi="標楷體" w:eastAsia="標楷體"/>
                          <w:color w:val="00000A"/>
                          <w:sz w:val="20"/>
                          <w:szCs w:val="20"/>
                        </w:rPr>
                        <w:t>註：如您在</w:t>
                      </w:r>
                      <w:r>
                        <w:rPr>
                          <w:rFonts w:eastAsia="標楷體" w:ascii="標楷體" w:hAnsi="標楷體"/>
                          <w:color w:val="00000A"/>
                          <w:sz w:val="20"/>
                          <w:szCs w:val="20"/>
                        </w:rPr>
                        <w:t>105</w:t>
                      </w:r>
                      <w:r>
                        <w:rPr>
                          <w:rFonts w:ascii="標楷體" w:hAnsi="標楷體" w:eastAsia="標楷體"/>
                          <w:color w:val="00000A"/>
                          <w:sz w:val="20"/>
                          <w:szCs w:val="20"/>
                        </w:rPr>
                        <w:t>年</w:t>
                      </w:r>
                      <w:r>
                        <w:rPr>
                          <w:rFonts w:eastAsia="標楷體" w:ascii="標楷體" w:hAnsi="標楷體"/>
                          <w:color w:val="00000A"/>
                          <w:sz w:val="20"/>
                          <w:szCs w:val="20"/>
                        </w:rPr>
                        <w:t>1</w:t>
                      </w:r>
                      <w:r>
                        <w:rPr>
                          <w:rFonts w:ascii="標楷體" w:hAnsi="標楷體" w:eastAsia="標楷體"/>
                          <w:color w:val="00000A"/>
                          <w:sz w:val="20"/>
                          <w:szCs w:val="20"/>
                        </w:rPr>
                        <w:t>月</w:t>
                      </w:r>
                      <w:r>
                        <w:rPr>
                          <w:rFonts w:eastAsia="標楷體" w:ascii="標楷體" w:hAnsi="標楷體"/>
                          <w:color w:val="00000A"/>
                          <w:sz w:val="20"/>
                          <w:szCs w:val="20"/>
                        </w:rPr>
                        <w:t>1</w:t>
                      </w:r>
                      <w:r>
                        <w:rPr>
                          <w:rFonts w:ascii="標楷體" w:hAnsi="標楷體" w:eastAsia="標楷體"/>
                          <w:color w:val="00000A"/>
                          <w:sz w:val="20"/>
                          <w:szCs w:val="20"/>
                        </w:rPr>
                        <w:t>日以後繼承取得房地，且符合自住房地租稅優惠規定，得選擇依新制規定辦理申報。</w:t>
                      </w:r>
                    </w:p>
                  </w:txbxContent>
                </v:textbox>
              </v:rect>
            </w:pict>
          </mc:Fallback>
        </mc:AlternateContent>
      </w:r>
      <w:proofErr w:type="gramStart"/>
      <w:r>
        <w:rPr>
          <w:rFonts w:ascii="標楷體" w:eastAsia="標楷體" w:hAnsi="標楷體" w:cs="Times New Roman"/>
          <w:color w:val="000000"/>
          <w:sz w:val="28"/>
          <w:szCs w:val="28"/>
        </w:rPr>
        <w:t>□</w:t>
      </w:r>
      <w:r>
        <w:rPr>
          <w:rFonts w:ascii="標楷體" w:eastAsia="標楷體" w:hAnsi="標楷體" w:cs="Times New Roman"/>
          <w:color w:val="000000"/>
          <w:sz w:val="28"/>
          <w:szCs w:val="28"/>
        </w:rPr>
        <w:t>否</w:t>
      </w:r>
      <w:proofErr w:type="gramEnd"/>
      <w:r>
        <w:rPr>
          <w:rFonts w:ascii="標楷體" w:eastAsia="標楷體" w:hAnsi="標楷體" w:cs="Times New Roman"/>
          <w:color w:val="000000"/>
          <w:sz w:val="28"/>
          <w:szCs w:val="28"/>
        </w:rPr>
        <w:t>，適用舊制，請於交易年度次年</w:t>
      </w:r>
      <w:r>
        <w:rPr>
          <w:rFonts w:ascii="標楷體" w:eastAsia="標楷體" w:hAnsi="標楷體" w:cs="Times New Roman"/>
          <w:color w:val="000000"/>
          <w:sz w:val="28"/>
          <w:szCs w:val="28"/>
        </w:rPr>
        <w:t>5</w:t>
      </w:r>
      <w:r>
        <w:rPr>
          <w:rFonts w:ascii="標楷體" w:eastAsia="標楷體" w:hAnsi="標楷體" w:cs="Times New Roman"/>
          <w:color w:val="000000"/>
          <w:sz w:val="28"/>
          <w:szCs w:val="28"/>
        </w:rPr>
        <w:t>月將房屋交易所得併入交易年度綜合所得總額辦理結算申報</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土地交易所得部分免納所得稅</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w:t>
      </w:r>
    </w:p>
    <w:p w:rsidR="00216C57" w:rsidRDefault="00607728">
      <w:pPr>
        <w:rPr>
          <w:rFonts w:ascii="標楷體" w:eastAsia="標楷體" w:hAnsi="標楷體" w:cs="Times New Roman"/>
          <w:sz w:val="28"/>
          <w:szCs w:val="28"/>
        </w:rPr>
      </w:pPr>
      <w:r>
        <w:rPr>
          <w:rFonts w:ascii="標楷體" w:eastAsia="標楷體" w:hAnsi="標楷體" w:cs="Times New Roman"/>
          <w:sz w:val="28"/>
          <w:szCs w:val="28"/>
        </w:rPr>
        <w:t>三、交易的房地是否符合下列情形之</w:t>
      </w:r>
      <w:proofErr w:type="gramStart"/>
      <w:r>
        <w:rPr>
          <w:rFonts w:ascii="標楷體" w:eastAsia="標楷體" w:hAnsi="標楷體" w:cs="Times New Roman"/>
          <w:sz w:val="28"/>
          <w:szCs w:val="28"/>
        </w:rPr>
        <w:t>一</w:t>
      </w:r>
      <w:proofErr w:type="gramEnd"/>
      <w:r>
        <w:rPr>
          <w:rFonts w:ascii="標楷體" w:eastAsia="標楷體" w:hAnsi="標楷體" w:cs="Times New Roman"/>
          <w:sz w:val="28"/>
          <w:szCs w:val="28"/>
        </w:rPr>
        <w:t>：</w:t>
      </w:r>
    </w:p>
    <w:p w:rsidR="00216C57" w:rsidRDefault="00607728">
      <w:pPr>
        <w:ind w:firstLine="708"/>
        <w:rPr>
          <w:rFonts w:ascii="標楷體" w:eastAsia="標楷體" w:hAnsi="標楷體" w:cs="Times New Roman"/>
          <w:sz w:val="28"/>
          <w:szCs w:val="28"/>
        </w:rPr>
      </w:pPr>
      <w:r>
        <w:rPr>
          <w:rFonts w:ascii="標楷體" w:eastAsia="標楷體" w:hAnsi="標楷體" w:cs="Times New Roman"/>
          <w:sz w:val="28"/>
          <w:szCs w:val="28"/>
        </w:rPr>
        <w:t>（一）在</w:t>
      </w:r>
      <w:r>
        <w:rPr>
          <w:rFonts w:ascii="標楷體" w:eastAsia="標楷體" w:hAnsi="標楷體" w:cs="Times New Roman"/>
          <w:sz w:val="28"/>
          <w:szCs w:val="28"/>
        </w:rPr>
        <w:t>105</w:t>
      </w:r>
      <w:r>
        <w:rPr>
          <w:rFonts w:ascii="標楷體" w:eastAsia="標楷體" w:hAnsi="標楷體" w:cs="Times New Roman"/>
          <w:sz w:val="28"/>
          <w:szCs w:val="28"/>
        </w:rPr>
        <w:t>年</w:t>
      </w:r>
      <w:r>
        <w:rPr>
          <w:rFonts w:ascii="標楷體" w:eastAsia="標楷體" w:hAnsi="標楷體" w:cs="Times New Roman"/>
          <w:sz w:val="28"/>
          <w:szCs w:val="28"/>
        </w:rPr>
        <w:t>1</w:t>
      </w:r>
      <w:r>
        <w:rPr>
          <w:rFonts w:ascii="標楷體" w:eastAsia="標楷體" w:hAnsi="標楷體" w:cs="Times New Roman"/>
          <w:sz w:val="28"/>
          <w:szCs w:val="28"/>
        </w:rPr>
        <w:t>月</w:t>
      </w:r>
      <w:r>
        <w:rPr>
          <w:rFonts w:ascii="標楷體" w:eastAsia="標楷體" w:hAnsi="標楷體" w:cs="Times New Roman"/>
          <w:sz w:val="28"/>
          <w:szCs w:val="28"/>
        </w:rPr>
        <w:t>1</w:t>
      </w:r>
      <w:r>
        <w:rPr>
          <w:rFonts w:ascii="標楷體" w:eastAsia="標楷體" w:hAnsi="標楷體" w:cs="Times New Roman"/>
          <w:sz w:val="28"/>
          <w:szCs w:val="28"/>
        </w:rPr>
        <w:t>日以後取得。</w:t>
      </w:r>
    </w:p>
    <w:p w:rsidR="00216C57" w:rsidRDefault="00607728">
      <w:pPr>
        <w:ind w:left="1558" w:hanging="848"/>
        <w:rPr>
          <w:rFonts w:ascii="標楷體" w:eastAsia="標楷體" w:hAnsi="標楷體" w:cs="Times New Roman"/>
          <w:sz w:val="28"/>
          <w:szCs w:val="28"/>
        </w:rPr>
      </w:pPr>
      <w:r>
        <w:rPr>
          <w:rFonts w:ascii="標楷體" w:eastAsia="標楷體" w:hAnsi="標楷體" w:cs="Times New Roman"/>
          <w:sz w:val="28"/>
          <w:szCs w:val="28"/>
        </w:rPr>
        <w:t>（二）在</w:t>
      </w:r>
      <w:r>
        <w:rPr>
          <w:rFonts w:ascii="標楷體" w:eastAsia="標楷體" w:hAnsi="標楷體" w:cs="Times New Roman"/>
          <w:sz w:val="28"/>
          <w:szCs w:val="28"/>
        </w:rPr>
        <w:t>103</w:t>
      </w:r>
      <w:r>
        <w:rPr>
          <w:rFonts w:ascii="標楷體" w:eastAsia="標楷體" w:hAnsi="標楷體" w:cs="Times New Roman"/>
          <w:sz w:val="28"/>
          <w:szCs w:val="28"/>
        </w:rPr>
        <w:t>年</w:t>
      </w:r>
      <w:r>
        <w:rPr>
          <w:rFonts w:ascii="標楷體" w:eastAsia="標楷體" w:hAnsi="標楷體" w:cs="Times New Roman"/>
          <w:sz w:val="28"/>
          <w:szCs w:val="28"/>
        </w:rPr>
        <w:t>1</w:t>
      </w:r>
      <w:r>
        <w:rPr>
          <w:rFonts w:ascii="標楷體" w:eastAsia="標楷體" w:hAnsi="標楷體" w:cs="Times New Roman"/>
          <w:sz w:val="28"/>
          <w:szCs w:val="28"/>
        </w:rPr>
        <w:t>月</w:t>
      </w:r>
      <w:r>
        <w:rPr>
          <w:rFonts w:ascii="標楷體" w:eastAsia="標楷體" w:hAnsi="標楷體" w:cs="Times New Roman"/>
          <w:sz w:val="28"/>
          <w:szCs w:val="28"/>
        </w:rPr>
        <w:t>2</w:t>
      </w:r>
      <w:r>
        <w:rPr>
          <w:rFonts w:ascii="標楷體" w:eastAsia="標楷體" w:hAnsi="標楷體" w:cs="Times New Roman"/>
          <w:sz w:val="28"/>
          <w:szCs w:val="28"/>
        </w:rPr>
        <w:t>日</w:t>
      </w:r>
      <w:r>
        <w:rPr>
          <w:rFonts w:ascii="標楷體" w:eastAsia="標楷體" w:hAnsi="標楷體" w:cs="Times New Roman"/>
          <w:sz w:val="28"/>
          <w:szCs w:val="28"/>
        </w:rPr>
        <w:t>(</w:t>
      </w:r>
      <w:r>
        <w:rPr>
          <w:rFonts w:ascii="標楷體" w:eastAsia="標楷體" w:hAnsi="標楷體" w:cs="Times New Roman"/>
          <w:sz w:val="28"/>
          <w:szCs w:val="28"/>
        </w:rPr>
        <w:t>含</w:t>
      </w:r>
      <w:r>
        <w:rPr>
          <w:rFonts w:ascii="標楷體" w:eastAsia="標楷體" w:hAnsi="標楷體" w:cs="Times New Roman"/>
          <w:sz w:val="28"/>
          <w:szCs w:val="28"/>
        </w:rPr>
        <w:t>)</w:t>
      </w:r>
      <w:r>
        <w:rPr>
          <w:rFonts w:ascii="標楷體" w:eastAsia="標楷體" w:hAnsi="標楷體" w:cs="Times New Roman"/>
          <w:sz w:val="28"/>
          <w:szCs w:val="28"/>
        </w:rPr>
        <w:t>以後取得且持有期間在</w:t>
      </w:r>
      <w:r>
        <w:rPr>
          <w:rFonts w:ascii="標楷體" w:eastAsia="標楷體" w:hAnsi="標楷體" w:cs="Times New Roman"/>
          <w:sz w:val="28"/>
          <w:szCs w:val="28"/>
        </w:rPr>
        <w:t>2</w:t>
      </w:r>
      <w:r>
        <w:rPr>
          <w:rFonts w:ascii="標楷體" w:eastAsia="標楷體" w:hAnsi="標楷體" w:cs="Times New Roman"/>
          <w:sz w:val="28"/>
          <w:szCs w:val="28"/>
        </w:rPr>
        <w:t>年以內。</w:t>
      </w:r>
    </w:p>
    <w:p w:rsidR="00216C57" w:rsidRDefault="00607728">
      <w:pPr>
        <w:ind w:firstLine="708"/>
        <w:rPr>
          <w:rFonts w:ascii="標楷體" w:eastAsia="標楷體" w:hAnsi="標楷體" w:cs="Times New Roman"/>
          <w:color w:val="000000"/>
          <w:sz w:val="28"/>
          <w:szCs w:val="28"/>
        </w:rPr>
      </w:pPr>
      <w:r>
        <w:rPr>
          <w:rFonts w:ascii="標楷體" w:eastAsia="標楷體" w:hAnsi="標楷體" w:cs="Times New Roman"/>
          <w:sz w:val="28"/>
          <w:szCs w:val="28"/>
        </w:rPr>
        <w:t>□</w:t>
      </w:r>
      <w:r>
        <w:rPr>
          <w:rFonts w:ascii="標楷體" w:eastAsia="標楷體" w:hAnsi="標楷體" w:cs="Times New Roman"/>
          <w:color w:val="000000"/>
          <w:sz w:val="28"/>
          <w:szCs w:val="28"/>
        </w:rPr>
        <w:t>是，適用新制，</w:t>
      </w:r>
      <w:proofErr w:type="gramStart"/>
      <w:r>
        <w:rPr>
          <w:rFonts w:ascii="標楷體" w:eastAsia="標楷體" w:hAnsi="標楷體" w:cs="Times New Roman"/>
          <w:color w:val="000000"/>
          <w:sz w:val="28"/>
          <w:szCs w:val="28"/>
        </w:rPr>
        <w:t>請至題</w:t>
      </w:r>
      <w:proofErr w:type="gramEnd"/>
      <w:r>
        <w:rPr>
          <w:rFonts w:ascii="標楷體" w:eastAsia="標楷體" w:hAnsi="標楷體" w:cs="Times New Roman"/>
          <w:color w:val="000000"/>
          <w:sz w:val="28"/>
          <w:szCs w:val="28"/>
        </w:rPr>
        <w:t>四。</w:t>
      </w:r>
    </w:p>
    <w:p w:rsidR="00216C57" w:rsidRDefault="00607728">
      <w:pPr>
        <w:ind w:left="991" w:hanging="283"/>
        <w:rPr>
          <w:rFonts w:ascii="標楷體" w:eastAsia="標楷體" w:hAnsi="標楷體" w:cs="Times New Roman"/>
          <w:sz w:val="28"/>
          <w:szCs w:val="28"/>
        </w:rPr>
      </w:pPr>
      <w:proofErr w:type="gramStart"/>
      <w:r>
        <w:rPr>
          <w:rFonts w:ascii="標楷體" w:eastAsia="標楷體" w:hAnsi="標楷體" w:cs="Times New Roman"/>
          <w:color w:val="000000"/>
          <w:sz w:val="28"/>
          <w:szCs w:val="28"/>
        </w:rPr>
        <w:t>□</w:t>
      </w:r>
      <w:r>
        <w:rPr>
          <w:rFonts w:ascii="標楷體" w:eastAsia="標楷體" w:hAnsi="標楷體" w:cs="Times New Roman"/>
          <w:color w:val="000000"/>
          <w:sz w:val="28"/>
          <w:szCs w:val="28"/>
        </w:rPr>
        <w:t>否</w:t>
      </w:r>
      <w:proofErr w:type="gramEnd"/>
      <w:r>
        <w:rPr>
          <w:rFonts w:ascii="標楷體" w:eastAsia="標楷體" w:hAnsi="標楷體" w:cs="Times New Roman"/>
          <w:color w:val="000000"/>
          <w:sz w:val="28"/>
          <w:szCs w:val="28"/>
        </w:rPr>
        <w:t>，適用舊制，請於交易年度次年</w:t>
      </w:r>
      <w:r>
        <w:rPr>
          <w:rFonts w:ascii="標楷體" w:eastAsia="標楷體" w:hAnsi="標楷體" w:cs="Times New Roman"/>
          <w:color w:val="000000"/>
          <w:sz w:val="28"/>
          <w:szCs w:val="28"/>
        </w:rPr>
        <w:t>5</w:t>
      </w:r>
      <w:r>
        <w:rPr>
          <w:rFonts w:ascii="標楷體" w:eastAsia="標楷體" w:hAnsi="標楷體" w:cs="Times New Roman"/>
          <w:color w:val="000000"/>
          <w:sz w:val="28"/>
          <w:szCs w:val="28"/>
        </w:rPr>
        <w:t>月將房屋交易所得併入交易年度綜合所得總額辦理結算申報</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土地交易所得部分免納所得稅</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w:t>
      </w:r>
    </w:p>
    <w:p w:rsidR="00216C57" w:rsidRDefault="00607728">
      <w:pPr>
        <w:rPr>
          <w:rFonts w:ascii="標楷體" w:eastAsia="標楷體" w:hAnsi="標楷體" w:cs="Times New Roman"/>
          <w:sz w:val="28"/>
          <w:szCs w:val="28"/>
        </w:rPr>
      </w:pPr>
      <w:r>
        <w:rPr>
          <w:rFonts w:ascii="標楷體" w:eastAsia="標楷體" w:hAnsi="標楷體" w:cs="Times New Roman"/>
          <w:sz w:val="28"/>
          <w:szCs w:val="28"/>
        </w:rPr>
        <w:lastRenderedPageBreak/>
        <w:t>四、交易的房地是否符合下列情形之</w:t>
      </w:r>
      <w:proofErr w:type="gramStart"/>
      <w:r>
        <w:rPr>
          <w:rFonts w:ascii="標楷體" w:eastAsia="標楷體" w:hAnsi="標楷體" w:cs="Times New Roman"/>
          <w:sz w:val="28"/>
          <w:szCs w:val="28"/>
        </w:rPr>
        <w:t>一</w:t>
      </w:r>
      <w:proofErr w:type="gramEnd"/>
      <w:r>
        <w:rPr>
          <w:rFonts w:ascii="標楷體" w:eastAsia="標楷體" w:hAnsi="標楷體" w:cs="Times New Roman"/>
          <w:sz w:val="28"/>
          <w:szCs w:val="28"/>
        </w:rPr>
        <w:t>：</w:t>
      </w:r>
    </w:p>
    <w:p w:rsidR="00216C57" w:rsidRDefault="00607728">
      <w:pPr>
        <w:ind w:left="1698" w:hanging="851"/>
        <w:rPr>
          <w:rFonts w:ascii="標楷體" w:eastAsia="標楷體" w:hAnsi="標楷體"/>
          <w:sz w:val="28"/>
          <w:szCs w:val="28"/>
        </w:rPr>
      </w:pPr>
      <w:r>
        <w:rPr>
          <w:rFonts w:ascii="標楷體" w:eastAsia="標楷體" w:hAnsi="標楷體" w:cs="Times New Roman"/>
          <w:sz w:val="28"/>
          <w:szCs w:val="28"/>
        </w:rPr>
        <w:t>（一）交易的土地</w:t>
      </w:r>
      <w:r>
        <w:rPr>
          <w:rFonts w:ascii="標楷體" w:eastAsia="標楷體" w:hAnsi="標楷體"/>
          <w:sz w:val="28"/>
          <w:szCs w:val="28"/>
        </w:rPr>
        <w:t>符合農業發展條例第</w:t>
      </w:r>
      <w:r>
        <w:rPr>
          <w:rFonts w:ascii="標楷體" w:eastAsia="標楷體" w:hAnsi="標楷體"/>
          <w:sz w:val="28"/>
          <w:szCs w:val="28"/>
        </w:rPr>
        <w:t>37</w:t>
      </w:r>
      <w:r>
        <w:rPr>
          <w:rFonts w:ascii="標楷體" w:eastAsia="標楷體" w:hAnsi="標楷體"/>
          <w:sz w:val="28"/>
          <w:szCs w:val="28"/>
        </w:rPr>
        <w:t>條及第</w:t>
      </w:r>
      <w:r>
        <w:rPr>
          <w:rFonts w:ascii="標楷體" w:eastAsia="標楷體" w:hAnsi="標楷體"/>
          <w:sz w:val="28"/>
          <w:szCs w:val="28"/>
        </w:rPr>
        <w:t>38</w:t>
      </w:r>
      <w:r>
        <w:rPr>
          <w:rFonts w:ascii="標楷體" w:eastAsia="標楷體" w:hAnsi="標楷體"/>
          <w:sz w:val="28"/>
          <w:szCs w:val="28"/>
        </w:rPr>
        <w:t>條之</w:t>
      </w:r>
      <w:r>
        <w:rPr>
          <w:rFonts w:ascii="標楷體" w:eastAsia="標楷體" w:hAnsi="標楷體"/>
          <w:sz w:val="28"/>
          <w:szCs w:val="28"/>
        </w:rPr>
        <w:t>1</w:t>
      </w:r>
      <w:r>
        <w:rPr>
          <w:rFonts w:ascii="標楷體" w:eastAsia="標楷體" w:hAnsi="標楷體"/>
          <w:sz w:val="28"/>
          <w:szCs w:val="28"/>
        </w:rPr>
        <w:t>規定得申請</w:t>
      </w:r>
      <w:proofErr w:type="gramStart"/>
      <w:r>
        <w:rPr>
          <w:rFonts w:ascii="標楷體" w:eastAsia="標楷體" w:hAnsi="標楷體"/>
          <w:sz w:val="28"/>
          <w:szCs w:val="28"/>
        </w:rPr>
        <w:t>不</w:t>
      </w:r>
      <w:proofErr w:type="gramEnd"/>
      <w:r>
        <w:rPr>
          <w:rFonts w:ascii="標楷體" w:eastAsia="標楷體" w:hAnsi="標楷體"/>
          <w:sz w:val="28"/>
          <w:szCs w:val="28"/>
        </w:rPr>
        <w:t>課徵土地增值稅。</w:t>
      </w:r>
    </w:p>
    <w:p w:rsidR="00216C57" w:rsidRDefault="00607728">
      <w:pPr>
        <w:ind w:firstLine="848"/>
        <w:rPr>
          <w:rFonts w:ascii="標楷體" w:eastAsia="標楷體" w:hAnsi="標楷體"/>
          <w:sz w:val="28"/>
          <w:szCs w:val="28"/>
        </w:rPr>
      </w:pPr>
      <w:r>
        <w:rPr>
          <w:rFonts w:ascii="標楷體" w:eastAsia="標楷體" w:hAnsi="標楷體"/>
          <w:sz w:val="28"/>
          <w:szCs w:val="28"/>
        </w:rPr>
        <w:t>（二）交易的房地為被徵收或被徵收前先行協議價購的土地及其土地改良物。</w:t>
      </w:r>
    </w:p>
    <w:p w:rsidR="00216C57" w:rsidRDefault="00607728">
      <w:pPr>
        <w:ind w:firstLine="848"/>
        <w:rPr>
          <w:rFonts w:ascii="標楷體" w:eastAsia="標楷體" w:hAnsi="標楷體" w:cs="Times New Roman"/>
          <w:sz w:val="28"/>
          <w:szCs w:val="28"/>
        </w:rPr>
      </w:pPr>
      <w:r>
        <w:rPr>
          <w:rFonts w:ascii="標楷體" w:eastAsia="標楷體" w:hAnsi="標楷體"/>
          <w:sz w:val="28"/>
          <w:szCs w:val="28"/>
        </w:rPr>
        <w:t>（三）交易的土地為尚未被徵收前移轉依都市計畫法指定的公共設施保留地。</w:t>
      </w:r>
    </w:p>
    <w:p w:rsidR="00216C57" w:rsidRDefault="00607728">
      <w:pPr>
        <w:ind w:firstLine="708"/>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是，您交易的房地免納所得稅，毋須依新制規定辦理申報。</w:t>
      </w:r>
    </w:p>
    <w:p w:rsidR="00216C57" w:rsidRDefault="00607728">
      <w:pPr>
        <w:ind w:left="1273" w:hanging="563"/>
        <w:rPr>
          <w:rFonts w:ascii="標楷體" w:eastAsia="標楷體" w:hAnsi="標楷體" w:cs="Times New Roman"/>
          <w:sz w:val="28"/>
          <w:szCs w:val="28"/>
        </w:rPr>
      </w:pPr>
      <w:proofErr w:type="gramStart"/>
      <w:r>
        <w:rPr>
          <w:rFonts w:ascii="標楷體" w:eastAsia="標楷體" w:hAnsi="標楷體" w:cs="Times New Roman"/>
          <w:sz w:val="28"/>
          <w:szCs w:val="28"/>
        </w:rPr>
        <w:t>□</w:t>
      </w:r>
      <w:r>
        <w:rPr>
          <w:rFonts w:ascii="標楷體" w:eastAsia="標楷體" w:hAnsi="標楷體" w:cs="Times New Roman"/>
          <w:sz w:val="28"/>
          <w:szCs w:val="28"/>
        </w:rPr>
        <w:t>否</w:t>
      </w:r>
      <w:proofErr w:type="gramEnd"/>
      <w:r>
        <w:rPr>
          <w:rFonts w:ascii="標楷體" w:eastAsia="標楷體" w:hAnsi="標楷體" w:cs="Times New Roman"/>
          <w:sz w:val="28"/>
          <w:szCs w:val="28"/>
        </w:rPr>
        <w:t>，應辦理房地合一所得稅申報。</w:t>
      </w:r>
    </w:p>
    <w:p w:rsidR="00216C57" w:rsidRDefault="00216C57">
      <w:pPr>
        <w:rPr>
          <w:rFonts w:ascii="標楷體" w:eastAsia="標楷體" w:hAnsi="標楷體" w:cs="Times New Roman"/>
          <w:sz w:val="28"/>
          <w:szCs w:val="28"/>
        </w:rPr>
      </w:pPr>
    </w:p>
    <w:p w:rsidR="00216C57" w:rsidRDefault="00607728">
      <w:pPr>
        <w:ind w:left="283" w:hanging="283"/>
        <w:rPr>
          <w:rFonts w:ascii="標楷體" w:eastAsia="標楷體" w:hAnsi="標楷體" w:cs="Times New Roman"/>
          <w:sz w:val="28"/>
          <w:szCs w:val="28"/>
        </w:rPr>
      </w:pPr>
      <w:r>
        <w:rPr>
          <w:rFonts w:ascii="標楷體" w:eastAsia="標楷體" w:hAnsi="標楷體" w:cs="Times New Roman"/>
          <w:sz w:val="28"/>
          <w:szCs w:val="28"/>
        </w:rPr>
        <w:t>★</w:t>
      </w:r>
      <w:r>
        <w:rPr>
          <w:rFonts w:ascii="標楷體" w:eastAsia="標楷體" w:hAnsi="標楷體" w:cs="Times New Roman"/>
          <w:sz w:val="28"/>
          <w:szCs w:val="28"/>
        </w:rPr>
        <w:t>提醒您，您交易的房屋、土地或房屋使用權，依前項檢核結果，若屬應辦理新制申報者，不論有無應納稅額，</w:t>
      </w:r>
      <w:proofErr w:type="gramStart"/>
      <w:r>
        <w:rPr>
          <w:rFonts w:ascii="標楷體" w:eastAsia="標楷體" w:hAnsi="標楷體" w:cs="Times New Roman"/>
          <w:sz w:val="28"/>
          <w:szCs w:val="28"/>
        </w:rPr>
        <w:t>均應於</w:t>
      </w:r>
      <w:proofErr w:type="gramEnd"/>
      <w:r>
        <w:rPr>
          <w:rFonts w:ascii="標楷體" w:eastAsia="標楷體" w:hAnsi="標楷體" w:cs="Times New Roman"/>
          <w:sz w:val="28"/>
          <w:szCs w:val="28"/>
        </w:rPr>
        <w:t>房屋、土地完成所有權移轉登記日或房屋使用權交易日的次日起算</w:t>
      </w:r>
      <w:r>
        <w:rPr>
          <w:rFonts w:ascii="標楷體" w:eastAsia="標楷體" w:hAnsi="標楷體" w:cs="Times New Roman"/>
          <w:sz w:val="28"/>
          <w:szCs w:val="28"/>
        </w:rPr>
        <w:t>30</w:t>
      </w:r>
      <w:r>
        <w:rPr>
          <w:rFonts w:ascii="標楷體" w:eastAsia="標楷體" w:hAnsi="標楷體" w:cs="Times New Roman"/>
          <w:sz w:val="28"/>
          <w:szCs w:val="28"/>
        </w:rPr>
        <w:t>天內向戶籍所在地國稅局申報</w:t>
      </w:r>
      <w:r>
        <w:rPr>
          <w:rFonts w:ascii="標楷體" w:eastAsia="標楷體" w:hAnsi="標楷體" w:cs="Times New Roman"/>
          <w:sz w:val="28"/>
          <w:szCs w:val="28"/>
        </w:rPr>
        <w:t>(</w:t>
      </w:r>
      <w:r>
        <w:rPr>
          <w:rFonts w:ascii="標楷體" w:eastAsia="標楷體" w:hAnsi="標楷體" w:cs="Times New Roman"/>
          <w:sz w:val="28"/>
          <w:szCs w:val="28"/>
        </w:rPr>
        <w:t>非居住者應向房屋、土地所在地國稅局申報</w:t>
      </w:r>
      <w:r>
        <w:rPr>
          <w:rFonts w:ascii="標楷體" w:eastAsia="標楷體" w:hAnsi="標楷體" w:cs="Times New Roman"/>
          <w:sz w:val="28"/>
          <w:szCs w:val="28"/>
        </w:rPr>
        <w:t>)</w:t>
      </w:r>
      <w:r>
        <w:rPr>
          <w:rFonts w:ascii="標楷體" w:eastAsia="標楷體" w:hAnsi="標楷體" w:cs="Times New Roman"/>
          <w:sz w:val="28"/>
          <w:szCs w:val="28"/>
        </w:rPr>
        <w:t>。新制的課稅方式詳見背面說明。</w:t>
      </w:r>
    </w:p>
    <w:p w:rsidR="00216C57" w:rsidRDefault="00607728">
      <w:pPr>
        <w:ind w:left="281" w:firstLine="1"/>
        <w:rPr>
          <w:rFonts w:ascii="標楷體" w:eastAsia="標楷體" w:hAnsi="標楷體" w:cs="Times New Roman"/>
          <w:b/>
          <w:sz w:val="28"/>
          <w:szCs w:val="28"/>
          <w:shd w:val="pct15" w:color="auto" w:fill="FFFFFF"/>
        </w:rPr>
      </w:pPr>
      <w:r>
        <w:rPr>
          <w:rFonts w:ascii="標楷體" w:eastAsia="標楷體" w:hAnsi="標楷體" w:cs="Times New Roman"/>
          <w:b/>
          <w:sz w:val="28"/>
          <w:szCs w:val="28"/>
          <w:shd w:val="pct15" w:color="auto" w:fill="FFFFFF"/>
        </w:rPr>
        <w:t>以上僅供初步自我檢核參考用，如有疑問請</w:t>
      </w:r>
      <w:proofErr w:type="gramStart"/>
      <w:r>
        <w:rPr>
          <w:rFonts w:ascii="標楷體" w:eastAsia="標楷體" w:hAnsi="標楷體" w:cs="Times New Roman"/>
          <w:b/>
          <w:sz w:val="28"/>
          <w:szCs w:val="28"/>
          <w:shd w:val="pct15" w:color="auto" w:fill="FFFFFF"/>
        </w:rPr>
        <w:t>逕</w:t>
      </w:r>
      <w:proofErr w:type="gramEnd"/>
      <w:r>
        <w:rPr>
          <w:rFonts w:ascii="標楷體" w:eastAsia="標楷體" w:hAnsi="標楷體" w:cs="Times New Roman"/>
          <w:b/>
          <w:sz w:val="28"/>
          <w:szCs w:val="28"/>
          <w:shd w:val="pct15" w:color="auto" w:fill="FFFFFF"/>
        </w:rPr>
        <w:t>向所轄國稅局分局、</w:t>
      </w:r>
      <w:proofErr w:type="gramStart"/>
      <w:r>
        <w:rPr>
          <w:rFonts w:ascii="標楷體" w:eastAsia="標楷體" w:hAnsi="標楷體" w:cs="Times New Roman"/>
          <w:b/>
          <w:sz w:val="28"/>
          <w:szCs w:val="28"/>
          <w:shd w:val="pct15" w:color="auto" w:fill="FFFFFF"/>
        </w:rPr>
        <w:t>稽</w:t>
      </w:r>
      <w:proofErr w:type="gramEnd"/>
      <w:r>
        <w:rPr>
          <w:rFonts w:ascii="標楷體" w:eastAsia="標楷體" w:hAnsi="標楷體" w:cs="Times New Roman"/>
          <w:b/>
          <w:sz w:val="28"/>
          <w:szCs w:val="28"/>
          <w:shd w:val="pct15" w:color="auto" w:fill="FFFFFF"/>
        </w:rPr>
        <w:t>徵所洽詢。</w:t>
      </w:r>
    </w:p>
    <w:p w:rsidR="00216C57" w:rsidRDefault="00607728">
      <w:pPr>
        <w:ind w:left="281" w:firstLine="1"/>
        <w:rPr>
          <w:rFonts w:ascii="標楷體" w:eastAsia="標楷體" w:hAnsi="標楷體" w:cs="Times New Roman"/>
          <w:b/>
          <w:sz w:val="28"/>
          <w:szCs w:val="28"/>
          <w:shd w:val="pct15" w:color="auto" w:fill="FFFFFF"/>
        </w:rPr>
      </w:pPr>
      <w:r>
        <w:rPr>
          <w:rFonts w:ascii="標楷體" w:eastAsia="標楷體" w:hAnsi="標楷體" w:cs="Times New Roman"/>
          <w:b/>
          <w:sz w:val="28"/>
          <w:szCs w:val="28"/>
          <w:shd w:val="pct15" w:color="auto" w:fill="FFFFFF"/>
        </w:rPr>
        <w:t>如欲瞭解更多資訊，歡迎利用免費服務電話</w:t>
      </w:r>
      <w:r>
        <w:rPr>
          <w:rFonts w:ascii="標楷體" w:eastAsia="標楷體" w:hAnsi="標楷體" w:cs="Times New Roman"/>
          <w:b/>
          <w:sz w:val="28"/>
          <w:szCs w:val="28"/>
          <w:shd w:val="pct15" w:color="auto" w:fill="FFFFFF"/>
        </w:rPr>
        <w:t>0800-000-321</w:t>
      </w:r>
      <w:r>
        <w:rPr>
          <w:rFonts w:ascii="標楷體" w:eastAsia="標楷體" w:hAnsi="標楷體" w:cs="Times New Roman"/>
          <w:b/>
          <w:sz w:val="28"/>
          <w:szCs w:val="28"/>
          <w:shd w:val="pct15" w:color="auto" w:fill="FFFFFF"/>
        </w:rPr>
        <w:t>洽詢，本局將竭誠為您服務，或至本局網站房地合一專區</w:t>
      </w:r>
      <w:proofErr w:type="gramStart"/>
      <w:r>
        <w:rPr>
          <w:rFonts w:ascii="標楷體" w:eastAsia="標楷體" w:hAnsi="標楷體" w:cs="Times New Roman"/>
          <w:b/>
          <w:color w:val="111111"/>
          <w:sz w:val="28"/>
          <w:szCs w:val="28"/>
          <w:shd w:val="pct15" w:color="auto" w:fill="FFFFFF"/>
        </w:rPr>
        <w:t>（</w:t>
      </w:r>
      <w:proofErr w:type="gramEnd"/>
      <w:r>
        <w:rPr>
          <w:rFonts w:ascii="標楷體" w:eastAsia="標楷體" w:hAnsi="標楷體" w:cs="Times New Roman"/>
          <w:b/>
          <w:color w:val="111111"/>
          <w:sz w:val="28"/>
          <w:szCs w:val="28"/>
          <w:shd w:val="pct15" w:color="auto" w:fill="FFFFFF"/>
        </w:rPr>
        <w:t>http</w:t>
      </w:r>
      <w:r>
        <w:rPr>
          <w:rFonts w:ascii="標楷體" w:eastAsia="標楷體" w:hAnsi="標楷體" w:cs="Times New Roman"/>
          <w:b/>
          <w:color w:val="111111"/>
          <w:sz w:val="28"/>
          <w:szCs w:val="28"/>
          <w:shd w:val="pct15" w:color="auto" w:fill="FFFFFF"/>
        </w:rPr>
        <w:t>：</w:t>
      </w:r>
      <w:r>
        <w:rPr>
          <w:rFonts w:ascii="標楷體" w:eastAsia="標楷體" w:hAnsi="標楷體" w:cs="Times New Roman"/>
          <w:b/>
          <w:color w:val="111111"/>
          <w:sz w:val="28"/>
          <w:szCs w:val="28"/>
          <w:shd w:val="pct15" w:color="auto" w:fill="FFFFFF"/>
        </w:rPr>
        <w:t>//www.ntbna.gov.tw/etwmain</w:t>
      </w:r>
      <w:proofErr w:type="gramStart"/>
      <w:r>
        <w:rPr>
          <w:rFonts w:ascii="標楷體" w:eastAsia="標楷體" w:hAnsi="標楷體" w:cs="Times New Roman"/>
          <w:b/>
          <w:color w:val="111111"/>
          <w:sz w:val="28"/>
          <w:szCs w:val="28"/>
          <w:shd w:val="pct15" w:color="auto" w:fill="FFFFFF"/>
        </w:rPr>
        <w:t>）</w:t>
      </w:r>
      <w:proofErr w:type="gramEnd"/>
      <w:r>
        <w:rPr>
          <w:rFonts w:ascii="標楷體" w:eastAsia="標楷體" w:hAnsi="標楷體" w:cs="Times New Roman"/>
          <w:b/>
          <w:sz w:val="28"/>
          <w:szCs w:val="28"/>
          <w:shd w:val="pct15" w:color="auto" w:fill="FFFFFF"/>
        </w:rPr>
        <w:t>查詢更多資訊。</w:t>
      </w:r>
    </w:p>
    <w:p w:rsidR="00216C57" w:rsidRDefault="00216C57">
      <w:pPr>
        <w:rPr>
          <w:rFonts w:ascii="標楷體" w:eastAsia="標楷體" w:hAnsi="標楷體" w:cs="Times New Roman"/>
          <w:b/>
          <w:sz w:val="28"/>
          <w:szCs w:val="28"/>
          <w:shd w:val="pct15" w:color="auto" w:fill="FFFFFF"/>
        </w:rPr>
      </w:pPr>
    </w:p>
    <w:p w:rsidR="00216C57" w:rsidRDefault="00607728">
      <w:pPr>
        <w:ind w:left="281" w:firstLine="1"/>
        <w:jc w:val="center"/>
        <w:rPr>
          <w:rFonts w:ascii="標楷體" w:eastAsia="標楷體" w:hAnsi="標楷體"/>
          <w:b/>
          <w:sz w:val="28"/>
          <w:szCs w:val="28"/>
        </w:rPr>
      </w:pPr>
      <w:r>
        <w:rPr>
          <w:rFonts w:ascii="標楷體" w:eastAsia="標楷體" w:hAnsi="標楷體"/>
          <w:b/>
          <w:sz w:val="28"/>
          <w:szCs w:val="28"/>
        </w:rPr>
        <w:t>房地合一所得稅制課稅方式</w:t>
      </w:r>
    </w:p>
    <w:tbl>
      <w:tblPr>
        <w:tblW w:w="10850" w:type="dxa"/>
        <w:tblInd w:w="-377" w:type="dxa"/>
        <w:tblBorders>
          <w:top w:val="double" w:sz="4" w:space="0" w:color="00000A"/>
          <w:left w:val="double" w:sz="4" w:space="0" w:color="00000A"/>
          <w:bottom w:val="single" w:sz="4" w:space="0" w:color="00000A"/>
          <w:right w:val="double" w:sz="4" w:space="0" w:color="00000A"/>
          <w:insideH w:val="single" w:sz="4" w:space="0" w:color="00000A"/>
          <w:insideV w:val="double" w:sz="4" w:space="0" w:color="00000A"/>
        </w:tblBorders>
        <w:tblCellMar>
          <w:left w:w="-15" w:type="dxa"/>
          <w:right w:w="28" w:type="dxa"/>
        </w:tblCellMar>
        <w:tblLook w:val="0000" w:firstRow="0" w:lastRow="0" w:firstColumn="0" w:lastColumn="0" w:noHBand="0" w:noVBand="0"/>
      </w:tblPr>
      <w:tblGrid>
        <w:gridCol w:w="1077"/>
        <w:gridCol w:w="981"/>
        <w:gridCol w:w="8792"/>
      </w:tblGrid>
      <w:tr w:rsidR="00216C57">
        <w:trPr>
          <w:trHeight w:val="20"/>
        </w:trPr>
        <w:tc>
          <w:tcPr>
            <w:tcW w:w="1077" w:type="dxa"/>
            <w:tcBorders>
              <w:top w:val="double" w:sz="4" w:space="0" w:color="00000A"/>
              <w:left w:val="double" w:sz="4" w:space="0" w:color="00000A"/>
              <w:bottom w:val="single" w:sz="4" w:space="0" w:color="00000A"/>
              <w:right w:val="double" w:sz="4" w:space="0" w:color="00000A"/>
            </w:tcBorders>
            <w:shd w:val="clear" w:color="auto" w:fill="E6E6E6"/>
            <w:tcMar>
              <w:left w:w="-15" w:type="dxa"/>
            </w:tcMar>
            <w:vAlign w:val="center"/>
          </w:tcPr>
          <w:p w:rsidR="00216C57" w:rsidRDefault="00607728">
            <w:pPr>
              <w:spacing w:line="400" w:lineRule="exact"/>
              <w:jc w:val="center"/>
              <w:rPr>
                <w:rFonts w:ascii="標楷體" w:eastAsia="標楷體" w:hAnsi="標楷體"/>
                <w:szCs w:val="24"/>
              </w:rPr>
            </w:pPr>
            <w:r>
              <w:rPr>
                <w:rFonts w:ascii="標楷體" w:eastAsia="標楷體" w:hAnsi="標楷體"/>
                <w:b/>
                <w:szCs w:val="24"/>
              </w:rPr>
              <w:t>項目</w:t>
            </w:r>
          </w:p>
        </w:tc>
        <w:tc>
          <w:tcPr>
            <w:tcW w:w="9773" w:type="dxa"/>
            <w:gridSpan w:val="2"/>
            <w:tcBorders>
              <w:top w:val="double" w:sz="4" w:space="0" w:color="00000A"/>
              <w:left w:val="double" w:sz="4" w:space="0" w:color="00000A"/>
              <w:bottom w:val="single" w:sz="4" w:space="0" w:color="00000A"/>
              <w:right w:val="double" w:sz="4" w:space="0" w:color="00000A"/>
            </w:tcBorders>
            <w:shd w:val="clear" w:color="auto" w:fill="E6E6E6"/>
            <w:tcMar>
              <w:left w:w="-15" w:type="dxa"/>
            </w:tcMar>
            <w:vAlign w:val="center"/>
          </w:tcPr>
          <w:p w:rsidR="00216C57" w:rsidRDefault="00607728">
            <w:pPr>
              <w:spacing w:line="400" w:lineRule="exact"/>
              <w:jc w:val="center"/>
              <w:rPr>
                <w:rFonts w:ascii="標楷體" w:eastAsia="標楷體" w:hAnsi="標楷體"/>
                <w:b/>
                <w:szCs w:val="24"/>
              </w:rPr>
            </w:pPr>
            <w:r>
              <w:rPr>
                <w:rFonts w:ascii="標楷體" w:eastAsia="標楷體" w:hAnsi="標楷體"/>
                <w:b/>
                <w:szCs w:val="24"/>
              </w:rPr>
              <w:t>說明</w:t>
            </w:r>
          </w:p>
        </w:tc>
      </w:tr>
      <w:tr w:rsidR="00216C57">
        <w:trPr>
          <w:trHeight w:val="20"/>
        </w:trPr>
        <w:tc>
          <w:tcPr>
            <w:tcW w:w="1077"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b/>
                <w:szCs w:val="24"/>
              </w:rPr>
            </w:pPr>
            <w:r>
              <w:rPr>
                <w:rFonts w:ascii="標楷體" w:eastAsia="標楷體" w:hAnsi="標楷體"/>
                <w:b/>
                <w:szCs w:val="24"/>
              </w:rPr>
              <w:lastRenderedPageBreak/>
              <w:t>課稅範圍</w:t>
            </w:r>
          </w:p>
        </w:tc>
        <w:tc>
          <w:tcPr>
            <w:tcW w:w="9773" w:type="dxa"/>
            <w:gridSpan w:val="2"/>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jc w:val="both"/>
              <w:rPr>
                <w:rFonts w:ascii="標楷體" w:eastAsia="標楷體" w:hAnsi="標楷體"/>
                <w:szCs w:val="24"/>
              </w:rPr>
            </w:pPr>
            <w:r>
              <w:rPr>
                <w:rFonts w:ascii="標楷體" w:eastAsia="標楷體" w:hAnsi="標楷體"/>
                <w:szCs w:val="24"/>
              </w:rPr>
              <w:t>房屋、土地符合下列情形之</w:t>
            </w:r>
            <w:proofErr w:type="gramStart"/>
            <w:r>
              <w:rPr>
                <w:rFonts w:ascii="標楷體" w:eastAsia="標楷體" w:hAnsi="標楷體"/>
                <w:szCs w:val="24"/>
              </w:rPr>
              <w:t>一</w:t>
            </w:r>
            <w:proofErr w:type="gramEnd"/>
            <w:r>
              <w:rPr>
                <w:rFonts w:ascii="標楷體" w:eastAsia="標楷體" w:hAnsi="標楷體"/>
                <w:szCs w:val="24"/>
              </w:rPr>
              <w:t>者</w:t>
            </w:r>
            <w:proofErr w:type="gramStart"/>
            <w:r>
              <w:rPr>
                <w:rFonts w:ascii="標楷體" w:eastAsia="標楷體" w:hAnsi="標楷體"/>
                <w:szCs w:val="24"/>
                <w:vertAlign w:val="superscript"/>
              </w:rPr>
              <w:t>註</w:t>
            </w:r>
            <w:proofErr w:type="gramEnd"/>
            <w:r>
              <w:rPr>
                <w:rFonts w:ascii="標楷體" w:eastAsia="標楷體" w:hAnsi="標楷體"/>
                <w:szCs w:val="24"/>
                <w:vertAlign w:val="superscript"/>
              </w:rPr>
              <w:t>1</w:t>
            </w:r>
            <w:r>
              <w:rPr>
                <w:rFonts w:ascii="標楷體" w:eastAsia="標楷體" w:hAnsi="標楷體"/>
                <w:szCs w:val="24"/>
              </w:rPr>
              <w:t>：</w:t>
            </w:r>
          </w:p>
          <w:p w:rsidR="00216C57" w:rsidRDefault="00607728">
            <w:pPr>
              <w:spacing w:line="340" w:lineRule="exact"/>
              <w:jc w:val="both"/>
              <w:rPr>
                <w:rFonts w:ascii="標楷體" w:eastAsia="標楷體" w:hAnsi="標楷體"/>
                <w:szCs w:val="24"/>
              </w:rPr>
            </w:pPr>
            <w:r>
              <w:rPr>
                <w:rFonts w:ascii="標楷體" w:eastAsia="標楷體" w:hAnsi="標楷體"/>
                <w:szCs w:val="24"/>
              </w:rPr>
              <w:t>1.105</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日以後取得</w:t>
            </w:r>
            <w:proofErr w:type="gramStart"/>
            <w:r>
              <w:rPr>
                <w:rFonts w:ascii="標楷體" w:eastAsia="標楷體" w:hAnsi="標楷體"/>
                <w:szCs w:val="24"/>
                <w:vertAlign w:val="superscript"/>
              </w:rPr>
              <w:t>註</w:t>
            </w:r>
            <w:proofErr w:type="gramEnd"/>
            <w:r>
              <w:rPr>
                <w:rFonts w:ascii="標楷體" w:eastAsia="標楷體" w:hAnsi="標楷體"/>
                <w:szCs w:val="24"/>
                <w:vertAlign w:val="superscript"/>
              </w:rPr>
              <w:t>2</w:t>
            </w:r>
          </w:p>
          <w:p w:rsidR="00216C57" w:rsidRDefault="00607728">
            <w:pPr>
              <w:spacing w:line="340" w:lineRule="exact"/>
              <w:jc w:val="both"/>
              <w:rPr>
                <w:rFonts w:ascii="標楷體" w:eastAsia="標楷體" w:hAnsi="標楷體"/>
                <w:szCs w:val="24"/>
              </w:rPr>
            </w:pPr>
            <w:r>
              <w:rPr>
                <w:rFonts w:ascii="標楷體" w:eastAsia="標楷體" w:hAnsi="標楷體"/>
                <w:szCs w:val="24"/>
              </w:rPr>
              <w:t>2.103</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2</w:t>
            </w:r>
            <w:r>
              <w:rPr>
                <w:rFonts w:ascii="標楷體" w:eastAsia="標楷體" w:hAnsi="標楷體"/>
                <w:szCs w:val="24"/>
              </w:rPr>
              <w:t>日以後取得，且持有期間</w:t>
            </w:r>
            <w:proofErr w:type="gramStart"/>
            <w:r>
              <w:rPr>
                <w:rFonts w:ascii="標楷體" w:eastAsia="標楷體" w:hAnsi="標楷體"/>
                <w:szCs w:val="24"/>
                <w:vertAlign w:val="superscript"/>
              </w:rPr>
              <w:t>註</w:t>
            </w:r>
            <w:proofErr w:type="gramEnd"/>
            <w:r>
              <w:rPr>
                <w:rFonts w:ascii="標楷體" w:eastAsia="標楷體" w:hAnsi="標楷體"/>
                <w:szCs w:val="24"/>
                <w:vertAlign w:val="superscript"/>
              </w:rPr>
              <w:t>3</w:t>
            </w:r>
            <w:r>
              <w:rPr>
                <w:rFonts w:ascii="標楷體" w:eastAsia="標楷體" w:hAnsi="標楷體"/>
                <w:szCs w:val="24"/>
              </w:rPr>
              <w:t>在</w:t>
            </w:r>
            <w:r>
              <w:rPr>
                <w:rFonts w:ascii="標楷體" w:eastAsia="標楷體" w:hAnsi="標楷體"/>
                <w:szCs w:val="24"/>
              </w:rPr>
              <w:t>2</w:t>
            </w:r>
            <w:r>
              <w:rPr>
                <w:rFonts w:ascii="標楷體" w:eastAsia="標楷體" w:hAnsi="標楷體"/>
                <w:szCs w:val="24"/>
              </w:rPr>
              <w:t>年以內</w:t>
            </w:r>
          </w:p>
        </w:tc>
      </w:tr>
      <w:tr w:rsidR="00216C57">
        <w:trPr>
          <w:trHeight w:val="20"/>
        </w:trPr>
        <w:tc>
          <w:tcPr>
            <w:tcW w:w="1077"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b/>
                <w:szCs w:val="24"/>
              </w:rPr>
            </w:pPr>
            <w:r>
              <w:rPr>
                <w:rFonts w:ascii="標楷體" w:eastAsia="標楷體" w:hAnsi="標楷體"/>
                <w:b/>
                <w:szCs w:val="24"/>
              </w:rPr>
              <w:t>課稅所得</w:t>
            </w:r>
          </w:p>
        </w:tc>
        <w:tc>
          <w:tcPr>
            <w:tcW w:w="9773" w:type="dxa"/>
            <w:gridSpan w:val="2"/>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jc w:val="both"/>
              <w:rPr>
                <w:rFonts w:ascii="標楷體" w:eastAsia="標楷體" w:hAnsi="標楷體"/>
                <w:szCs w:val="24"/>
              </w:rPr>
            </w:pPr>
            <w:r>
              <w:rPr>
                <w:rFonts w:ascii="標楷體" w:eastAsia="標楷體" w:hAnsi="標楷體"/>
                <w:szCs w:val="24"/>
              </w:rPr>
              <w:t>房屋土地交易時的成交價額－成本－</w:t>
            </w:r>
            <w:proofErr w:type="gramStart"/>
            <w:r>
              <w:rPr>
                <w:rFonts w:ascii="標楷體" w:eastAsia="標楷體" w:hAnsi="標楷體"/>
                <w:szCs w:val="24"/>
              </w:rPr>
              <w:t>費用－依土地</w:t>
            </w:r>
            <w:proofErr w:type="gramEnd"/>
            <w:r>
              <w:rPr>
                <w:rFonts w:ascii="標楷體" w:eastAsia="標楷體" w:hAnsi="標楷體"/>
                <w:szCs w:val="24"/>
              </w:rPr>
              <w:t>稅法計算的土地漲價總數額</w:t>
            </w:r>
          </w:p>
        </w:tc>
      </w:tr>
      <w:tr w:rsidR="00216C57">
        <w:trPr>
          <w:trHeight w:val="20"/>
        </w:trPr>
        <w:tc>
          <w:tcPr>
            <w:tcW w:w="1077" w:type="dxa"/>
            <w:vMerge w:val="restart"/>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b/>
                <w:szCs w:val="24"/>
              </w:rPr>
            </w:pPr>
            <w:r>
              <w:rPr>
                <w:rFonts w:ascii="標楷體" w:eastAsia="標楷體" w:hAnsi="標楷體"/>
                <w:b/>
                <w:szCs w:val="24"/>
              </w:rPr>
              <w:t>稅率</w:t>
            </w:r>
          </w:p>
        </w:tc>
        <w:tc>
          <w:tcPr>
            <w:tcW w:w="981"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jc w:val="both"/>
              <w:rPr>
                <w:rFonts w:ascii="標楷體" w:eastAsia="標楷體" w:hAnsi="標楷體"/>
                <w:b/>
                <w:szCs w:val="24"/>
              </w:rPr>
            </w:pPr>
            <w:r>
              <w:rPr>
                <w:rFonts w:ascii="標楷體" w:eastAsia="標楷體" w:hAnsi="標楷體"/>
                <w:b/>
                <w:szCs w:val="24"/>
              </w:rPr>
              <w:t>境內</w:t>
            </w:r>
          </w:p>
          <w:p w:rsidR="00216C57" w:rsidRDefault="00607728">
            <w:pPr>
              <w:spacing w:line="340" w:lineRule="exact"/>
              <w:jc w:val="both"/>
              <w:rPr>
                <w:rFonts w:ascii="標楷體" w:eastAsia="標楷體" w:hAnsi="標楷體"/>
                <w:szCs w:val="24"/>
              </w:rPr>
            </w:pPr>
            <w:r>
              <w:rPr>
                <w:rFonts w:ascii="標楷體" w:eastAsia="標楷體" w:hAnsi="標楷體"/>
                <w:b/>
                <w:szCs w:val="24"/>
              </w:rPr>
              <w:t>居住者</w:t>
            </w:r>
          </w:p>
        </w:tc>
        <w:tc>
          <w:tcPr>
            <w:tcW w:w="8792"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ind w:left="240"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依持有期間認定：</w:t>
            </w:r>
          </w:p>
          <w:p w:rsidR="00216C57" w:rsidRDefault="00607728">
            <w:pPr>
              <w:spacing w:line="340" w:lineRule="exact"/>
              <w:ind w:left="384"/>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持有期間</w:t>
            </w:r>
            <w:proofErr w:type="gramStart"/>
            <w:r>
              <w:rPr>
                <w:rFonts w:ascii="標楷體" w:eastAsia="標楷體" w:hAnsi="標楷體"/>
                <w:szCs w:val="24"/>
              </w:rPr>
              <w:t>≦</w:t>
            </w:r>
            <w:proofErr w:type="gramEnd"/>
            <w:r>
              <w:rPr>
                <w:rFonts w:ascii="標楷體" w:eastAsia="標楷體" w:hAnsi="標楷體"/>
                <w:szCs w:val="24"/>
              </w:rPr>
              <w:t>1</w:t>
            </w:r>
            <w:r>
              <w:rPr>
                <w:rFonts w:ascii="標楷體" w:eastAsia="標楷體" w:hAnsi="標楷體"/>
                <w:szCs w:val="24"/>
              </w:rPr>
              <w:t>年：</w:t>
            </w:r>
            <w:r>
              <w:rPr>
                <w:rFonts w:ascii="標楷體" w:eastAsia="標楷體" w:hAnsi="標楷體"/>
                <w:szCs w:val="24"/>
              </w:rPr>
              <w:t xml:space="preserve">45% </w:t>
            </w:r>
          </w:p>
          <w:p w:rsidR="00216C57" w:rsidRDefault="00607728">
            <w:pPr>
              <w:spacing w:line="340" w:lineRule="exact"/>
              <w:ind w:left="384"/>
              <w:jc w:val="both"/>
              <w:rPr>
                <w:rFonts w:ascii="標楷體" w:eastAsia="標楷體" w:hAnsi="標楷體"/>
                <w:szCs w:val="24"/>
              </w:rPr>
            </w:pPr>
            <w:r>
              <w:rPr>
                <w:rFonts w:ascii="標楷體" w:eastAsia="標楷體" w:hAnsi="標楷體"/>
                <w:szCs w:val="24"/>
              </w:rPr>
              <w:t>(2)1</w:t>
            </w:r>
            <w:r>
              <w:rPr>
                <w:rFonts w:ascii="標楷體" w:eastAsia="標楷體" w:hAnsi="標楷體"/>
                <w:szCs w:val="24"/>
              </w:rPr>
              <w:t>年＜持有期間</w:t>
            </w:r>
            <w:proofErr w:type="gramStart"/>
            <w:r>
              <w:rPr>
                <w:rFonts w:ascii="標楷體" w:eastAsia="標楷體" w:hAnsi="標楷體"/>
                <w:szCs w:val="24"/>
              </w:rPr>
              <w:t>≦</w:t>
            </w:r>
            <w:proofErr w:type="gramEnd"/>
            <w:r>
              <w:rPr>
                <w:rFonts w:ascii="標楷體" w:eastAsia="標楷體" w:hAnsi="標楷體"/>
                <w:szCs w:val="24"/>
              </w:rPr>
              <w:t>2</w:t>
            </w:r>
            <w:r>
              <w:rPr>
                <w:rFonts w:ascii="標楷體" w:eastAsia="標楷體" w:hAnsi="標楷體"/>
                <w:szCs w:val="24"/>
              </w:rPr>
              <w:t>年：</w:t>
            </w:r>
            <w:r>
              <w:rPr>
                <w:rFonts w:ascii="標楷體" w:eastAsia="標楷體" w:hAnsi="標楷體"/>
                <w:szCs w:val="24"/>
              </w:rPr>
              <w:t>35%</w:t>
            </w:r>
          </w:p>
          <w:p w:rsidR="00216C57" w:rsidRDefault="00607728">
            <w:pPr>
              <w:spacing w:line="340" w:lineRule="exact"/>
              <w:ind w:left="384"/>
              <w:jc w:val="both"/>
              <w:rPr>
                <w:rFonts w:ascii="標楷體" w:eastAsia="標楷體" w:hAnsi="標楷體"/>
                <w:szCs w:val="24"/>
              </w:rPr>
            </w:pPr>
            <w:r>
              <w:rPr>
                <w:rFonts w:ascii="標楷體" w:eastAsia="標楷體" w:hAnsi="標楷體"/>
                <w:szCs w:val="24"/>
              </w:rPr>
              <w:t>(3)2</w:t>
            </w:r>
            <w:r>
              <w:rPr>
                <w:rFonts w:ascii="標楷體" w:eastAsia="標楷體" w:hAnsi="標楷體"/>
                <w:szCs w:val="24"/>
              </w:rPr>
              <w:t>年＜持有期間</w:t>
            </w:r>
            <w:proofErr w:type="gramStart"/>
            <w:r>
              <w:rPr>
                <w:rFonts w:ascii="標楷體" w:eastAsia="標楷體" w:hAnsi="標楷體"/>
                <w:szCs w:val="24"/>
              </w:rPr>
              <w:t>≦</w:t>
            </w:r>
            <w:proofErr w:type="gramEnd"/>
            <w:r>
              <w:rPr>
                <w:rFonts w:ascii="標楷體" w:eastAsia="標楷體" w:hAnsi="標楷體"/>
                <w:szCs w:val="24"/>
              </w:rPr>
              <w:t>10</w:t>
            </w:r>
            <w:r>
              <w:rPr>
                <w:rFonts w:ascii="標楷體" w:eastAsia="標楷體" w:hAnsi="標楷體"/>
                <w:szCs w:val="24"/>
              </w:rPr>
              <w:t>年：</w:t>
            </w:r>
            <w:r>
              <w:rPr>
                <w:rFonts w:ascii="標楷體" w:eastAsia="標楷體" w:hAnsi="標楷體"/>
                <w:szCs w:val="24"/>
              </w:rPr>
              <w:t>20%</w:t>
            </w:r>
          </w:p>
          <w:p w:rsidR="00216C57" w:rsidRDefault="00607728">
            <w:pPr>
              <w:spacing w:line="340" w:lineRule="exact"/>
              <w:ind w:left="384"/>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持有</w:t>
            </w:r>
            <w:proofErr w:type="gramStart"/>
            <w:r>
              <w:rPr>
                <w:rFonts w:ascii="標楷體" w:eastAsia="標楷體" w:hAnsi="標楷體"/>
                <w:szCs w:val="24"/>
              </w:rPr>
              <w:t>期間＞</w:t>
            </w:r>
            <w:proofErr w:type="gramEnd"/>
            <w:r>
              <w:rPr>
                <w:rFonts w:ascii="標楷體" w:eastAsia="標楷體" w:hAnsi="標楷體"/>
                <w:szCs w:val="24"/>
              </w:rPr>
              <w:t>10</w:t>
            </w:r>
            <w:r>
              <w:rPr>
                <w:rFonts w:ascii="標楷體" w:eastAsia="標楷體" w:hAnsi="標楷體"/>
                <w:szCs w:val="24"/>
              </w:rPr>
              <w:t>年：</w:t>
            </w:r>
            <w:r>
              <w:rPr>
                <w:rFonts w:ascii="標楷體" w:eastAsia="標楷體" w:hAnsi="標楷體"/>
                <w:szCs w:val="24"/>
              </w:rPr>
              <w:t>15%</w:t>
            </w:r>
          </w:p>
          <w:p w:rsidR="00216C57" w:rsidRDefault="00607728">
            <w:pPr>
              <w:spacing w:line="320" w:lineRule="exact"/>
              <w:ind w:left="240"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符合財政部公告的調職、非自願離職或其他非自願性因素，交易持有期間在</w:t>
            </w:r>
            <w:r>
              <w:rPr>
                <w:rFonts w:ascii="標楷體" w:eastAsia="標楷體" w:hAnsi="標楷體"/>
                <w:szCs w:val="24"/>
              </w:rPr>
              <w:t>2</w:t>
            </w:r>
            <w:r>
              <w:rPr>
                <w:rFonts w:ascii="標楷體" w:eastAsia="標楷體" w:hAnsi="標楷體"/>
                <w:szCs w:val="24"/>
              </w:rPr>
              <w:t>年以下的房地：</w:t>
            </w:r>
            <w:r>
              <w:rPr>
                <w:rFonts w:ascii="標楷體" w:eastAsia="標楷體" w:hAnsi="標楷體"/>
                <w:szCs w:val="24"/>
              </w:rPr>
              <w:t>20%</w:t>
            </w:r>
          </w:p>
          <w:p w:rsidR="00216C57" w:rsidRDefault="00607728">
            <w:pPr>
              <w:spacing w:line="320" w:lineRule="exact"/>
              <w:ind w:left="240"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以自有土地與營利事業合作興建房屋，自土地取得之日起算</w:t>
            </w:r>
            <w:r>
              <w:rPr>
                <w:rFonts w:ascii="標楷體" w:eastAsia="標楷體" w:hAnsi="標楷體"/>
                <w:szCs w:val="24"/>
              </w:rPr>
              <w:t>2</w:t>
            </w:r>
            <w:r>
              <w:rPr>
                <w:rFonts w:ascii="標楷體" w:eastAsia="標楷體" w:hAnsi="標楷體"/>
                <w:szCs w:val="24"/>
              </w:rPr>
              <w:t>年內完成並銷售該房屋、土地：</w:t>
            </w:r>
            <w:r>
              <w:rPr>
                <w:rFonts w:ascii="標楷體" w:eastAsia="標楷體" w:hAnsi="標楷體"/>
                <w:szCs w:val="24"/>
              </w:rPr>
              <w:t>20%</w:t>
            </w:r>
          </w:p>
          <w:p w:rsidR="00216C57" w:rsidRDefault="00607728">
            <w:pPr>
              <w:spacing w:line="340" w:lineRule="exact"/>
              <w:ind w:left="240" w:hanging="240"/>
              <w:jc w:val="both"/>
              <w:rPr>
                <w:rFonts w:ascii="標楷體" w:eastAsia="標楷體" w:hAnsi="標楷體"/>
                <w:b/>
                <w:szCs w:val="24"/>
              </w:rPr>
            </w:pPr>
            <w:r>
              <w:rPr>
                <w:rFonts w:ascii="標楷體" w:eastAsia="標楷體" w:hAnsi="標楷體"/>
                <w:szCs w:val="24"/>
              </w:rPr>
              <w:t>4.</w:t>
            </w:r>
            <w:r>
              <w:rPr>
                <w:rFonts w:ascii="標楷體" w:eastAsia="標楷體" w:hAnsi="標楷體"/>
                <w:szCs w:val="24"/>
              </w:rPr>
              <w:t>符合自住房地優惠適用條件</w:t>
            </w:r>
            <w:proofErr w:type="gramStart"/>
            <w:r>
              <w:rPr>
                <w:rFonts w:ascii="標楷體" w:eastAsia="標楷體" w:hAnsi="標楷體"/>
                <w:szCs w:val="24"/>
                <w:vertAlign w:val="superscript"/>
              </w:rPr>
              <w:t>註</w:t>
            </w:r>
            <w:proofErr w:type="gramEnd"/>
            <w:r>
              <w:rPr>
                <w:rFonts w:ascii="標楷體" w:eastAsia="標楷體" w:hAnsi="標楷體"/>
                <w:szCs w:val="24"/>
                <w:vertAlign w:val="superscript"/>
              </w:rPr>
              <w:t>4</w:t>
            </w:r>
            <w:r>
              <w:rPr>
                <w:rFonts w:ascii="標楷體" w:eastAsia="標楷體" w:hAnsi="標楷體"/>
                <w:szCs w:val="24"/>
              </w:rPr>
              <w:t>，課稅所得超過</w:t>
            </w:r>
            <w:r>
              <w:rPr>
                <w:rFonts w:ascii="標楷體" w:eastAsia="標楷體" w:hAnsi="標楷體"/>
                <w:szCs w:val="24"/>
              </w:rPr>
              <w:t>400</w:t>
            </w:r>
            <w:r>
              <w:rPr>
                <w:rFonts w:ascii="標楷體" w:eastAsia="標楷體" w:hAnsi="標楷體"/>
                <w:szCs w:val="24"/>
              </w:rPr>
              <w:t>萬元部分：</w:t>
            </w:r>
            <w:r>
              <w:rPr>
                <w:rFonts w:ascii="標楷體" w:eastAsia="標楷體" w:hAnsi="標楷體"/>
                <w:szCs w:val="24"/>
              </w:rPr>
              <w:t>10%</w:t>
            </w:r>
            <w:r>
              <w:rPr>
                <w:rFonts w:ascii="標楷體" w:eastAsia="標楷體" w:hAnsi="標楷體"/>
                <w:szCs w:val="24"/>
              </w:rPr>
              <w:t>。</w:t>
            </w:r>
          </w:p>
        </w:tc>
      </w:tr>
      <w:tr w:rsidR="00216C57">
        <w:trPr>
          <w:trHeight w:val="20"/>
        </w:trPr>
        <w:tc>
          <w:tcPr>
            <w:tcW w:w="1077" w:type="dxa"/>
            <w:vMerge/>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216C57">
            <w:pPr>
              <w:spacing w:line="340" w:lineRule="exact"/>
              <w:rPr>
                <w:rFonts w:ascii="標楷體" w:eastAsia="標楷體" w:hAnsi="標楷體"/>
                <w:b/>
                <w:szCs w:val="24"/>
              </w:rPr>
            </w:pPr>
          </w:p>
        </w:tc>
        <w:tc>
          <w:tcPr>
            <w:tcW w:w="981"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szCs w:val="24"/>
              </w:rPr>
            </w:pPr>
            <w:r>
              <w:rPr>
                <w:rFonts w:ascii="標楷體" w:eastAsia="標楷體" w:hAnsi="標楷體"/>
                <w:b/>
                <w:szCs w:val="24"/>
              </w:rPr>
              <w:t>非境內居住者</w:t>
            </w:r>
          </w:p>
        </w:tc>
        <w:tc>
          <w:tcPr>
            <w:tcW w:w="8792"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持有期間</w:t>
            </w:r>
            <w:proofErr w:type="gramStart"/>
            <w:r>
              <w:rPr>
                <w:rFonts w:ascii="標楷體" w:eastAsia="標楷體" w:hAnsi="標楷體"/>
                <w:szCs w:val="24"/>
              </w:rPr>
              <w:t>≦</w:t>
            </w:r>
            <w:proofErr w:type="gramEnd"/>
            <w:r>
              <w:rPr>
                <w:rFonts w:ascii="標楷體" w:eastAsia="標楷體" w:hAnsi="標楷體"/>
                <w:szCs w:val="24"/>
              </w:rPr>
              <w:t>1</w:t>
            </w:r>
            <w:r>
              <w:rPr>
                <w:rFonts w:ascii="標楷體" w:eastAsia="標楷體" w:hAnsi="標楷體"/>
                <w:szCs w:val="24"/>
              </w:rPr>
              <w:t>年：</w:t>
            </w:r>
            <w:r>
              <w:rPr>
                <w:rFonts w:ascii="標楷體" w:eastAsia="標楷體" w:hAnsi="標楷體"/>
                <w:szCs w:val="24"/>
              </w:rPr>
              <w:t>45%</w:t>
            </w:r>
          </w:p>
          <w:p w:rsidR="00216C57" w:rsidRDefault="00607728">
            <w:pPr>
              <w:spacing w:line="340" w:lineRule="exact"/>
              <w:jc w:val="both"/>
              <w:rPr>
                <w:rFonts w:ascii="標楷體" w:eastAsia="標楷體" w:hAnsi="標楷體"/>
                <w:b/>
                <w:szCs w:val="24"/>
              </w:rPr>
            </w:pPr>
            <w:r>
              <w:rPr>
                <w:rFonts w:ascii="標楷體" w:eastAsia="標楷體" w:hAnsi="標楷體"/>
                <w:szCs w:val="24"/>
              </w:rPr>
              <w:t>2.</w:t>
            </w:r>
            <w:r>
              <w:rPr>
                <w:rFonts w:ascii="標楷體" w:eastAsia="標楷體" w:hAnsi="標楷體"/>
                <w:szCs w:val="24"/>
              </w:rPr>
              <w:t>持有</w:t>
            </w:r>
            <w:proofErr w:type="gramStart"/>
            <w:r>
              <w:rPr>
                <w:rFonts w:ascii="標楷體" w:eastAsia="標楷體" w:hAnsi="標楷體"/>
                <w:szCs w:val="24"/>
              </w:rPr>
              <w:t>期間＞</w:t>
            </w:r>
            <w:proofErr w:type="gramEnd"/>
            <w:r>
              <w:rPr>
                <w:rFonts w:ascii="標楷體" w:eastAsia="標楷體" w:hAnsi="標楷體"/>
                <w:szCs w:val="24"/>
              </w:rPr>
              <w:t>1</w:t>
            </w:r>
            <w:r>
              <w:rPr>
                <w:rFonts w:ascii="標楷體" w:eastAsia="標楷體" w:hAnsi="標楷體"/>
                <w:szCs w:val="24"/>
              </w:rPr>
              <w:t>年：</w:t>
            </w:r>
            <w:r>
              <w:rPr>
                <w:rFonts w:ascii="標楷體" w:eastAsia="標楷體" w:hAnsi="標楷體"/>
                <w:szCs w:val="24"/>
              </w:rPr>
              <w:t>35%</w:t>
            </w:r>
          </w:p>
        </w:tc>
      </w:tr>
      <w:tr w:rsidR="00216C57">
        <w:trPr>
          <w:trHeight w:val="20"/>
        </w:trPr>
        <w:tc>
          <w:tcPr>
            <w:tcW w:w="1077"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b/>
                <w:szCs w:val="24"/>
              </w:rPr>
            </w:pPr>
            <w:r>
              <w:rPr>
                <w:rFonts w:ascii="標楷體" w:eastAsia="標楷體" w:hAnsi="標楷體"/>
                <w:b/>
                <w:szCs w:val="24"/>
              </w:rPr>
              <w:t>盈虧互抵</w:t>
            </w:r>
          </w:p>
        </w:tc>
        <w:tc>
          <w:tcPr>
            <w:tcW w:w="9773" w:type="dxa"/>
            <w:gridSpan w:val="2"/>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虧損得後抵</w:t>
            </w:r>
            <w:r>
              <w:rPr>
                <w:rFonts w:ascii="標楷體" w:eastAsia="標楷體" w:hAnsi="標楷體"/>
                <w:szCs w:val="24"/>
              </w:rPr>
              <w:t>3</w:t>
            </w:r>
            <w:r>
              <w:rPr>
                <w:rFonts w:ascii="標楷體" w:eastAsia="標楷體" w:hAnsi="標楷體"/>
                <w:szCs w:val="24"/>
              </w:rPr>
              <w:t>年</w:t>
            </w:r>
          </w:p>
        </w:tc>
      </w:tr>
      <w:tr w:rsidR="00216C57">
        <w:trPr>
          <w:trHeight w:val="20"/>
        </w:trPr>
        <w:tc>
          <w:tcPr>
            <w:tcW w:w="1077"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b/>
                <w:szCs w:val="24"/>
              </w:rPr>
            </w:pPr>
            <w:r>
              <w:rPr>
                <w:rFonts w:ascii="標楷體" w:eastAsia="標楷體" w:hAnsi="標楷體"/>
                <w:b/>
                <w:szCs w:val="24"/>
              </w:rPr>
              <w:t>重購自用住宅退稅</w:t>
            </w:r>
          </w:p>
        </w:tc>
        <w:tc>
          <w:tcPr>
            <w:tcW w:w="9773" w:type="dxa"/>
            <w:gridSpan w:val="2"/>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216C57" w:rsidRDefault="00607728">
            <w:pPr>
              <w:spacing w:line="340" w:lineRule="exact"/>
              <w:ind w:left="240"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換大屋：全額退稅；換小屋：比例退稅</w:t>
            </w:r>
          </w:p>
          <w:p w:rsidR="00216C57" w:rsidRDefault="00607728">
            <w:pPr>
              <w:spacing w:line="340" w:lineRule="exact"/>
              <w:ind w:left="240" w:hanging="240"/>
              <w:jc w:val="both"/>
              <w:rPr>
                <w:rFonts w:ascii="標楷體" w:eastAsia="標楷體" w:hAnsi="標楷體"/>
                <w:szCs w:val="24"/>
              </w:rPr>
            </w:pPr>
            <w:r>
              <w:rPr>
                <w:rFonts w:ascii="標楷體" w:eastAsia="標楷體" w:hAnsi="標楷體"/>
                <w:szCs w:val="24"/>
              </w:rPr>
              <w:t>2.</w:t>
            </w:r>
            <w:proofErr w:type="gramStart"/>
            <w:r>
              <w:rPr>
                <w:rFonts w:ascii="標楷體" w:eastAsia="標楷體" w:hAnsi="標楷體"/>
                <w:szCs w:val="24"/>
              </w:rPr>
              <w:t>先售後購</w:t>
            </w:r>
            <w:proofErr w:type="gramEnd"/>
            <w:r>
              <w:rPr>
                <w:rFonts w:ascii="標楷體" w:eastAsia="標楷體" w:hAnsi="標楷體"/>
                <w:szCs w:val="24"/>
              </w:rPr>
              <w:t>、先購</w:t>
            </w:r>
            <w:proofErr w:type="gramStart"/>
            <w:r>
              <w:rPr>
                <w:rFonts w:ascii="標楷體" w:eastAsia="標楷體" w:hAnsi="標楷體"/>
                <w:szCs w:val="24"/>
              </w:rPr>
              <w:t>後售者皆</w:t>
            </w:r>
            <w:proofErr w:type="gramEnd"/>
            <w:r>
              <w:rPr>
                <w:rFonts w:ascii="標楷體" w:eastAsia="標楷體" w:hAnsi="標楷體"/>
                <w:szCs w:val="24"/>
              </w:rPr>
              <w:t>適用</w:t>
            </w:r>
          </w:p>
          <w:p w:rsidR="00216C57" w:rsidRDefault="00607728">
            <w:pPr>
              <w:spacing w:line="340" w:lineRule="exact"/>
              <w:ind w:left="240"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重購後</w:t>
            </w:r>
            <w:r>
              <w:rPr>
                <w:rFonts w:ascii="標楷體" w:eastAsia="標楷體" w:hAnsi="標楷體"/>
                <w:szCs w:val="24"/>
              </w:rPr>
              <w:t>5</w:t>
            </w:r>
            <w:r>
              <w:rPr>
                <w:rFonts w:ascii="標楷體" w:eastAsia="標楷體" w:hAnsi="標楷體"/>
                <w:szCs w:val="24"/>
              </w:rPr>
              <w:t>年內改做其他用途或再行移轉時，將</w:t>
            </w:r>
            <w:proofErr w:type="gramStart"/>
            <w:r>
              <w:rPr>
                <w:rFonts w:ascii="標楷體" w:eastAsia="標楷體" w:hAnsi="標楷體"/>
                <w:szCs w:val="24"/>
              </w:rPr>
              <w:t>追繳原扣抵</w:t>
            </w:r>
            <w:proofErr w:type="gramEnd"/>
            <w:r>
              <w:rPr>
                <w:rFonts w:ascii="標楷體" w:eastAsia="標楷體" w:hAnsi="標楷體"/>
                <w:szCs w:val="24"/>
              </w:rPr>
              <w:t>或退還的稅額</w:t>
            </w:r>
          </w:p>
        </w:tc>
      </w:tr>
      <w:tr w:rsidR="00216C57">
        <w:trPr>
          <w:trHeight w:val="20"/>
        </w:trPr>
        <w:tc>
          <w:tcPr>
            <w:tcW w:w="1077" w:type="dxa"/>
            <w:tcBorders>
              <w:top w:val="single" w:sz="4" w:space="0" w:color="00000A"/>
              <w:left w:val="double" w:sz="4" w:space="0" w:color="00000A"/>
              <w:bottom w:val="double" w:sz="4" w:space="0" w:color="00000A"/>
              <w:right w:val="double" w:sz="4" w:space="0" w:color="00000A"/>
            </w:tcBorders>
            <w:shd w:val="clear" w:color="auto" w:fill="auto"/>
            <w:tcMar>
              <w:left w:w="-15" w:type="dxa"/>
            </w:tcMar>
            <w:vAlign w:val="center"/>
          </w:tcPr>
          <w:p w:rsidR="00216C57" w:rsidRDefault="00607728">
            <w:pPr>
              <w:spacing w:line="340" w:lineRule="exact"/>
              <w:rPr>
                <w:rFonts w:ascii="標楷體" w:eastAsia="標楷體" w:hAnsi="標楷體"/>
                <w:b/>
                <w:szCs w:val="24"/>
              </w:rPr>
            </w:pPr>
            <w:r>
              <w:rPr>
                <w:rFonts w:ascii="標楷體" w:eastAsia="標楷體" w:hAnsi="標楷體"/>
                <w:b/>
                <w:szCs w:val="24"/>
              </w:rPr>
              <w:t>申報方式</w:t>
            </w:r>
          </w:p>
        </w:tc>
        <w:tc>
          <w:tcPr>
            <w:tcW w:w="9773" w:type="dxa"/>
            <w:gridSpan w:val="2"/>
            <w:tcBorders>
              <w:top w:val="single" w:sz="4" w:space="0" w:color="00000A"/>
              <w:left w:val="double" w:sz="4" w:space="0" w:color="00000A"/>
              <w:bottom w:val="double" w:sz="4" w:space="0" w:color="00000A"/>
              <w:right w:val="double" w:sz="4" w:space="0" w:color="00000A"/>
            </w:tcBorders>
            <w:shd w:val="clear" w:color="auto" w:fill="auto"/>
            <w:tcMar>
              <w:left w:w="-15" w:type="dxa"/>
            </w:tcMar>
            <w:vAlign w:val="center"/>
          </w:tcPr>
          <w:p w:rsidR="00216C57" w:rsidRDefault="00607728">
            <w:pPr>
              <w:spacing w:line="340" w:lineRule="exact"/>
              <w:jc w:val="both"/>
              <w:rPr>
                <w:rFonts w:ascii="標楷體" w:eastAsia="標楷體" w:hAnsi="標楷體"/>
                <w:szCs w:val="24"/>
              </w:rPr>
            </w:pPr>
            <w:r>
              <w:rPr>
                <w:rFonts w:ascii="標楷體" w:eastAsia="標楷體" w:hAnsi="標楷體"/>
                <w:b/>
                <w:szCs w:val="24"/>
              </w:rPr>
              <w:t>分離課稅</w:t>
            </w:r>
            <w:r>
              <w:rPr>
                <w:rFonts w:ascii="標楷體" w:eastAsia="標楷體" w:hAnsi="標楷體"/>
                <w:szCs w:val="24"/>
              </w:rPr>
              <w:t>，自完成所有權移轉登記日的次日起算</w:t>
            </w:r>
            <w:r>
              <w:rPr>
                <w:rFonts w:ascii="標楷體" w:eastAsia="標楷體" w:hAnsi="標楷體"/>
                <w:b/>
                <w:bCs/>
                <w:szCs w:val="24"/>
              </w:rPr>
              <w:t>30</w:t>
            </w:r>
            <w:r>
              <w:rPr>
                <w:rFonts w:ascii="標楷體" w:eastAsia="標楷體" w:hAnsi="標楷體"/>
                <w:b/>
                <w:bCs/>
                <w:szCs w:val="24"/>
              </w:rPr>
              <w:t>日</w:t>
            </w:r>
            <w:r>
              <w:rPr>
                <w:rFonts w:ascii="標楷體" w:eastAsia="標楷體" w:hAnsi="標楷體"/>
                <w:szCs w:val="24"/>
              </w:rPr>
              <w:t>內申報納稅</w:t>
            </w:r>
          </w:p>
        </w:tc>
      </w:tr>
    </w:tbl>
    <w:p w:rsidR="00216C57" w:rsidRDefault="00607728">
      <w:pPr>
        <w:spacing w:line="260" w:lineRule="exact"/>
        <w:ind w:left="508" w:hanging="400"/>
        <w:rPr>
          <w:rFonts w:ascii="標楷體" w:eastAsia="標楷體" w:hAnsi="標楷體" w:cs="Times New Roman"/>
          <w:szCs w:val="20"/>
        </w:rPr>
      </w:pPr>
      <w:proofErr w:type="gramStart"/>
      <w:r>
        <w:rPr>
          <w:rFonts w:ascii="標楷體" w:eastAsia="標楷體" w:hAnsi="標楷體" w:cs="Times New Roman"/>
          <w:szCs w:val="20"/>
        </w:rPr>
        <w:t>註</w:t>
      </w:r>
      <w:proofErr w:type="gramEnd"/>
      <w:r>
        <w:rPr>
          <w:rFonts w:ascii="標楷體" w:eastAsia="標楷體" w:hAnsi="標楷體" w:cs="Times New Roman"/>
          <w:szCs w:val="20"/>
        </w:rPr>
        <w:t>1</w:t>
      </w:r>
      <w:r>
        <w:rPr>
          <w:rFonts w:ascii="標楷體" w:eastAsia="標楷體" w:hAnsi="標楷體" w:cs="Times New Roman"/>
          <w:szCs w:val="20"/>
        </w:rPr>
        <w:t>：</w:t>
      </w:r>
      <w:r>
        <w:rPr>
          <w:rFonts w:ascii="標楷體" w:eastAsia="標楷體" w:hAnsi="標楷體" w:cs="Times New Roman"/>
          <w:szCs w:val="20"/>
        </w:rPr>
        <w:t>105</w:t>
      </w:r>
      <w:r>
        <w:rPr>
          <w:rFonts w:ascii="標楷體" w:eastAsia="標楷體" w:hAnsi="標楷體" w:cs="Times New Roman"/>
          <w:szCs w:val="20"/>
        </w:rPr>
        <w:t>年</w:t>
      </w:r>
      <w:r>
        <w:rPr>
          <w:rFonts w:ascii="標楷體" w:eastAsia="標楷體" w:hAnsi="標楷體" w:cs="Times New Roman"/>
          <w:szCs w:val="20"/>
        </w:rPr>
        <w:t>1</w:t>
      </w:r>
      <w:r>
        <w:rPr>
          <w:rFonts w:ascii="標楷體" w:eastAsia="標楷體" w:hAnsi="標楷體" w:cs="Times New Roman"/>
          <w:szCs w:val="20"/>
        </w:rPr>
        <w:t>月</w:t>
      </w:r>
      <w:r>
        <w:rPr>
          <w:rFonts w:ascii="標楷體" w:eastAsia="標楷體" w:hAnsi="標楷體" w:cs="Times New Roman"/>
          <w:szCs w:val="20"/>
        </w:rPr>
        <w:t>1</w:t>
      </w:r>
      <w:r>
        <w:rPr>
          <w:rFonts w:ascii="標楷體" w:eastAsia="標楷體" w:hAnsi="標楷體" w:cs="Times New Roman"/>
          <w:szCs w:val="20"/>
        </w:rPr>
        <w:t>日以後取得以設定地上權方式的房屋使用權，視同房屋交易課稅。</w:t>
      </w:r>
    </w:p>
    <w:p w:rsidR="00216C57" w:rsidRDefault="00607728">
      <w:pPr>
        <w:spacing w:line="260" w:lineRule="exact"/>
        <w:ind w:left="508" w:hanging="400"/>
        <w:rPr>
          <w:rFonts w:ascii="標楷體" w:eastAsia="標楷體" w:hAnsi="標楷體" w:cs="Times New Roman"/>
          <w:szCs w:val="20"/>
        </w:rPr>
      </w:pPr>
      <w:proofErr w:type="gramStart"/>
      <w:r>
        <w:rPr>
          <w:rFonts w:ascii="標楷體" w:eastAsia="標楷體" w:hAnsi="標楷體" w:cs="Times New Roman"/>
          <w:szCs w:val="20"/>
        </w:rPr>
        <w:t>註</w:t>
      </w:r>
      <w:proofErr w:type="gramEnd"/>
      <w:r>
        <w:rPr>
          <w:rFonts w:ascii="標楷體" w:eastAsia="標楷體" w:hAnsi="標楷體" w:cs="Times New Roman"/>
          <w:szCs w:val="20"/>
        </w:rPr>
        <w:t>2</w:t>
      </w:r>
      <w:r>
        <w:rPr>
          <w:rFonts w:ascii="標楷體" w:eastAsia="標楷體" w:hAnsi="標楷體" w:cs="Times New Roman"/>
          <w:szCs w:val="20"/>
        </w:rPr>
        <w:t>：取得日的判斷請參考下方附表</w:t>
      </w:r>
      <w:r>
        <w:rPr>
          <w:rFonts w:ascii="標楷體" w:eastAsia="標楷體" w:hAnsi="標楷體" w:cs="Times New Roman"/>
          <w:szCs w:val="20"/>
        </w:rPr>
        <w:t xml:space="preserve">(1) </w:t>
      </w:r>
      <w:r>
        <w:rPr>
          <w:rFonts w:ascii="標楷體" w:eastAsia="標楷體" w:hAnsi="標楷體" w:cs="Times New Roman"/>
          <w:szCs w:val="20"/>
        </w:rPr>
        <w:t>。</w:t>
      </w:r>
    </w:p>
    <w:p w:rsidR="00216C57" w:rsidRDefault="00607728">
      <w:pPr>
        <w:spacing w:line="260" w:lineRule="exact"/>
        <w:ind w:left="508" w:hanging="400"/>
        <w:rPr>
          <w:rFonts w:ascii="標楷體" w:eastAsia="標楷體" w:hAnsi="標楷體" w:cs="Times New Roman"/>
          <w:szCs w:val="20"/>
        </w:rPr>
      </w:pPr>
      <w:proofErr w:type="gramStart"/>
      <w:r>
        <w:rPr>
          <w:rFonts w:ascii="標楷體" w:eastAsia="標楷體" w:hAnsi="標楷體" w:cs="Times New Roman"/>
          <w:szCs w:val="20"/>
        </w:rPr>
        <w:t>註</w:t>
      </w:r>
      <w:proofErr w:type="gramEnd"/>
      <w:r>
        <w:rPr>
          <w:rFonts w:ascii="標楷體" w:eastAsia="標楷體" w:hAnsi="標楷體" w:cs="Times New Roman"/>
          <w:szCs w:val="20"/>
        </w:rPr>
        <w:t>3</w:t>
      </w:r>
      <w:r>
        <w:rPr>
          <w:rFonts w:ascii="標楷體" w:eastAsia="標楷體" w:hAnsi="標楷體" w:cs="Times New Roman"/>
          <w:szCs w:val="20"/>
        </w:rPr>
        <w:t>：持有期間的計算請參考下方附表</w:t>
      </w:r>
      <w:r>
        <w:rPr>
          <w:rFonts w:ascii="標楷體" w:eastAsia="標楷體" w:hAnsi="標楷體" w:cs="Times New Roman"/>
          <w:szCs w:val="20"/>
        </w:rPr>
        <w:t xml:space="preserve">(2) </w:t>
      </w:r>
      <w:r>
        <w:rPr>
          <w:rFonts w:ascii="標楷體" w:eastAsia="標楷體" w:hAnsi="標楷體" w:cs="Times New Roman"/>
          <w:szCs w:val="20"/>
        </w:rPr>
        <w:t>。</w:t>
      </w:r>
    </w:p>
    <w:p w:rsidR="00216C57" w:rsidRDefault="00607728">
      <w:pPr>
        <w:spacing w:line="260" w:lineRule="exact"/>
        <w:ind w:left="608" w:hanging="500"/>
        <w:rPr>
          <w:rFonts w:ascii="標楷體" w:eastAsia="標楷體" w:hAnsi="標楷體"/>
          <w:szCs w:val="20"/>
        </w:rPr>
      </w:pPr>
      <w:proofErr w:type="gramStart"/>
      <w:r>
        <w:rPr>
          <w:rFonts w:ascii="標楷體" w:eastAsia="標楷體" w:hAnsi="標楷體"/>
          <w:szCs w:val="20"/>
        </w:rPr>
        <w:t>註</w:t>
      </w:r>
      <w:proofErr w:type="gramEnd"/>
      <w:r>
        <w:rPr>
          <w:rFonts w:ascii="標楷體" w:eastAsia="標楷體" w:hAnsi="標楷體"/>
          <w:szCs w:val="20"/>
        </w:rPr>
        <w:t>4</w:t>
      </w:r>
      <w:r>
        <w:rPr>
          <w:rFonts w:ascii="標楷體" w:eastAsia="標楷體" w:hAnsi="標楷體"/>
          <w:szCs w:val="20"/>
        </w:rPr>
        <w:t>：</w:t>
      </w:r>
      <w:r>
        <w:rPr>
          <w:rFonts w:ascii="標楷體" w:eastAsia="標楷體" w:hAnsi="標楷體" w:cs="Times New Roman"/>
          <w:szCs w:val="20"/>
        </w:rPr>
        <w:t>自住房地優惠</w:t>
      </w:r>
      <w:r>
        <w:rPr>
          <w:rFonts w:ascii="標楷體" w:eastAsia="標楷體" w:hAnsi="標楷體"/>
          <w:szCs w:val="20"/>
        </w:rPr>
        <w:t>適用條件為：</w:t>
      </w:r>
      <w:r>
        <w:rPr>
          <w:rFonts w:ascii="標楷體" w:eastAsia="標楷體" w:hAnsi="標楷體"/>
          <w:szCs w:val="20"/>
        </w:rPr>
        <w:t>(1)</w:t>
      </w:r>
      <w:r>
        <w:rPr>
          <w:rFonts w:ascii="標楷體" w:eastAsia="標楷體" w:hAnsi="標楷體"/>
          <w:szCs w:val="20"/>
        </w:rPr>
        <w:t>個人或其配偶、未成年子女設有戶籍、持有並居住於該房屋連續滿</w:t>
      </w:r>
      <w:r>
        <w:rPr>
          <w:rFonts w:ascii="標楷體" w:eastAsia="標楷體" w:hAnsi="標楷體"/>
          <w:szCs w:val="20"/>
        </w:rPr>
        <w:t>6</w:t>
      </w:r>
      <w:r>
        <w:rPr>
          <w:rFonts w:ascii="標楷體" w:eastAsia="標楷體" w:hAnsi="標楷體"/>
          <w:szCs w:val="20"/>
        </w:rPr>
        <w:t>年。</w:t>
      </w:r>
      <w:r>
        <w:rPr>
          <w:rFonts w:ascii="標楷體" w:eastAsia="標楷體" w:hAnsi="標楷體"/>
          <w:szCs w:val="20"/>
        </w:rPr>
        <w:t>(2)</w:t>
      </w:r>
      <w:r>
        <w:rPr>
          <w:rFonts w:ascii="標楷體" w:eastAsia="標楷體" w:hAnsi="標楷體"/>
          <w:szCs w:val="20"/>
        </w:rPr>
        <w:t>交易前</w:t>
      </w:r>
      <w:r>
        <w:rPr>
          <w:rFonts w:ascii="標楷體" w:eastAsia="標楷體" w:hAnsi="標楷體"/>
          <w:szCs w:val="20"/>
        </w:rPr>
        <w:t>6</w:t>
      </w:r>
      <w:r>
        <w:rPr>
          <w:rFonts w:ascii="標楷體" w:eastAsia="標楷體" w:hAnsi="標楷體"/>
          <w:szCs w:val="20"/>
        </w:rPr>
        <w:t>年內，無出租、供營業或執行業務使用。</w:t>
      </w:r>
      <w:r>
        <w:rPr>
          <w:rFonts w:ascii="標楷體" w:eastAsia="標楷體" w:hAnsi="標楷體"/>
          <w:szCs w:val="20"/>
        </w:rPr>
        <w:t>(3)</w:t>
      </w:r>
      <w:r>
        <w:rPr>
          <w:rFonts w:ascii="標楷體" w:eastAsia="標楷體" w:hAnsi="標楷體"/>
          <w:szCs w:val="20"/>
        </w:rPr>
        <w:t>個人與其配偶及未成年子女於交易前</w:t>
      </w:r>
      <w:r>
        <w:rPr>
          <w:rFonts w:ascii="標楷體" w:eastAsia="標楷體" w:hAnsi="標楷體"/>
          <w:szCs w:val="20"/>
        </w:rPr>
        <w:t>6</w:t>
      </w:r>
      <w:r>
        <w:rPr>
          <w:rFonts w:ascii="標楷體" w:eastAsia="標楷體" w:hAnsi="標楷體"/>
          <w:szCs w:val="20"/>
        </w:rPr>
        <w:t>年內未曾適用自住房地優惠規定。</w:t>
      </w:r>
    </w:p>
    <w:p w:rsidR="00216C57" w:rsidRDefault="00607728">
      <w:pPr>
        <w:spacing w:line="400" w:lineRule="exact"/>
        <w:ind w:left="281"/>
        <w:jc w:val="center"/>
        <w:rPr>
          <w:rFonts w:ascii="標楷體" w:eastAsia="標楷體" w:hAnsi="標楷體"/>
          <w:b/>
          <w:szCs w:val="24"/>
        </w:rPr>
      </w:pPr>
      <w:r>
        <w:rPr>
          <w:rFonts w:ascii="標楷體" w:eastAsia="標楷體" w:hAnsi="標楷體"/>
          <w:b/>
          <w:szCs w:val="24"/>
        </w:rPr>
        <w:t>附表</w:t>
      </w:r>
      <w:r>
        <w:rPr>
          <w:rFonts w:ascii="標楷體" w:eastAsia="標楷體" w:hAnsi="標楷體"/>
          <w:b/>
          <w:szCs w:val="24"/>
        </w:rPr>
        <w:t>(1)</w:t>
      </w:r>
      <w:r>
        <w:rPr>
          <w:rFonts w:ascii="標楷體" w:eastAsia="標楷體" w:hAnsi="標楷體"/>
          <w:b/>
          <w:szCs w:val="24"/>
        </w:rPr>
        <w:t>取得日認定參考表</w:t>
      </w:r>
    </w:p>
    <w:tbl>
      <w:tblPr>
        <w:tblW w:w="10854" w:type="dxa"/>
        <w:tblInd w:w="-377"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15" w:type="dxa"/>
          <w:right w:w="28" w:type="dxa"/>
        </w:tblCellMar>
        <w:tblLook w:val="0000" w:firstRow="0" w:lastRow="0" w:firstColumn="0" w:lastColumn="0" w:noHBand="0" w:noVBand="0"/>
      </w:tblPr>
      <w:tblGrid>
        <w:gridCol w:w="2714"/>
        <w:gridCol w:w="2717"/>
        <w:gridCol w:w="2713"/>
        <w:gridCol w:w="2710"/>
      </w:tblGrid>
      <w:tr w:rsidR="00216C57">
        <w:trPr>
          <w:trHeight w:val="20"/>
        </w:trPr>
        <w:tc>
          <w:tcPr>
            <w:tcW w:w="2713" w:type="dxa"/>
            <w:tcBorders>
              <w:top w:val="double" w:sz="4" w:space="0" w:color="00000A"/>
              <w:left w:val="double" w:sz="4" w:space="0" w:color="00000A"/>
              <w:bottom w:val="single" w:sz="4" w:space="0" w:color="00000A"/>
              <w:right w:val="single" w:sz="4" w:space="0" w:color="00000A"/>
            </w:tcBorders>
            <w:shd w:val="clear" w:color="auto" w:fill="E6E6E6"/>
            <w:tcMar>
              <w:left w:w="-15" w:type="dxa"/>
            </w:tcMar>
          </w:tcPr>
          <w:p w:rsidR="00216C57" w:rsidRDefault="00607728">
            <w:pPr>
              <w:spacing w:line="360" w:lineRule="exact"/>
              <w:jc w:val="center"/>
              <w:rPr>
                <w:rFonts w:ascii="標楷體" w:eastAsia="標楷體" w:hAnsi="標楷體"/>
                <w:b/>
                <w:szCs w:val="20"/>
              </w:rPr>
            </w:pPr>
            <w:r>
              <w:rPr>
                <w:rFonts w:ascii="標楷體" w:eastAsia="標楷體" w:hAnsi="標楷體"/>
                <w:b/>
                <w:szCs w:val="20"/>
              </w:rPr>
              <w:t>取得原因</w:t>
            </w:r>
          </w:p>
        </w:tc>
        <w:tc>
          <w:tcPr>
            <w:tcW w:w="2717" w:type="dxa"/>
            <w:tcBorders>
              <w:top w:val="double" w:sz="4" w:space="0" w:color="00000A"/>
              <w:left w:val="single" w:sz="4" w:space="0" w:color="00000A"/>
              <w:bottom w:val="single" w:sz="4" w:space="0" w:color="00000A"/>
              <w:right w:val="double" w:sz="4" w:space="0" w:color="00000A"/>
            </w:tcBorders>
            <w:shd w:val="clear" w:color="auto" w:fill="E6E6E6"/>
            <w:tcMar>
              <w:left w:w="13" w:type="dxa"/>
            </w:tcMar>
          </w:tcPr>
          <w:p w:rsidR="00216C57" w:rsidRDefault="00607728">
            <w:pPr>
              <w:spacing w:line="360" w:lineRule="exact"/>
              <w:jc w:val="center"/>
              <w:rPr>
                <w:rFonts w:ascii="標楷體" w:eastAsia="標楷體" w:hAnsi="標楷體"/>
                <w:b/>
                <w:szCs w:val="20"/>
              </w:rPr>
            </w:pPr>
            <w:r>
              <w:rPr>
                <w:rFonts w:ascii="標楷體" w:eastAsia="標楷體" w:hAnsi="標楷體"/>
                <w:b/>
                <w:szCs w:val="20"/>
              </w:rPr>
              <w:t>取得日</w:t>
            </w:r>
          </w:p>
        </w:tc>
        <w:tc>
          <w:tcPr>
            <w:tcW w:w="2713" w:type="dxa"/>
            <w:tcBorders>
              <w:top w:val="double" w:sz="4" w:space="0" w:color="00000A"/>
              <w:left w:val="double" w:sz="4" w:space="0" w:color="00000A"/>
              <w:bottom w:val="single" w:sz="4" w:space="0" w:color="00000A"/>
              <w:right w:val="single" w:sz="4" w:space="0" w:color="00000A"/>
            </w:tcBorders>
            <w:shd w:val="clear" w:color="auto" w:fill="E6E6E6"/>
            <w:tcMar>
              <w:left w:w="-15" w:type="dxa"/>
            </w:tcMar>
          </w:tcPr>
          <w:p w:rsidR="00216C57" w:rsidRDefault="00607728">
            <w:pPr>
              <w:spacing w:line="360" w:lineRule="exact"/>
              <w:jc w:val="center"/>
              <w:rPr>
                <w:rFonts w:ascii="標楷體" w:eastAsia="標楷體" w:hAnsi="標楷體"/>
                <w:b/>
                <w:szCs w:val="20"/>
              </w:rPr>
            </w:pPr>
            <w:r>
              <w:rPr>
                <w:rFonts w:ascii="標楷體" w:eastAsia="標楷體" w:hAnsi="標楷體"/>
                <w:b/>
                <w:szCs w:val="20"/>
              </w:rPr>
              <w:t>取得原因</w:t>
            </w:r>
          </w:p>
        </w:tc>
        <w:tc>
          <w:tcPr>
            <w:tcW w:w="2710" w:type="dxa"/>
            <w:tcBorders>
              <w:top w:val="double" w:sz="4" w:space="0" w:color="00000A"/>
              <w:left w:val="single" w:sz="4" w:space="0" w:color="00000A"/>
              <w:bottom w:val="single" w:sz="4" w:space="0" w:color="00000A"/>
              <w:right w:val="double" w:sz="4" w:space="0" w:color="00000A"/>
            </w:tcBorders>
            <w:shd w:val="clear" w:color="auto" w:fill="E6E6E6"/>
            <w:tcMar>
              <w:left w:w="13" w:type="dxa"/>
            </w:tcMar>
          </w:tcPr>
          <w:p w:rsidR="00216C57" w:rsidRDefault="00607728">
            <w:pPr>
              <w:spacing w:line="360" w:lineRule="exact"/>
              <w:jc w:val="center"/>
              <w:rPr>
                <w:rFonts w:ascii="標楷體" w:eastAsia="標楷體" w:hAnsi="標楷體"/>
                <w:b/>
                <w:szCs w:val="20"/>
              </w:rPr>
            </w:pPr>
            <w:r>
              <w:rPr>
                <w:rFonts w:ascii="標楷體" w:eastAsia="標楷體" w:hAnsi="標楷體"/>
                <w:b/>
                <w:szCs w:val="20"/>
              </w:rPr>
              <w:t>取得日</w:t>
            </w:r>
          </w:p>
        </w:tc>
      </w:tr>
      <w:tr w:rsidR="00216C57">
        <w:trPr>
          <w:trHeight w:val="20"/>
        </w:trPr>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買賣、受贈取得</w:t>
            </w:r>
            <w:r>
              <w:rPr>
                <w:rFonts w:ascii="標楷體" w:eastAsia="標楷體" w:hAnsi="標楷體"/>
                <w:noProof/>
                <w:szCs w:val="20"/>
              </w:rPr>
              <w:drawing>
                <wp:inline distT="0" distB="0" distL="0" distR="0">
                  <wp:extent cx="21590" cy="14605"/>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1"/>
                          <pic:cNvPicPr>
                            <a:picLocks noChangeAspect="1" noChangeArrowheads="1"/>
                          </pic:cNvPicPr>
                        </pic:nvPicPr>
                        <pic:blipFill>
                          <a:blip r:embed="rId7"/>
                          <a:stretch>
                            <a:fillRect/>
                          </a:stretch>
                        </pic:blipFill>
                        <pic:spPr bwMode="auto">
                          <a:xfrm>
                            <a:off x="0" y="0"/>
                            <a:ext cx="21590" cy="14605"/>
                          </a:xfrm>
                          <a:prstGeom prst="rect">
                            <a:avLst/>
                          </a:prstGeom>
                          <a:noFill/>
                          <a:ln w="9525">
                            <a:noFill/>
                            <a:miter lim="800000"/>
                            <a:headEnd/>
                            <a:tailEnd/>
                          </a:ln>
                        </pic:spPr>
                      </pic:pic>
                    </a:graphicData>
                  </a:graphic>
                </wp:inline>
              </w:drawing>
            </w:r>
          </w:p>
        </w:tc>
        <w:tc>
          <w:tcPr>
            <w:tcW w:w="2717"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完成所有權移轉登記日</w:t>
            </w:r>
          </w:p>
        </w:tc>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參與拍賣因強制執行於辦理所有權登記前已取得所有權</w:t>
            </w:r>
          </w:p>
        </w:tc>
        <w:tc>
          <w:tcPr>
            <w:tcW w:w="2710"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領得權利移轉證書日</w:t>
            </w:r>
          </w:p>
        </w:tc>
      </w:tr>
      <w:tr w:rsidR="00216C57">
        <w:trPr>
          <w:trHeight w:val="20"/>
        </w:trPr>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繼承取得</w:t>
            </w:r>
          </w:p>
        </w:tc>
        <w:tc>
          <w:tcPr>
            <w:tcW w:w="2717"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繼承開始日</w:t>
            </w:r>
          </w:p>
        </w:tc>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買入房屋使用權</w:t>
            </w:r>
          </w:p>
        </w:tc>
        <w:tc>
          <w:tcPr>
            <w:tcW w:w="2710"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權利移轉日</w:t>
            </w:r>
          </w:p>
        </w:tc>
      </w:tr>
      <w:tr w:rsidR="00216C57">
        <w:trPr>
          <w:trHeight w:val="20"/>
        </w:trPr>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買入無法辦理建物所有權登記的房屋</w:t>
            </w:r>
            <w:r>
              <w:rPr>
                <w:rFonts w:ascii="標楷體" w:eastAsia="標楷體" w:hAnsi="標楷體"/>
                <w:szCs w:val="20"/>
              </w:rPr>
              <w:t>(</w:t>
            </w:r>
            <w:r>
              <w:rPr>
                <w:rFonts w:ascii="標楷體" w:eastAsia="標楷體" w:hAnsi="標楷體"/>
                <w:szCs w:val="20"/>
              </w:rPr>
              <w:t>如違章建築</w:t>
            </w:r>
            <w:r>
              <w:rPr>
                <w:rFonts w:ascii="標楷體" w:eastAsia="標楷體" w:hAnsi="標楷體"/>
                <w:szCs w:val="20"/>
              </w:rPr>
              <w:t>)</w:t>
            </w:r>
          </w:p>
        </w:tc>
        <w:tc>
          <w:tcPr>
            <w:tcW w:w="2717"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訂定買賣契約日</w:t>
            </w:r>
          </w:p>
        </w:tc>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分割共有物取得</w:t>
            </w:r>
            <w:r>
              <w:rPr>
                <w:rFonts w:ascii="標楷體" w:eastAsia="標楷體" w:hAnsi="標楷體"/>
                <w:szCs w:val="20"/>
              </w:rPr>
              <w:t>(</w:t>
            </w:r>
            <w:r>
              <w:rPr>
                <w:rFonts w:ascii="標楷體" w:eastAsia="標楷體" w:hAnsi="標楷體"/>
                <w:szCs w:val="20"/>
              </w:rPr>
              <w:t>與原權利範圍相當</w:t>
            </w:r>
            <w:r>
              <w:rPr>
                <w:rFonts w:ascii="標楷體" w:eastAsia="標楷體" w:hAnsi="標楷體"/>
                <w:szCs w:val="20"/>
              </w:rPr>
              <w:t>)</w:t>
            </w:r>
          </w:p>
        </w:tc>
        <w:tc>
          <w:tcPr>
            <w:tcW w:w="2710"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原取得共有物日</w:t>
            </w:r>
          </w:p>
        </w:tc>
      </w:tr>
      <w:tr w:rsidR="00216C57">
        <w:trPr>
          <w:trHeight w:val="20"/>
        </w:trPr>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自行興建房屋</w:t>
            </w:r>
          </w:p>
        </w:tc>
        <w:tc>
          <w:tcPr>
            <w:tcW w:w="2717"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核發使用執照日</w:t>
            </w:r>
          </w:p>
        </w:tc>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提供土地與營利事業合</w:t>
            </w:r>
            <w:proofErr w:type="gramStart"/>
            <w:r>
              <w:rPr>
                <w:rFonts w:ascii="標楷體" w:eastAsia="標楷體" w:hAnsi="標楷體"/>
                <w:szCs w:val="20"/>
              </w:rPr>
              <w:t>建分屋</w:t>
            </w:r>
            <w:proofErr w:type="gramEnd"/>
            <w:r>
              <w:rPr>
                <w:rFonts w:ascii="標楷體" w:eastAsia="標楷體" w:hAnsi="標楷體"/>
                <w:szCs w:val="20"/>
              </w:rPr>
              <w:t>而分得的房屋</w:t>
            </w:r>
          </w:p>
        </w:tc>
        <w:tc>
          <w:tcPr>
            <w:tcW w:w="2710"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交換後完成所有權移轉登記日</w:t>
            </w:r>
          </w:p>
        </w:tc>
      </w:tr>
      <w:tr w:rsidR="00216C57">
        <w:trPr>
          <w:trHeight w:val="20"/>
        </w:trPr>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區段徵收領回抵價地</w:t>
            </w:r>
          </w:p>
        </w:tc>
        <w:tc>
          <w:tcPr>
            <w:tcW w:w="2717"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原取得被徵收土地日</w:t>
            </w:r>
          </w:p>
        </w:tc>
        <w:tc>
          <w:tcPr>
            <w:tcW w:w="2713"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土地重劃重行分配的土地</w:t>
            </w:r>
          </w:p>
        </w:tc>
        <w:tc>
          <w:tcPr>
            <w:tcW w:w="2710" w:type="dxa"/>
            <w:tcBorders>
              <w:top w:val="single" w:sz="4" w:space="0" w:color="00000A"/>
              <w:left w:val="single" w:sz="4" w:space="0" w:color="00000A"/>
              <w:bottom w:val="sing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原取得重劃前土地日</w:t>
            </w:r>
          </w:p>
        </w:tc>
      </w:tr>
      <w:tr w:rsidR="00216C57">
        <w:trPr>
          <w:trHeight w:val="20"/>
        </w:trPr>
        <w:tc>
          <w:tcPr>
            <w:tcW w:w="2713" w:type="dxa"/>
            <w:tcBorders>
              <w:top w:val="single" w:sz="4" w:space="0" w:color="00000A"/>
              <w:left w:val="double" w:sz="4" w:space="0" w:color="00000A"/>
              <w:bottom w:val="doub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lastRenderedPageBreak/>
              <w:t>配偶一方行使剩餘財產差額分配請求權取得</w:t>
            </w:r>
          </w:p>
        </w:tc>
        <w:tc>
          <w:tcPr>
            <w:tcW w:w="2717" w:type="dxa"/>
            <w:tcBorders>
              <w:top w:val="single" w:sz="4" w:space="0" w:color="00000A"/>
              <w:left w:val="single" w:sz="4" w:space="0" w:color="00000A"/>
              <w:bottom w:val="doub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配偶他方原取得日</w:t>
            </w:r>
          </w:p>
        </w:tc>
        <w:tc>
          <w:tcPr>
            <w:tcW w:w="2713" w:type="dxa"/>
            <w:tcBorders>
              <w:top w:val="single" w:sz="4" w:space="0" w:color="00000A"/>
              <w:left w:val="double" w:sz="4" w:space="0" w:color="00000A"/>
              <w:bottom w:val="double" w:sz="4" w:space="0" w:color="00000A"/>
              <w:right w:val="single" w:sz="4" w:space="0" w:color="00000A"/>
            </w:tcBorders>
            <w:shd w:val="clear" w:color="auto" w:fill="auto"/>
            <w:tcMar>
              <w:left w:w="-15"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其他原因取得</w:t>
            </w:r>
          </w:p>
        </w:tc>
        <w:tc>
          <w:tcPr>
            <w:tcW w:w="2710" w:type="dxa"/>
            <w:tcBorders>
              <w:top w:val="single" w:sz="4" w:space="0" w:color="00000A"/>
              <w:left w:val="single" w:sz="4" w:space="0" w:color="00000A"/>
              <w:bottom w:val="double" w:sz="4" w:space="0" w:color="00000A"/>
              <w:right w:val="double" w:sz="4" w:space="0" w:color="00000A"/>
            </w:tcBorders>
            <w:shd w:val="clear" w:color="auto" w:fill="auto"/>
            <w:tcMar>
              <w:left w:w="13" w:type="dxa"/>
            </w:tcMar>
            <w:vAlign w:val="center"/>
          </w:tcPr>
          <w:p w:rsidR="00216C57" w:rsidRDefault="00607728">
            <w:pPr>
              <w:spacing w:line="220" w:lineRule="exact"/>
              <w:jc w:val="center"/>
              <w:rPr>
                <w:rFonts w:ascii="標楷體" w:eastAsia="標楷體" w:hAnsi="標楷體"/>
                <w:szCs w:val="20"/>
              </w:rPr>
            </w:pPr>
            <w:r>
              <w:rPr>
                <w:rFonts w:ascii="標楷體" w:eastAsia="標楷體" w:hAnsi="標楷體"/>
                <w:szCs w:val="20"/>
              </w:rPr>
              <w:t>完成所有權移轉登記日</w:t>
            </w:r>
          </w:p>
        </w:tc>
      </w:tr>
    </w:tbl>
    <w:p w:rsidR="00216C57" w:rsidRDefault="00607728">
      <w:pPr>
        <w:spacing w:line="400" w:lineRule="exact"/>
        <w:ind w:left="281"/>
        <w:jc w:val="center"/>
        <w:rPr>
          <w:rFonts w:ascii="標楷體" w:eastAsia="標楷體" w:hAnsi="標楷體"/>
          <w:b/>
          <w:szCs w:val="24"/>
        </w:rPr>
      </w:pPr>
      <w:r>
        <w:rPr>
          <w:rFonts w:ascii="標楷體" w:eastAsia="標楷體" w:hAnsi="標楷體"/>
          <w:b/>
          <w:szCs w:val="24"/>
        </w:rPr>
        <w:t>附表</w:t>
      </w:r>
      <w:r>
        <w:rPr>
          <w:rFonts w:ascii="標楷體" w:eastAsia="標楷體" w:hAnsi="標楷體"/>
          <w:b/>
          <w:szCs w:val="24"/>
        </w:rPr>
        <w:t>(2)</w:t>
      </w:r>
      <w:r>
        <w:rPr>
          <w:rFonts w:ascii="標楷體" w:eastAsia="標楷體" w:hAnsi="標楷體"/>
          <w:b/>
          <w:szCs w:val="24"/>
        </w:rPr>
        <w:t>持有期間計算參考表</w:t>
      </w:r>
    </w:p>
    <w:tbl>
      <w:tblPr>
        <w:tblW w:w="10850" w:type="dxa"/>
        <w:tblInd w:w="-377"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15" w:type="dxa"/>
          <w:right w:w="28" w:type="dxa"/>
        </w:tblCellMar>
        <w:tblLook w:val="0000" w:firstRow="0" w:lastRow="0" w:firstColumn="0" w:lastColumn="0" w:noHBand="0" w:noVBand="0"/>
      </w:tblPr>
      <w:tblGrid>
        <w:gridCol w:w="5429"/>
        <w:gridCol w:w="5421"/>
      </w:tblGrid>
      <w:tr w:rsidR="00216C57">
        <w:trPr>
          <w:trHeight w:val="553"/>
        </w:trPr>
        <w:tc>
          <w:tcPr>
            <w:tcW w:w="10849" w:type="dxa"/>
            <w:gridSpan w:val="2"/>
            <w:tcBorders>
              <w:top w:val="doub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40" w:lineRule="exact"/>
              <w:jc w:val="both"/>
              <w:rPr>
                <w:rFonts w:ascii="標楷體" w:eastAsia="標楷體" w:hAnsi="標楷體"/>
                <w:b/>
                <w:szCs w:val="20"/>
              </w:rPr>
            </w:pPr>
            <w:r>
              <w:rPr>
                <w:rFonts w:ascii="標楷體" w:eastAsia="標楷體" w:hAnsi="標楷體"/>
                <w:b/>
                <w:szCs w:val="20"/>
              </w:rPr>
              <w:t>持有期間原則應以房屋、土地取得日</w:t>
            </w:r>
            <w:proofErr w:type="gramStart"/>
            <w:r>
              <w:rPr>
                <w:rFonts w:ascii="標楷體" w:eastAsia="標楷體" w:hAnsi="標楷體"/>
                <w:b/>
                <w:szCs w:val="20"/>
              </w:rPr>
              <w:t>起算至交易</w:t>
            </w:r>
            <w:proofErr w:type="gramEnd"/>
            <w:r>
              <w:rPr>
                <w:rFonts w:ascii="標楷體" w:eastAsia="標楷體" w:hAnsi="標楷體"/>
                <w:b/>
                <w:szCs w:val="20"/>
              </w:rPr>
              <w:t>日止；</w:t>
            </w:r>
          </w:p>
          <w:p w:rsidR="00216C57" w:rsidRDefault="00607728">
            <w:pPr>
              <w:spacing w:line="240" w:lineRule="exact"/>
              <w:jc w:val="both"/>
              <w:rPr>
                <w:rFonts w:ascii="標楷體" w:eastAsia="標楷體" w:hAnsi="標楷體"/>
                <w:b/>
                <w:szCs w:val="20"/>
              </w:rPr>
            </w:pPr>
            <w:r>
              <w:rPr>
                <w:rFonts w:ascii="標楷體" w:eastAsia="標楷體" w:hAnsi="標楷體"/>
                <w:b/>
                <w:szCs w:val="20"/>
              </w:rPr>
              <w:t>若您交易的房屋、土地是因下列原因取得者，得依下述規定計算持有期間：</w:t>
            </w:r>
          </w:p>
        </w:tc>
      </w:tr>
      <w:tr w:rsidR="00216C57">
        <w:trPr>
          <w:trHeight w:val="142"/>
        </w:trPr>
        <w:tc>
          <w:tcPr>
            <w:tcW w:w="5428" w:type="dxa"/>
            <w:tcBorders>
              <w:top w:val="single" w:sz="4" w:space="0" w:color="00000A"/>
              <w:left w:val="double" w:sz="4" w:space="0" w:color="00000A"/>
              <w:bottom w:val="single" w:sz="4" w:space="0" w:color="00000A"/>
              <w:right w:val="single" w:sz="4" w:space="0" w:color="00000A"/>
            </w:tcBorders>
            <w:shd w:val="clear" w:color="auto" w:fill="E6E6E6"/>
            <w:tcMar>
              <w:left w:w="-15" w:type="dxa"/>
            </w:tcMar>
          </w:tcPr>
          <w:p w:rsidR="00216C57" w:rsidRDefault="00607728">
            <w:pPr>
              <w:spacing w:line="360" w:lineRule="exact"/>
              <w:jc w:val="center"/>
              <w:rPr>
                <w:rFonts w:ascii="標楷體" w:eastAsia="標楷體" w:hAnsi="標楷體"/>
                <w:b/>
                <w:szCs w:val="20"/>
              </w:rPr>
            </w:pPr>
            <w:r>
              <w:rPr>
                <w:rFonts w:ascii="標楷體" w:eastAsia="標楷體" w:hAnsi="標楷體"/>
                <w:b/>
                <w:szCs w:val="20"/>
              </w:rPr>
              <w:t>取得原因</w:t>
            </w:r>
          </w:p>
        </w:tc>
        <w:tc>
          <w:tcPr>
            <w:tcW w:w="5421" w:type="dxa"/>
            <w:tcBorders>
              <w:top w:val="single" w:sz="4" w:space="0" w:color="00000A"/>
              <w:left w:val="single" w:sz="4" w:space="0" w:color="00000A"/>
              <w:bottom w:val="single" w:sz="4" w:space="0" w:color="00000A"/>
              <w:right w:val="double" w:sz="4" w:space="0" w:color="00000A"/>
            </w:tcBorders>
            <w:shd w:val="clear" w:color="auto" w:fill="E6E6E6"/>
            <w:tcMar>
              <w:left w:w="23" w:type="dxa"/>
            </w:tcMar>
          </w:tcPr>
          <w:p w:rsidR="00216C57" w:rsidRDefault="00607728">
            <w:pPr>
              <w:spacing w:line="360" w:lineRule="exact"/>
              <w:jc w:val="center"/>
              <w:rPr>
                <w:rFonts w:ascii="標楷體" w:eastAsia="標楷體" w:hAnsi="標楷體"/>
                <w:b/>
                <w:szCs w:val="20"/>
              </w:rPr>
            </w:pPr>
            <w:r>
              <w:rPr>
                <w:rFonts w:ascii="標楷體" w:eastAsia="標楷體" w:hAnsi="標楷體"/>
                <w:b/>
                <w:szCs w:val="20"/>
              </w:rPr>
              <w:t>持有期間</w:t>
            </w:r>
          </w:p>
        </w:tc>
      </w:tr>
      <w:tr w:rsidR="00216C57">
        <w:trPr>
          <w:trHeight w:val="20"/>
        </w:trPr>
        <w:tc>
          <w:tcPr>
            <w:tcW w:w="5428"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繼承、受遺贈取得</w:t>
            </w:r>
          </w:p>
        </w:tc>
        <w:tc>
          <w:tcPr>
            <w:tcW w:w="5421" w:type="dxa"/>
            <w:tcBorders>
              <w:top w:val="single" w:sz="4" w:space="0" w:color="00000A"/>
              <w:left w:val="single" w:sz="4" w:space="0" w:color="00000A"/>
              <w:bottom w:val="single" w:sz="4" w:space="0" w:color="00000A"/>
              <w:right w:val="double" w:sz="4" w:space="0" w:color="00000A"/>
            </w:tcBorders>
            <w:shd w:val="clear" w:color="auto" w:fill="auto"/>
            <w:tcMar>
              <w:left w:w="23"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個人持有</w:t>
            </w:r>
            <w:proofErr w:type="gramStart"/>
            <w:r>
              <w:rPr>
                <w:rFonts w:ascii="標楷體" w:eastAsia="標楷體" w:hAnsi="標楷體"/>
                <w:szCs w:val="20"/>
              </w:rPr>
              <w:t>期間＋</w:t>
            </w:r>
            <w:proofErr w:type="gramEnd"/>
            <w:r>
              <w:rPr>
                <w:rFonts w:ascii="標楷體" w:eastAsia="標楷體" w:hAnsi="標楷體"/>
                <w:szCs w:val="20"/>
              </w:rPr>
              <w:t>被繼承人或遺贈人持有期間</w:t>
            </w:r>
          </w:p>
        </w:tc>
      </w:tr>
      <w:tr w:rsidR="00216C57">
        <w:trPr>
          <w:trHeight w:val="20"/>
        </w:trPr>
        <w:tc>
          <w:tcPr>
            <w:tcW w:w="5428" w:type="dxa"/>
            <w:tcBorders>
              <w:top w:val="single" w:sz="4" w:space="0" w:color="00000A"/>
              <w:left w:val="double" w:sz="4" w:space="0" w:color="00000A"/>
              <w:bottom w:val="sing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配偶贈與取得</w:t>
            </w:r>
          </w:p>
        </w:tc>
        <w:tc>
          <w:tcPr>
            <w:tcW w:w="5421" w:type="dxa"/>
            <w:tcBorders>
              <w:top w:val="single" w:sz="4" w:space="0" w:color="00000A"/>
              <w:left w:val="single" w:sz="4" w:space="0" w:color="00000A"/>
              <w:bottom w:val="single" w:sz="4" w:space="0" w:color="00000A"/>
              <w:right w:val="double" w:sz="4" w:space="0" w:color="00000A"/>
            </w:tcBorders>
            <w:shd w:val="clear" w:color="auto" w:fill="auto"/>
            <w:tcMar>
              <w:left w:w="23"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個人持有</w:t>
            </w:r>
            <w:proofErr w:type="gramStart"/>
            <w:r>
              <w:rPr>
                <w:rFonts w:ascii="標楷體" w:eastAsia="標楷體" w:hAnsi="標楷體"/>
                <w:szCs w:val="20"/>
              </w:rPr>
              <w:t>期間＋</w:t>
            </w:r>
            <w:proofErr w:type="gramEnd"/>
            <w:r>
              <w:rPr>
                <w:rFonts w:ascii="標楷體" w:eastAsia="標楷體" w:hAnsi="標楷體"/>
                <w:szCs w:val="20"/>
              </w:rPr>
              <w:t>配偶持有期間</w:t>
            </w:r>
          </w:p>
        </w:tc>
      </w:tr>
      <w:tr w:rsidR="00216C57">
        <w:trPr>
          <w:trHeight w:val="20"/>
        </w:trPr>
        <w:tc>
          <w:tcPr>
            <w:tcW w:w="5428" w:type="dxa"/>
            <w:tcBorders>
              <w:top w:val="single" w:sz="4" w:space="0" w:color="00000A"/>
              <w:left w:val="double" w:sz="4" w:space="0" w:color="00000A"/>
              <w:bottom w:val="double" w:sz="4" w:space="0" w:color="00000A"/>
              <w:right w:val="single" w:sz="4" w:space="0" w:color="00000A"/>
            </w:tcBorders>
            <w:shd w:val="clear" w:color="auto" w:fill="auto"/>
            <w:tcMar>
              <w:left w:w="-15"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自行興建或提供土地與營利事業合</w:t>
            </w:r>
            <w:proofErr w:type="gramStart"/>
            <w:r>
              <w:rPr>
                <w:rFonts w:ascii="標楷體" w:eastAsia="標楷體" w:hAnsi="標楷體"/>
                <w:szCs w:val="20"/>
              </w:rPr>
              <w:t>建分屋</w:t>
            </w:r>
            <w:proofErr w:type="gramEnd"/>
            <w:r>
              <w:rPr>
                <w:rFonts w:ascii="標楷體" w:eastAsia="標楷體" w:hAnsi="標楷體"/>
                <w:szCs w:val="20"/>
              </w:rPr>
              <w:t>而分得的房屋</w:t>
            </w:r>
          </w:p>
        </w:tc>
        <w:tc>
          <w:tcPr>
            <w:tcW w:w="5421" w:type="dxa"/>
            <w:tcBorders>
              <w:top w:val="single" w:sz="4" w:space="0" w:color="00000A"/>
              <w:left w:val="single" w:sz="4" w:space="0" w:color="00000A"/>
              <w:bottom w:val="double" w:sz="4" w:space="0" w:color="00000A"/>
              <w:right w:val="double" w:sz="4" w:space="0" w:color="00000A"/>
            </w:tcBorders>
            <w:shd w:val="clear" w:color="auto" w:fill="auto"/>
            <w:tcMar>
              <w:left w:w="23" w:type="dxa"/>
            </w:tcMar>
            <w:vAlign w:val="center"/>
          </w:tcPr>
          <w:p w:rsidR="00216C57" w:rsidRDefault="00607728">
            <w:pPr>
              <w:spacing w:line="260" w:lineRule="exact"/>
              <w:jc w:val="center"/>
              <w:rPr>
                <w:rFonts w:ascii="標楷體" w:eastAsia="標楷體" w:hAnsi="標楷體"/>
                <w:szCs w:val="20"/>
              </w:rPr>
            </w:pPr>
            <w:r>
              <w:rPr>
                <w:rFonts w:ascii="標楷體" w:eastAsia="標楷體" w:hAnsi="標楷體"/>
                <w:szCs w:val="20"/>
              </w:rPr>
              <w:t>房屋持有期間以土地持有期間為</w:t>
            </w:r>
            <w:proofErr w:type="gramStart"/>
            <w:r>
              <w:rPr>
                <w:rFonts w:ascii="標楷體" w:eastAsia="標楷體" w:hAnsi="標楷體"/>
                <w:szCs w:val="20"/>
              </w:rPr>
              <w:t>準</w:t>
            </w:r>
            <w:proofErr w:type="gramEnd"/>
          </w:p>
        </w:tc>
      </w:tr>
    </w:tbl>
    <w:p w:rsidR="00216C57" w:rsidRDefault="00216C57">
      <w:pPr>
        <w:ind w:left="281" w:firstLine="1"/>
        <w:jc w:val="center"/>
      </w:pPr>
    </w:p>
    <w:sectPr w:rsidR="00216C57">
      <w:pgSz w:w="11906" w:h="16838"/>
      <w:pgMar w:top="720" w:right="720" w:bottom="720" w:left="720"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roman"/>
    <w:notTrueType/>
    <w:pitch w:val="default"/>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18BA"/>
    <w:multiLevelType w:val="multilevel"/>
    <w:tmpl w:val="90F8DD8A"/>
    <w:lvl w:ilvl="0">
      <w:start w:val="1"/>
      <w:numFmt w:val="taiwaneseCountingThousand"/>
      <w:lvlText w:val="%1、"/>
      <w:lvlJc w:val="left"/>
      <w:pPr>
        <w:ind w:left="720" w:hanging="720"/>
      </w:pPr>
    </w:lvl>
    <w:lvl w:ilvl="1">
      <w:start w:val="1"/>
      <w:numFmt w:val="decimal"/>
      <w:suff w:val="noth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FBC5401"/>
    <w:multiLevelType w:val="multilevel"/>
    <w:tmpl w:val="00C850E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8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57"/>
    <w:rsid w:val="00216C57"/>
    <w:rsid w:val="00607728"/>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FD7833"/>
    <w:rPr>
      <w:sz w:val="20"/>
      <w:szCs w:val="20"/>
    </w:rPr>
  </w:style>
  <w:style w:type="character" w:customStyle="1" w:styleId="a4">
    <w:name w:val="頁尾 字元"/>
    <w:basedOn w:val="a0"/>
    <w:uiPriority w:val="99"/>
    <w:qFormat/>
    <w:rsid w:val="00FD7833"/>
    <w:rPr>
      <w:sz w:val="20"/>
      <w:szCs w:val="20"/>
    </w:rPr>
  </w:style>
  <w:style w:type="character" w:customStyle="1" w:styleId="a5">
    <w:name w:val="註解方塊文字 字元"/>
    <w:basedOn w:val="a0"/>
    <w:uiPriority w:val="99"/>
    <w:semiHidden/>
    <w:qFormat/>
    <w:rsid w:val="00491AA9"/>
    <w:rPr>
      <w:rFonts w:asciiTheme="majorHAnsi" w:eastAsiaTheme="majorEastAsia" w:hAnsiTheme="majorHAnsi" w:cstheme="majorBidi"/>
      <w:sz w:val="18"/>
      <w:szCs w:val="18"/>
    </w:rPr>
  </w:style>
  <w:style w:type="character" w:customStyle="1" w:styleId="ListLabel1">
    <w:name w:val="ListLabel 1"/>
    <w:qFormat/>
  </w:style>
  <w:style w:type="character" w:customStyle="1" w:styleId="ListLabel2">
    <w:name w:val="ListLabel 2"/>
    <w:qFormat/>
    <w:rPr>
      <w:rFonts w:cs="Times New Roman"/>
    </w:rPr>
  </w:style>
  <w:style w:type="paragraph" w:styleId="a6">
    <w:name w:val="Title"/>
    <w:basedOn w:val="a"/>
    <w:next w:val="a"/>
    <w:qFormat/>
    <w:pPr>
      <w:keepNext/>
      <w:spacing w:before="240" w:after="120"/>
    </w:pPr>
    <w:rPr>
      <w:rFonts w:ascii="Liberation Sans" w:eastAsia="微軟正黑體" w:hAnsi="Liberation Sans" w:cs="Mangal"/>
      <w:sz w:val="28"/>
      <w:szCs w:val="28"/>
    </w:rPr>
  </w:style>
  <w:style w:type="paragraph" w:styleId="a7">
    <w:name w:val="List"/>
    <w:basedOn w:val="a"/>
    <w:rPr>
      <w:rFonts w:cs="Mangal"/>
    </w:rPr>
  </w:style>
  <w:style w:type="paragraph" w:customStyle="1" w:styleId="a8">
    <w:name w:val="圖表標示"/>
    <w:basedOn w:val="a"/>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FD7833"/>
    <w:pPr>
      <w:tabs>
        <w:tab w:val="center" w:pos="4153"/>
        <w:tab w:val="right" w:pos="8306"/>
      </w:tabs>
    </w:pPr>
    <w:rPr>
      <w:szCs w:val="20"/>
    </w:rPr>
  </w:style>
  <w:style w:type="paragraph" w:styleId="ab">
    <w:name w:val="footer"/>
    <w:basedOn w:val="a"/>
    <w:uiPriority w:val="99"/>
    <w:unhideWhenUsed/>
    <w:rsid w:val="00FD7833"/>
    <w:pPr>
      <w:tabs>
        <w:tab w:val="center" w:pos="4153"/>
        <w:tab w:val="right" w:pos="8306"/>
      </w:tabs>
    </w:pPr>
    <w:rPr>
      <w:szCs w:val="20"/>
    </w:rPr>
  </w:style>
  <w:style w:type="paragraph" w:styleId="ac">
    <w:name w:val="List Paragraph"/>
    <w:basedOn w:val="a"/>
    <w:uiPriority w:val="34"/>
    <w:qFormat/>
    <w:rsid w:val="00FD7833"/>
    <w:pPr>
      <w:ind w:left="480"/>
    </w:pPr>
  </w:style>
  <w:style w:type="paragraph" w:styleId="ad">
    <w:name w:val="Balloon Text"/>
    <w:basedOn w:val="a"/>
    <w:uiPriority w:val="99"/>
    <w:semiHidden/>
    <w:unhideWhenUsed/>
    <w:qFormat/>
    <w:rsid w:val="00491AA9"/>
    <w:pPr>
      <w:spacing w:line="240" w:lineRule="auto"/>
    </w:pPr>
    <w:rPr>
      <w:rFonts w:asciiTheme="majorHAnsi" w:eastAsiaTheme="majorEastAsia" w:hAnsiTheme="majorHAnsi" w:cstheme="majorBidi"/>
      <w:sz w:val="18"/>
      <w:szCs w:val="18"/>
    </w:rPr>
  </w:style>
  <w:style w:type="paragraph" w:customStyle="1" w:styleId="ae">
    <w:name w:val="框架內容"/>
    <w:basedOn w:val="a"/>
    <w:qFormat/>
  </w:style>
  <w:style w:type="table" w:styleId="af">
    <w:name w:val="Table Grid"/>
    <w:basedOn w:val="a1"/>
    <w:uiPriority w:val="59"/>
    <w:rsid w:val="000E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FD7833"/>
    <w:rPr>
      <w:sz w:val="20"/>
      <w:szCs w:val="20"/>
    </w:rPr>
  </w:style>
  <w:style w:type="character" w:customStyle="1" w:styleId="a4">
    <w:name w:val="頁尾 字元"/>
    <w:basedOn w:val="a0"/>
    <w:uiPriority w:val="99"/>
    <w:qFormat/>
    <w:rsid w:val="00FD7833"/>
    <w:rPr>
      <w:sz w:val="20"/>
      <w:szCs w:val="20"/>
    </w:rPr>
  </w:style>
  <w:style w:type="character" w:customStyle="1" w:styleId="a5">
    <w:name w:val="註解方塊文字 字元"/>
    <w:basedOn w:val="a0"/>
    <w:uiPriority w:val="99"/>
    <w:semiHidden/>
    <w:qFormat/>
    <w:rsid w:val="00491AA9"/>
    <w:rPr>
      <w:rFonts w:asciiTheme="majorHAnsi" w:eastAsiaTheme="majorEastAsia" w:hAnsiTheme="majorHAnsi" w:cstheme="majorBidi"/>
      <w:sz w:val="18"/>
      <w:szCs w:val="18"/>
    </w:rPr>
  </w:style>
  <w:style w:type="character" w:customStyle="1" w:styleId="ListLabel1">
    <w:name w:val="ListLabel 1"/>
    <w:qFormat/>
  </w:style>
  <w:style w:type="character" w:customStyle="1" w:styleId="ListLabel2">
    <w:name w:val="ListLabel 2"/>
    <w:qFormat/>
    <w:rPr>
      <w:rFonts w:cs="Times New Roman"/>
    </w:rPr>
  </w:style>
  <w:style w:type="paragraph" w:styleId="a6">
    <w:name w:val="Title"/>
    <w:basedOn w:val="a"/>
    <w:next w:val="a"/>
    <w:qFormat/>
    <w:pPr>
      <w:keepNext/>
      <w:spacing w:before="240" w:after="120"/>
    </w:pPr>
    <w:rPr>
      <w:rFonts w:ascii="Liberation Sans" w:eastAsia="微軟正黑體" w:hAnsi="Liberation Sans" w:cs="Mangal"/>
      <w:sz w:val="28"/>
      <w:szCs w:val="28"/>
    </w:rPr>
  </w:style>
  <w:style w:type="paragraph" w:styleId="a7">
    <w:name w:val="List"/>
    <w:basedOn w:val="a"/>
    <w:rPr>
      <w:rFonts w:cs="Mangal"/>
    </w:rPr>
  </w:style>
  <w:style w:type="paragraph" w:customStyle="1" w:styleId="a8">
    <w:name w:val="圖表標示"/>
    <w:basedOn w:val="a"/>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FD7833"/>
    <w:pPr>
      <w:tabs>
        <w:tab w:val="center" w:pos="4153"/>
        <w:tab w:val="right" w:pos="8306"/>
      </w:tabs>
    </w:pPr>
    <w:rPr>
      <w:szCs w:val="20"/>
    </w:rPr>
  </w:style>
  <w:style w:type="paragraph" w:styleId="ab">
    <w:name w:val="footer"/>
    <w:basedOn w:val="a"/>
    <w:uiPriority w:val="99"/>
    <w:unhideWhenUsed/>
    <w:rsid w:val="00FD7833"/>
    <w:pPr>
      <w:tabs>
        <w:tab w:val="center" w:pos="4153"/>
        <w:tab w:val="right" w:pos="8306"/>
      </w:tabs>
    </w:pPr>
    <w:rPr>
      <w:szCs w:val="20"/>
    </w:rPr>
  </w:style>
  <w:style w:type="paragraph" w:styleId="ac">
    <w:name w:val="List Paragraph"/>
    <w:basedOn w:val="a"/>
    <w:uiPriority w:val="34"/>
    <w:qFormat/>
    <w:rsid w:val="00FD7833"/>
    <w:pPr>
      <w:ind w:left="480"/>
    </w:pPr>
  </w:style>
  <w:style w:type="paragraph" w:styleId="ad">
    <w:name w:val="Balloon Text"/>
    <w:basedOn w:val="a"/>
    <w:uiPriority w:val="99"/>
    <w:semiHidden/>
    <w:unhideWhenUsed/>
    <w:qFormat/>
    <w:rsid w:val="00491AA9"/>
    <w:pPr>
      <w:spacing w:line="240" w:lineRule="auto"/>
    </w:pPr>
    <w:rPr>
      <w:rFonts w:asciiTheme="majorHAnsi" w:eastAsiaTheme="majorEastAsia" w:hAnsiTheme="majorHAnsi" w:cstheme="majorBidi"/>
      <w:sz w:val="18"/>
      <w:szCs w:val="18"/>
    </w:rPr>
  </w:style>
  <w:style w:type="paragraph" w:customStyle="1" w:styleId="ae">
    <w:name w:val="框架內容"/>
    <w:basedOn w:val="a"/>
    <w:qFormat/>
  </w:style>
  <w:style w:type="table" w:styleId="af">
    <w:name w:val="Table Grid"/>
    <w:basedOn w:val="a1"/>
    <w:uiPriority w:val="59"/>
    <w:rsid w:val="000E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A621-7E5F-48F5-AD9F-CBA5B998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梁元章(NE01622)</dc:creator>
  <cp:lastModifiedBy>梁美珠(NH00409)</cp:lastModifiedBy>
  <cp:revision>2</cp:revision>
  <cp:lastPrinted>2016-02-26T11:28:00Z</cp:lastPrinted>
  <dcterms:created xsi:type="dcterms:W3CDTF">2016-03-09T00:50:00Z</dcterms:created>
  <dcterms:modified xsi:type="dcterms:W3CDTF">2016-03-09T00:50:00Z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