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3CFD" w14:textId="77777777" w:rsidR="004B4C28" w:rsidRPr="004A50D5" w:rsidRDefault="004B4C28" w:rsidP="004B4C28">
      <w:pPr>
        <w:spacing w:after="0" w:line="240" w:lineRule="auto"/>
        <w:rPr>
          <w:rFonts w:cstheme="minorHAnsi"/>
          <w:i/>
          <w:sz w:val="24"/>
          <w:szCs w:val="24"/>
        </w:rPr>
      </w:pPr>
      <w:bookmarkStart w:id="0" w:name="_GoBack"/>
      <w:bookmarkEnd w:id="0"/>
      <w:r w:rsidRPr="004A50D5">
        <w:rPr>
          <w:rFonts w:cstheme="minorHAnsi"/>
          <w:i/>
          <w:sz w:val="24"/>
          <w:szCs w:val="24"/>
        </w:rPr>
        <w:t>Submitted via www.regulations.gov</w:t>
      </w:r>
    </w:p>
    <w:p w14:paraId="76B58D46" w14:textId="77777777" w:rsidR="00F80C4A" w:rsidRPr="004A50D5" w:rsidRDefault="00F80C4A" w:rsidP="00F80C4A">
      <w:pPr>
        <w:spacing w:after="0" w:line="240" w:lineRule="auto"/>
        <w:rPr>
          <w:rFonts w:cstheme="minorHAnsi"/>
          <w:sz w:val="24"/>
          <w:szCs w:val="24"/>
        </w:rPr>
      </w:pPr>
      <w:r w:rsidRPr="004A50D5">
        <w:rPr>
          <w:rFonts w:cstheme="minorHAnsi"/>
          <w:sz w:val="24"/>
          <w:szCs w:val="24"/>
        </w:rPr>
        <w:t>Office of the General Counsel</w:t>
      </w:r>
    </w:p>
    <w:p w14:paraId="2DF9AEB1" w14:textId="77777777" w:rsidR="00F80C4A" w:rsidRPr="004A50D5" w:rsidRDefault="00F80C4A" w:rsidP="00F80C4A">
      <w:pPr>
        <w:spacing w:after="0" w:line="240" w:lineRule="auto"/>
        <w:rPr>
          <w:rFonts w:cstheme="minorHAnsi"/>
          <w:sz w:val="24"/>
          <w:szCs w:val="24"/>
        </w:rPr>
      </w:pPr>
      <w:r w:rsidRPr="004A50D5">
        <w:rPr>
          <w:rFonts w:cstheme="minorHAnsi"/>
          <w:sz w:val="24"/>
          <w:szCs w:val="24"/>
        </w:rPr>
        <w:t>Rules Docket Clerk</w:t>
      </w:r>
    </w:p>
    <w:p w14:paraId="5EAF844E" w14:textId="77777777" w:rsidR="00F80C4A" w:rsidRPr="004A50D5" w:rsidRDefault="004B4C28" w:rsidP="00F80C4A">
      <w:pPr>
        <w:spacing w:after="0" w:line="240" w:lineRule="auto"/>
        <w:rPr>
          <w:rFonts w:cstheme="minorHAnsi"/>
          <w:sz w:val="24"/>
          <w:szCs w:val="24"/>
        </w:rPr>
      </w:pPr>
      <w:r w:rsidRPr="004A50D5">
        <w:rPr>
          <w:rFonts w:cstheme="minorHAnsi"/>
          <w:sz w:val="24"/>
          <w:szCs w:val="24"/>
        </w:rPr>
        <w:t>Department of H</w:t>
      </w:r>
      <w:r w:rsidR="00F80C4A" w:rsidRPr="004A50D5">
        <w:rPr>
          <w:rFonts w:cstheme="minorHAnsi"/>
          <w:sz w:val="24"/>
          <w:szCs w:val="24"/>
        </w:rPr>
        <w:t>ousing and Urban Development</w:t>
      </w:r>
    </w:p>
    <w:p w14:paraId="0E739388" w14:textId="77777777" w:rsidR="00F80C4A" w:rsidRPr="004A50D5" w:rsidRDefault="00F80C4A" w:rsidP="00F80C4A">
      <w:pPr>
        <w:spacing w:after="0" w:line="240" w:lineRule="auto"/>
        <w:rPr>
          <w:rFonts w:cstheme="minorHAnsi"/>
          <w:sz w:val="24"/>
          <w:szCs w:val="24"/>
        </w:rPr>
      </w:pPr>
      <w:r w:rsidRPr="004A50D5">
        <w:rPr>
          <w:rFonts w:cstheme="minorHAnsi"/>
          <w:sz w:val="24"/>
          <w:szCs w:val="24"/>
        </w:rPr>
        <w:t>451 7</w:t>
      </w:r>
      <w:r w:rsidR="004B4C28" w:rsidRPr="004A50D5">
        <w:rPr>
          <w:rFonts w:cstheme="minorHAnsi"/>
          <w:sz w:val="24"/>
          <w:szCs w:val="24"/>
        </w:rPr>
        <w:t>th</w:t>
      </w:r>
      <w:r w:rsidRPr="004A50D5">
        <w:rPr>
          <w:rFonts w:cstheme="minorHAnsi"/>
          <w:sz w:val="24"/>
          <w:szCs w:val="24"/>
        </w:rPr>
        <w:t xml:space="preserve"> Street SW, Room 10276</w:t>
      </w:r>
    </w:p>
    <w:p w14:paraId="02EF912A" w14:textId="14B35A57" w:rsidR="00F80C4A" w:rsidRPr="004A50D5" w:rsidRDefault="00F80C4A" w:rsidP="00F80C4A">
      <w:pPr>
        <w:spacing w:after="0" w:line="240" w:lineRule="auto"/>
        <w:rPr>
          <w:rFonts w:cstheme="minorHAnsi"/>
          <w:sz w:val="24"/>
          <w:szCs w:val="24"/>
        </w:rPr>
      </w:pPr>
      <w:r w:rsidRPr="004A50D5">
        <w:rPr>
          <w:rFonts w:cstheme="minorHAnsi"/>
          <w:sz w:val="24"/>
          <w:szCs w:val="24"/>
        </w:rPr>
        <w:t>Washington</w:t>
      </w:r>
      <w:r w:rsidR="00322ADD">
        <w:rPr>
          <w:rFonts w:cstheme="minorHAnsi"/>
          <w:sz w:val="24"/>
          <w:szCs w:val="24"/>
        </w:rPr>
        <w:t>,</w:t>
      </w:r>
      <w:r w:rsidRPr="004A50D5">
        <w:rPr>
          <w:rFonts w:cstheme="minorHAnsi"/>
          <w:sz w:val="24"/>
          <w:szCs w:val="24"/>
        </w:rPr>
        <w:t xml:space="preserve"> DC 20410-0001</w:t>
      </w:r>
    </w:p>
    <w:p w14:paraId="3BA0BA0C" w14:textId="77777777" w:rsidR="00F80C4A" w:rsidRPr="004A50D5" w:rsidRDefault="00F80C4A" w:rsidP="00F80C4A">
      <w:pPr>
        <w:spacing w:after="0" w:line="240" w:lineRule="auto"/>
        <w:rPr>
          <w:rFonts w:cstheme="minorHAnsi"/>
          <w:sz w:val="24"/>
          <w:szCs w:val="24"/>
        </w:rPr>
      </w:pPr>
    </w:p>
    <w:p w14:paraId="200E2446" w14:textId="1B149907" w:rsidR="00F80C4A" w:rsidRPr="004A50D5" w:rsidRDefault="00F80C4A" w:rsidP="004A50D5">
      <w:pPr>
        <w:spacing w:after="0" w:line="240" w:lineRule="auto"/>
        <w:ind w:firstLine="720"/>
        <w:rPr>
          <w:rFonts w:cstheme="minorHAnsi"/>
          <w:sz w:val="24"/>
          <w:szCs w:val="24"/>
        </w:rPr>
      </w:pPr>
      <w:r w:rsidRPr="004A50D5">
        <w:rPr>
          <w:rFonts w:cstheme="minorHAnsi"/>
          <w:sz w:val="24"/>
          <w:szCs w:val="24"/>
        </w:rPr>
        <w:t xml:space="preserve">Re: HUD’s </w:t>
      </w:r>
      <w:r w:rsidR="004B4C28" w:rsidRPr="004A50D5">
        <w:rPr>
          <w:rFonts w:cstheme="minorHAnsi"/>
          <w:sz w:val="24"/>
          <w:szCs w:val="24"/>
        </w:rPr>
        <w:t>I</w:t>
      </w:r>
      <w:r w:rsidRPr="004A50D5">
        <w:rPr>
          <w:rFonts w:cstheme="minorHAnsi"/>
          <w:sz w:val="24"/>
          <w:szCs w:val="24"/>
        </w:rPr>
        <w:t>mplemen</w:t>
      </w:r>
      <w:r w:rsidR="00A74EA4" w:rsidRPr="004A50D5">
        <w:rPr>
          <w:rFonts w:cstheme="minorHAnsi"/>
          <w:sz w:val="24"/>
          <w:szCs w:val="24"/>
        </w:rPr>
        <w:t>ta</w:t>
      </w:r>
      <w:r w:rsidRPr="004A50D5">
        <w:rPr>
          <w:rFonts w:cstheme="minorHAnsi"/>
          <w:sz w:val="24"/>
          <w:szCs w:val="24"/>
        </w:rPr>
        <w:t xml:space="preserve">tion of the Fair Housing Act’s Disparate Impact Standard </w:t>
      </w:r>
    </w:p>
    <w:p w14:paraId="5992479A" w14:textId="77777777" w:rsidR="00F80C4A" w:rsidRPr="004A50D5" w:rsidRDefault="00F80C4A" w:rsidP="004A50D5">
      <w:pPr>
        <w:spacing w:after="0" w:line="240" w:lineRule="auto"/>
        <w:ind w:firstLine="720"/>
        <w:rPr>
          <w:rFonts w:cstheme="minorHAnsi"/>
          <w:sz w:val="24"/>
          <w:szCs w:val="24"/>
        </w:rPr>
      </w:pPr>
      <w:r w:rsidRPr="004A50D5">
        <w:rPr>
          <w:rFonts w:cstheme="minorHAnsi"/>
          <w:sz w:val="24"/>
          <w:szCs w:val="24"/>
        </w:rPr>
        <w:t>Docket Number: FR-6111-P-02</w:t>
      </w:r>
      <w:r w:rsidR="004B4C28" w:rsidRPr="004A50D5">
        <w:rPr>
          <w:rFonts w:cstheme="minorHAnsi"/>
          <w:sz w:val="24"/>
          <w:szCs w:val="24"/>
        </w:rPr>
        <w:t>, RIN 2529-AA98</w:t>
      </w:r>
    </w:p>
    <w:p w14:paraId="5BD1C54C" w14:textId="77777777" w:rsidR="004B4C28" w:rsidRPr="004A50D5" w:rsidRDefault="004B4C28" w:rsidP="00F80C4A">
      <w:pPr>
        <w:spacing w:after="0" w:line="240" w:lineRule="auto"/>
        <w:rPr>
          <w:rFonts w:cstheme="minorHAnsi"/>
          <w:sz w:val="24"/>
          <w:szCs w:val="24"/>
        </w:rPr>
      </w:pPr>
    </w:p>
    <w:p w14:paraId="198AD319" w14:textId="77777777" w:rsidR="00F80C4A" w:rsidRPr="004A50D5" w:rsidRDefault="004B4C28" w:rsidP="004B4C28">
      <w:pPr>
        <w:spacing w:after="0" w:line="240" w:lineRule="auto"/>
        <w:rPr>
          <w:rFonts w:cstheme="minorHAnsi"/>
          <w:sz w:val="24"/>
          <w:szCs w:val="24"/>
        </w:rPr>
      </w:pPr>
      <w:r w:rsidRPr="004A50D5">
        <w:rPr>
          <w:rFonts w:cstheme="minorHAnsi"/>
          <w:sz w:val="24"/>
          <w:szCs w:val="24"/>
        </w:rPr>
        <w:t>Sir or Madam:</w:t>
      </w:r>
    </w:p>
    <w:p w14:paraId="7DD11B6D" w14:textId="77777777" w:rsidR="004B4C28" w:rsidRPr="004A50D5" w:rsidRDefault="004B4C28" w:rsidP="004B4C28">
      <w:pPr>
        <w:spacing w:after="0" w:line="240" w:lineRule="auto"/>
        <w:rPr>
          <w:rFonts w:cstheme="minorHAnsi"/>
          <w:sz w:val="24"/>
          <w:szCs w:val="24"/>
        </w:rPr>
      </w:pPr>
    </w:p>
    <w:p w14:paraId="5A163163" w14:textId="7952DDCD" w:rsidR="00F80C4A" w:rsidRPr="004A50D5" w:rsidRDefault="00F80C4A" w:rsidP="00A77864">
      <w:pPr>
        <w:rPr>
          <w:rFonts w:cstheme="minorHAnsi"/>
          <w:sz w:val="24"/>
          <w:szCs w:val="24"/>
        </w:rPr>
      </w:pPr>
      <w:r w:rsidRPr="004A50D5">
        <w:rPr>
          <w:rFonts w:cstheme="minorHAnsi"/>
          <w:sz w:val="24"/>
          <w:szCs w:val="24"/>
        </w:rPr>
        <w:t xml:space="preserve">I am writing to oppose HUD’s </w:t>
      </w:r>
      <w:r w:rsidR="002C113F" w:rsidRPr="004A50D5">
        <w:rPr>
          <w:rFonts w:cstheme="minorHAnsi"/>
          <w:sz w:val="24"/>
          <w:szCs w:val="24"/>
        </w:rPr>
        <w:t xml:space="preserve">2019 </w:t>
      </w:r>
      <w:r w:rsidRPr="004A50D5">
        <w:rPr>
          <w:rFonts w:cstheme="minorHAnsi"/>
          <w:sz w:val="24"/>
          <w:szCs w:val="24"/>
        </w:rPr>
        <w:t xml:space="preserve">proposed rule </w:t>
      </w:r>
      <w:r w:rsidR="00AF1B2E" w:rsidRPr="004A50D5">
        <w:rPr>
          <w:rFonts w:cstheme="minorHAnsi"/>
          <w:sz w:val="24"/>
          <w:szCs w:val="24"/>
        </w:rPr>
        <w:t>“HUD’s Implementation of the Fair Housing Act’s</w:t>
      </w:r>
      <w:r w:rsidR="004B4C28" w:rsidRPr="004A50D5">
        <w:rPr>
          <w:rFonts w:cstheme="minorHAnsi"/>
          <w:sz w:val="24"/>
          <w:szCs w:val="24"/>
        </w:rPr>
        <w:t xml:space="preserve"> Disparate Impact Standard</w:t>
      </w:r>
      <w:r w:rsidR="00CE3969" w:rsidRPr="004A50D5">
        <w:rPr>
          <w:rFonts w:cstheme="minorHAnsi"/>
          <w:sz w:val="24"/>
          <w:szCs w:val="24"/>
        </w:rPr>
        <w:t>.</w:t>
      </w:r>
      <w:r w:rsidR="00AF1B2E" w:rsidRPr="004A50D5">
        <w:rPr>
          <w:rFonts w:cstheme="minorHAnsi"/>
          <w:sz w:val="24"/>
          <w:szCs w:val="24"/>
        </w:rPr>
        <w:t>”</w:t>
      </w:r>
      <w:r w:rsidR="00CE3969" w:rsidRPr="004A50D5">
        <w:rPr>
          <w:rFonts w:cstheme="minorHAnsi"/>
          <w:sz w:val="24"/>
          <w:szCs w:val="24"/>
        </w:rPr>
        <w:t xml:space="preserve"> </w:t>
      </w:r>
      <w:r w:rsidR="00AF1B2E" w:rsidRPr="004A50D5">
        <w:rPr>
          <w:rFonts w:cstheme="minorHAnsi"/>
          <w:sz w:val="24"/>
          <w:szCs w:val="24"/>
        </w:rPr>
        <w:t xml:space="preserve"> HUD’s proposal </w:t>
      </w:r>
      <w:r w:rsidR="00AF1B2E" w:rsidRPr="00BC0110">
        <w:rPr>
          <w:rFonts w:cstheme="minorHAnsi"/>
          <w:sz w:val="24"/>
          <w:szCs w:val="24"/>
        </w:rPr>
        <w:t>would render the disparate impact standard a dead letter</w:t>
      </w:r>
      <w:r w:rsidR="00BC0110" w:rsidRPr="00BC0110">
        <w:rPr>
          <w:rFonts w:cstheme="minorHAnsi"/>
          <w:sz w:val="24"/>
          <w:szCs w:val="24"/>
        </w:rPr>
        <w:t>.</w:t>
      </w:r>
      <w:r w:rsidR="00BC0110">
        <w:rPr>
          <w:rFonts w:cstheme="minorHAnsi"/>
          <w:sz w:val="24"/>
          <w:szCs w:val="24"/>
        </w:rPr>
        <w:t xml:space="preserve"> </w:t>
      </w:r>
      <w:r w:rsidR="00640533" w:rsidRPr="004A50D5">
        <w:rPr>
          <w:rFonts w:cstheme="minorHAnsi"/>
          <w:sz w:val="24"/>
          <w:szCs w:val="24"/>
        </w:rPr>
        <w:t xml:space="preserve">As the Supreme Court recognized in </w:t>
      </w:r>
      <w:r w:rsidR="00640533" w:rsidRPr="004A50D5">
        <w:rPr>
          <w:rFonts w:cstheme="minorHAnsi"/>
          <w:i/>
          <w:iCs/>
          <w:sz w:val="24"/>
          <w:szCs w:val="24"/>
        </w:rPr>
        <w:t xml:space="preserve">Texas Dept. of Housing and Community Affairs v. Inclusive Communities Project, Inc., </w:t>
      </w:r>
      <w:r w:rsidR="00640533" w:rsidRPr="004A50D5">
        <w:rPr>
          <w:rFonts w:cstheme="minorHAnsi"/>
          <w:sz w:val="24"/>
          <w:szCs w:val="24"/>
        </w:rPr>
        <w:t>t</w:t>
      </w:r>
      <w:r w:rsidR="00AF1B2E" w:rsidRPr="004A50D5">
        <w:rPr>
          <w:rFonts w:cstheme="minorHAnsi"/>
          <w:sz w:val="24"/>
          <w:szCs w:val="24"/>
        </w:rPr>
        <w:t xml:space="preserve">he Fair Housing Act </w:t>
      </w:r>
      <w:r w:rsidR="00640533" w:rsidRPr="004A50D5">
        <w:rPr>
          <w:rFonts w:cstheme="minorHAnsi"/>
          <w:sz w:val="24"/>
          <w:szCs w:val="24"/>
        </w:rPr>
        <w:t>“was enacted to eradicate discriminatory practices within a sector of our Nation's economy.”</w:t>
      </w:r>
      <w:r w:rsidR="00640533" w:rsidRPr="004A50D5">
        <w:rPr>
          <w:rStyle w:val="FootnoteReference"/>
          <w:rFonts w:cstheme="minorHAnsi"/>
          <w:sz w:val="24"/>
          <w:szCs w:val="24"/>
        </w:rPr>
        <w:footnoteReference w:id="1"/>
      </w:r>
      <w:r w:rsidR="00640533" w:rsidRPr="004A50D5">
        <w:rPr>
          <w:rFonts w:cstheme="minorHAnsi"/>
          <w:sz w:val="24"/>
          <w:szCs w:val="24"/>
        </w:rPr>
        <w:t xml:space="preserve"> </w:t>
      </w:r>
      <w:r w:rsidR="00CE3969" w:rsidRPr="004A50D5">
        <w:rPr>
          <w:rFonts w:cstheme="minorHAnsi"/>
          <w:sz w:val="24"/>
          <w:szCs w:val="24"/>
        </w:rPr>
        <w:t>HUD’s proposal would allow</w:t>
      </w:r>
      <w:r w:rsidR="00640533" w:rsidRPr="004A50D5">
        <w:rPr>
          <w:rFonts w:cstheme="minorHAnsi"/>
          <w:sz w:val="24"/>
          <w:szCs w:val="24"/>
        </w:rPr>
        <w:t xml:space="preserve"> discriminatory practices to continue unchecked as long as the </w:t>
      </w:r>
      <w:r w:rsidR="00CE3969" w:rsidRPr="004A50D5">
        <w:rPr>
          <w:rFonts w:cstheme="minorHAnsi"/>
          <w:sz w:val="24"/>
          <w:szCs w:val="24"/>
        </w:rPr>
        <w:t>business, housing provider,</w:t>
      </w:r>
      <w:r w:rsidR="00640533" w:rsidRPr="004A50D5">
        <w:rPr>
          <w:rFonts w:cstheme="minorHAnsi"/>
          <w:sz w:val="24"/>
          <w:szCs w:val="24"/>
        </w:rPr>
        <w:t xml:space="preserve"> or </w:t>
      </w:r>
      <w:r w:rsidR="00CE3969" w:rsidRPr="004A50D5">
        <w:rPr>
          <w:rFonts w:cstheme="minorHAnsi"/>
          <w:sz w:val="24"/>
          <w:szCs w:val="24"/>
        </w:rPr>
        <w:t>government actor</w:t>
      </w:r>
      <w:r w:rsidR="00640533" w:rsidRPr="004A50D5">
        <w:rPr>
          <w:rFonts w:cstheme="minorHAnsi"/>
          <w:sz w:val="24"/>
          <w:szCs w:val="24"/>
        </w:rPr>
        <w:t xml:space="preserve"> did not state an intent to discriminate</w:t>
      </w:r>
      <w:r w:rsidR="001C4687" w:rsidRPr="004A50D5">
        <w:rPr>
          <w:rFonts w:cstheme="minorHAnsi"/>
          <w:sz w:val="24"/>
          <w:szCs w:val="24"/>
        </w:rPr>
        <w:t>.</w:t>
      </w:r>
      <w:r w:rsidR="00640533" w:rsidRPr="004A50D5">
        <w:rPr>
          <w:rFonts w:cstheme="minorHAnsi"/>
          <w:sz w:val="24"/>
          <w:szCs w:val="24"/>
        </w:rPr>
        <w:t xml:space="preserve"> </w:t>
      </w:r>
      <w:r w:rsidR="00CE3969" w:rsidRPr="004A50D5">
        <w:rPr>
          <w:rFonts w:cstheme="minorHAnsi"/>
          <w:sz w:val="24"/>
          <w:szCs w:val="24"/>
        </w:rPr>
        <w:t xml:space="preserve">I strongly urge HUD to withdraw this </w:t>
      </w:r>
      <w:r w:rsidR="00640533" w:rsidRPr="004A50D5">
        <w:rPr>
          <w:rFonts w:cstheme="minorHAnsi"/>
          <w:sz w:val="24"/>
          <w:szCs w:val="24"/>
        </w:rPr>
        <w:t>proposed Rule.</w:t>
      </w:r>
    </w:p>
    <w:p w14:paraId="2071887F" w14:textId="3EEF3E3D" w:rsidR="004B4C28" w:rsidRPr="004A50D5" w:rsidRDefault="004B4C28" w:rsidP="00A77864">
      <w:pPr>
        <w:rPr>
          <w:rFonts w:cstheme="minorHAnsi"/>
          <w:sz w:val="24"/>
          <w:szCs w:val="24"/>
        </w:rPr>
      </w:pPr>
      <w:r w:rsidRPr="004A50D5">
        <w:rPr>
          <w:rFonts w:cstheme="minorHAnsi"/>
          <w:sz w:val="24"/>
          <w:szCs w:val="24"/>
          <w:highlight w:val="yellow"/>
        </w:rPr>
        <w:t>[</w:t>
      </w:r>
      <w:r w:rsidR="003B5839" w:rsidRPr="004A50D5">
        <w:rPr>
          <w:rFonts w:cstheme="minorHAnsi"/>
          <w:sz w:val="24"/>
          <w:szCs w:val="24"/>
          <w:highlight w:val="yellow"/>
        </w:rPr>
        <w:t>Please insert p</w:t>
      </w:r>
      <w:r w:rsidRPr="004A50D5">
        <w:rPr>
          <w:rFonts w:cstheme="minorHAnsi"/>
          <w:sz w:val="24"/>
          <w:szCs w:val="24"/>
          <w:highlight w:val="yellow"/>
        </w:rPr>
        <w:t>aragraph re: your organization or individual interest in the Rule]</w:t>
      </w:r>
      <w:r w:rsidRPr="004A50D5">
        <w:rPr>
          <w:rFonts w:cstheme="minorHAnsi"/>
          <w:sz w:val="24"/>
          <w:szCs w:val="24"/>
        </w:rPr>
        <w:t xml:space="preserve"> </w:t>
      </w:r>
    </w:p>
    <w:p w14:paraId="2A307B42" w14:textId="77777777" w:rsidR="00670946" w:rsidRPr="004A50D5" w:rsidRDefault="00670946" w:rsidP="00670946">
      <w:pPr>
        <w:pStyle w:val="ListParagraph"/>
        <w:ind w:left="1080"/>
        <w:rPr>
          <w:rFonts w:cstheme="minorHAnsi"/>
          <w:b/>
          <w:sz w:val="24"/>
          <w:szCs w:val="24"/>
        </w:rPr>
      </w:pPr>
    </w:p>
    <w:p w14:paraId="20F55271" w14:textId="76648198" w:rsidR="00A77864" w:rsidRPr="004A50D5" w:rsidRDefault="00137329" w:rsidP="00137329">
      <w:pPr>
        <w:pStyle w:val="ListParagraph"/>
        <w:numPr>
          <w:ilvl w:val="0"/>
          <w:numId w:val="3"/>
        </w:numPr>
        <w:rPr>
          <w:rFonts w:cstheme="minorHAnsi"/>
          <w:b/>
          <w:sz w:val="24"/>
          <w:szCs w:val="24"/>
        </w:rPr>
      </w:pPr>
      <w:r w:rsidRPr="004A50D5">
        <w:rPr>
          <w:rFonts w:cstheme="minorHAnsi"/>
          <w:b/>
          <w:sz w:val="24"/>
          <w:szCs w:val="24"/>
        </w:rPr>
        <w:t xml:space="preserve">HUD’s </w:t>
      </w:r>
      <w:r w:rsidR="00322ADD">
        <w:rPr>
          <w:rFonts w:cstheme="minorHAnsi"/>
          <w:b/>
          <w:sz w:val="24"/>
          <w:szCs w:val="24"/>
        </w:rPr>
        <w:t>p</w:t>
      </w:r>
      <w:r w:rsidR="00A77864" w:rsidRPr="004A50D5">
        <w:rPr>
          <w:rFonts w:cstheme="minorHAnsi"/>
          <w:b/>
          <w:sz w:val="24"/>
          <w:szCs w:val="24"/>
        </w:rPr>
        <w:t xml:space="preserve">roposed </w:t>
      </w:r>
      <w:r w:rsidR="00322ADD">
        <w:rPr>
          <w:rFonts w:cstheme="minorHAnsi"/>
          <w:b/>
          <w:sz w:val="24"/>
          <w:szCs w:val="24"/>
        </w:rPr>
        <w:t>p</w:t>
      </w:r>
      <w:r w:rsidR="00A77864" w:rsidRPr="004A50D5">
        <w:rPr>
          <w:rFonts w:cstheme="minorHAnsi"/>
          <w:b/>
          <w:sz w:val="24"/>
          <w:szCs w:val="24"/>
        </w:rPr>
        <w:t xml:space="preserve">ule </w:t>
      </w:r>
      <w:r w:rsidR="003C4DC4" w:rsidRPr="004A50D5">
        <w:rPr>
          <w:rFonts w:cstheme="minorHAnsi"/>
          <w:b/>
          <w:sz w:val="24"/>
          <w:szCs w:val="24"/>
        </w:rPr>
        <w:t xml:space="preserve">contradicts </w:t>
      </w:r>
      <w:r w:rsidR="0039054C" w:rsidRPr="004A50D5">
        <w:rPr>
          <w:rFonts w:cstheme="minorHAnsi"/>
          <w:b/>
          <w:sz w:val="24"/>
          <w:szCs w:val="24"/>
        </w:rPr>
        <w:t>the central purpose of the Fair Housing Act</w:t>
      </w:r>
    </w:p>
    <w:p w14:paraId="7E688D1E" w14:textId="3CD848E3" w:rsidR="00A77864" w:rsidRPr="00BC0110" w:rsidRDefault="00A77864" w:rsidP="00A77864">
      <w:pPr>
        <w:rPr>
          <w:rFonts w:cstheme="minorHAnsi"/>
          <w:sz w:val="24"/>
          <w:szCs w:val="24"/>
        </w:rPr>
      </w:pPr>
      <w:r w:rsidRPr="00BC0110">
        <w:rPr>
          <w:rFonts w:cstheme="minorHAnsi"/>
          <w:sz w:val="24"/>
          <w:szCs w:val="24"/>
        </w:rPr>
        <w:t>HUD’s proposed rule would tip the scales in favor of businesses and landlords and harm vulnerable communities</w:t>
      </w:r>
      <w:r w:rsidR="001C4687" w:rsidRPr="00BC0110">
        <w:rPr>
          <w:rFonts w:cstheme="minorHAnsi"/>
          <w:sz w:val="24"/>
          <w:szCs w:val="24"/>
        </w:rPr>
        <w:t>. T</w:t>
      </w:r>
      <w:r w:rsidRPr="00BC0110">
        <w:rPr>
          <w:rFonts w:cstheme="minorHAnsi"/>
          <w:sz w:val="24"/>
          <w:szCs w:val="24"/>
        </w:rPr>
        <w:t>his is the opposite of what Congress intended when it passed the Fair Housing Act.</w:t>
      </w:r>
      <w:r w:rsidR="00640533" w:rsidRPr="00BC0110">
        <w:rPr>
          <w:rFonts w:cstheme="minorHAnsi"/>
          <w:sz w:val="24"/>
          <w:szCs w:val="24"/>
        </w:rPr>
        <w:t xml:space="preserve"> The Fair Housing Act </w:t>
      </w:r>
      <w:r w:rsidR="0039054C" w:rsidRPr="00BC0110">
        <w:rPr>
          <w:rFonts w:cstheme="minorHAnsi"/>
          <w:sz w:val="24"/>
          <w:szCs w:val="24"/>
        </w:rPr>
        <w:t>was enacted</w:t>
      </w:r>
      <w:r w:rsidR="00640533" w:rsidRPr="00BC0110">
        <w:rPr>
          <w:rFonts w:cstheme="minorHAnsi"/>
          <w:sz w:val="24"/>
          <w:szCs w:val="24"/>
        </w:rPr>
        <w:t xml:space="preserve"> with lofty goals; with its passa</w:t>
      </w:r>
      <w:r w:rsidR="00E13A06" w:rsidRPr="00BC0110">
        <w:rPr>
          <w:rFonts w:cstheme="minorHAnsi"/>
          <w:sz w:val="24"/>
          <w:szCs w:val="24"/>
        </w:rPr>
        <w:t>ge Congress boldly stated that “[</w:t>
      </w:r>
      <w:proofErr w:type="spellStart"/>
      <w:r w:rsidR="00E13A06" w:rsidRPr="00BC0110">
        <w:rPr>
          <w:rFonts w:cstheme="minorHAnsi"/>
          <w:sz w:val="24"/>
          <w:szCs w:val="24"/>
        </w:rPr>
        <w:t>i</w:t>
      </w:r>
      <w:proofErr w:type="spellEnd"/>
      <w:r w:rsidR="00E13A06" w:rsidRPr="00BC0110">
        <w:rPr>
          <w:rFonts w:cstheme="minorHAnsi"/>
          <w:sz w:val="24"/>
          <w:szCs w:val="24"/>
        </w:rPr>
        <w:t>]</w:t>
      </w:r>
      <w:r w:rsidR="00640533" w:rsidRPr="00BC0110">
        <w:rPr>
          <w:rFonts w:cstheme="minorHAnsi"/>
          <w:sz w:val="24"/>
          <w:szCs w:val="24"/>
        </w:rPr>
        <w:t>t is the policy of the United States to provide, within constitutional limitations, for fair housing throughout the United States.”</w:t>
      </w:r>
      <w:r w:rsidR="00640533" w:rsidRPr="00BC0110">
        <w:rPr>
          <w:rStyle w:val="FootnoteReference"/>
          <w:rFonts w:cstheme="minorHAnsi"/>
          <w:sz w:val="24"/>
          <w:szCs w:val="24"/>
        </w:rPr>
        <w:footnoteReference w:id="2"/>
      </w:r>
      <w:r w:rsidRPr="00BC0110">
        <w:rPr>
          <w:rFonts w:cstheme="minorHAnsi"/>
          <w:sz w:val="24"/>
          <w:szCs w:val="24"/>
        </w:rPr>
        <w:t xml:space="preserve"> </w:t>
      </w:r>
      <w:r w:rsidR="00152460" w:rsidRPr="00BC0110">
        <w:rPr>
          <w:rFonts w:cstheme="minorHAnsi"/>
          <w:sz w:val="24"/>
          <w:szCs w:val="24"/>
        </w:rPr>
        <w:t>Th</w:t>
      </w:r>
      <w:r w:rsidR="00412647" w:rsidRPr="00BC0110">
        <w:rPr>
          <w:rFonts w:cstheme="minorHAnsi"/>
          <w:sz w:val="24"/>
          <w:szCs w:val="24"/>
        </w:rPr>
        <w:t xml:space="preserve">e standard </w:t>
      </w:r>
      <w:r w:rsidR="003C4DC4" w:rsidRPr="00BC0110">
        <w:rPr>
          <w:rFonts w:cstheme="minorHAnsi"/>
          <w:sz w:val="24"/>
          <w:szCs w:val="24"/>
        </w:rPr>
        <w:t>outlined</w:t>
      </w:r>
      <w:r w:rsidR="00412647" w:rsidRPr="00BC0110">
        <w:rPr>
          <w:rFonts w:cstheme="minorHAnsi"/>
          <w:sz w:val="24"/>
          <w:szCs w:val="24"/>
        </w:rPr>
        <w:t xml:space="preserve"> in th</w:t>
      </w:r>
      <w:r w:rsidR="00152460" w:rsidRPr="00BC0110">
        <w:rPr>
          <w:rFonts w:cstheme="minorHAnsi"/>
          <w:sz w:val="24"/>
          <w:szCs w:val="24"/>
        </w:rPr>
        <w:t xml:space="preserve">is proposal would </w:t>
      </w:r>
      <w:r w:rsidR="001C4687" w:rsidRPr="00BC0110">
        <w:rPr>
          <w:rFonts w:cstheme="minorHAnsi"/>
          <w:sz w:val="24"/>
          <w:szCs w:val="24"/>
        </w:rPr>
        <w:t>make it</w:t>
      </w:r>
      <w:r w:rsidR="00152460" w:rsidRPr="00BC0110">
        <w:rPr>
          <w:rFonts w:cstheme="minorHAnsi"/>
          <w:sz w:val="24"/>
          <w:szCs w:val="24"/>
        </w:rPr>
        <w:t xml:space="preserve"> nearly impossible to</w:t>
      </w:r>
      <w:r w:rsidR="00412647" w:rsidRPr="00BC0110">
        <w:rPr>
          <w:rFonts w:cstheme="minorHAnsi"/>
          <w:sz w:val="24"/>
          <w:szCs w:val="24"/>
        </w:rPr>
        <w:t xml:space="preserve"> establish disparate impact liability under the</w:t>
      </w:r>
      <w:r w:rsidR="00152460" w:rsidRPr="00BC0110">
        <w:rPr>
          <w:rFonts w:cstheme="minorHAnsi"/>
          <w:sz w:val="24"/>
          <w:szCs w:val="24"/>
        </w:rPr>
        <w:t xml:space="preserve"> </w:t>
      </w:r>
      <w:r w:rsidR="001C4687" w:rsidRPr="00BC0110">
        <w:rPr>
          <w:rFonts w:cstheme="minorHAnsi"/>
          <w:sz w:val="24"/>
          <w:szCs w:val="24"/>
        </w:rPr>
        <w:t xml:space="preserve">Fair Housing </w:t>
      </w:r>
      <w:r w:rsidR="00152460" w:rsidRPr="00BC0110">
        <w:rPr>
          <w:rFonts w:cstheme="minorHAnsi"/>
          <w:sz w:val="24"/>
          <w:szCs w:val="24"/>
        </w:rPr>
        <w:t xml:space="preserve">Act. </w:t>
      </w:r>
      <w:r w:rsidR="00412647" w:rsidRPr="00BC0110">
        <w:rPr>
          <w:rFonts w:cstheme="minorHAnsi"/>
          <w:sz w:val="24"/>
          <w:szCs w:val="24"/>
        </w:rPr>
        <w:t>HUD’s</w:t>
      </w:r>
      <w:r w:rsidR="00E13A06" w:rsidRPr="00BC0110">
        <w:rPr>
          <w:rFonts w:cstheme="minorHAnsi"/>
          <w:sz w:val="24"/>
          <w:szCs w:val="24"/>
        </w:rPr>
        <w:t xml:space="preserve"> proposal ignores</w:t>
      </w:r>
      <w:r w:rsidR="00950E1C">
        <w:rPr>
          <w:rFonts w:cstheme="minorHAnsi"/>
          <w:sz w:val="24"/>
          <w:szCs w:val="24"/>
        </w:rPr>
        <w:t>, rather than clarifies,</w:t>
      </w:r>
      <w:r w:rsidR="00E13A06" w:rsidRPr="00BC0110">
        <w:rPr>
          <w:rFonts w:cstheme="minorHAnsi"/>
          <w:sz w:val="24"/>
          <w:szCs w:val="24"/>
        </w:rPr>
        <w:t xml:space="preserve"> the Supreme Court’s guidance as reflected in </w:t>
      </w:r>
      <w:r w:rsidR="00E13A06" w:rsidRPr="00BC0110">
        <w:rPr>
          <w:rFonts w:cstheme="minorHAnsi"/>
          <w:i/>
          <w:sz w:val="24"/>
          <w:szCs w:val="24"/>
        </w:rPr>
        <w:t>Inclusive Communities Project</w:t>
      </w:r>
      <w:r w:rsidR="00E13A06" w:rsidRPr="00BC0110">
        <w:rPr>
          <w:rFonts w:cstheme="minorHAnsi"/>
          <w:sz w:val="24"/>
          <w:szCs w:val="24"/>
        </w:rPr>
        <w:t>.</w:t>
      </w:r>
      <w:r w:rsidR="00152460" w:rsidRPr="00BC0110">
        <w:rPr>
          <w:rFonts w:cstheme="minorHAnsi"/>
          <w:sz w:val="24"/>
          <w:szCs w:val="24"/>
        </w:rPr>
        <w:t xml:space="preserve"> </w:t>
      </w:r>
    </w:p>
    <w:p w14:paraId="44F4FA50" w14:textId="246D2C43" w:rsidR="00A77864" w:rsidRPr="00BC0110" w:rsidRDefault="00137329" w:rsidP="00137329">
      <w:pPr>
        <w:pStyle w:val="ListParagraph"/>
        <w:numPr>
          <w:ilvl w:val="0"/>
          <w:numId w:val="3"/>
        </w:numPr>
        <w:rPr>
          <w:rFonts w:cstheme="minorHAnsi"/>
          <w:b/>
          <w:color w:val="000000" w:themeColor="text1"/>
          <w:sz w:val="24"/>
          <w:szCs w:val="24"/>
        </w:rPr>
      </w:pPr>
      <w:r w:rsidRPr="00BC0110">
        <w:rPr>
          <w:rFonts w:cstheme="minorHAnsi"/>
          <w:b/>
          <w:color w:val="000000" w:themeColor="text1"/>
          <w:sz w:val="24"/>
          <w:szCs w:val="24"/>
        </w:rPr>
        <w:t>HUD</w:t>
      </w:r>
      <w:r w:rsidR="00F060D5" w:rsidRPr="00BC0110">
        <w:rPr>
          <w:rFonts w:cstheme="minorHAnsi"/>
          <w:b/>
          <w:color w:val="000000" w:themeColor="text1"/>
          <w:sz w:val="24"/>
          <w:szCs w:val="24"/>
        </w:rPr>
        <w:t>’s</w:t>
      </w:r>
      <w:r w:rsidRPr="00BC0110">
        <w:rPr>
          <w:rFonts w:cstheme="minorHAnsi"/>
          <w:b/>
          <w:color w:val="000000" w:themeColor="text1"/>
          <w:sz w:val="24"/>
          <w:szCs w:val="24"/>
        </w:rPr>
        <w:t xml:space="preserve"> proposed Rule creates confusion and ignores decades of court precedent</w:t>
      </w:r>
      <w:r w:rsidR="009D6AA4" w:rsidRPr="00BC0110">
        <w:rPr>
          <w:rFonts w:cstheme="minorHAnsi"/>
          <w:b/>
          <w:color w:val="000000" w:themeColor="text1"/>
          <w:sz w:val="24"/>
          <w:szCs w:val="24"/>
        </w:rPr>
        <w:t xml:space="preserve"> </w:t>
      </w:r>
    </w:p>
    <w:p w14:paraId="3AD5FC7B" w14:textId="72CBDD8C" w:rsidR="009D6AA4" w:rsidRPr="00BC0110" w:rsidRDefault="00137329" w:rsidP="009D6AA4">
      <w:pPr>
        <w:rPr>
          <w:rFonts w:cstheme="minorHAnsi"/>
          <w:color w:val="000000" w:themeColor="text1"/>
          <w:sz w:val="24"/>
          <w:szCs w:val="24"/>
        </w:rPr>
      </w:pPr>
      <w:r w:rsidRPr="00BC0110">
        <w:rPr>
          <w:rFonts w:cstheme="minorHAnsi"/>
          <w:color w:val="000000" w:themeColor="text1"/>
          <w:sz w:val="24"/>
          <w:szCs w:val="24"/>
        </w:rPr>
        <w:t>HUD asserts that it is “updating” the disparate impact standard, when in fact the proposed Rule ignores decades of carefully reasoned court decisions</w:t>
      </w:r>
      <w:r w:rsidR="00600E85" w:rsidRPr="00BC0110">
        <w:rPr>
          <w:rFonts w:cstheme="minorHAnsi"/>
          <w:color w:val="000000" w:themeColor="text1"/>
          <w:sz w:val="24"/>
          <w:szCs w:val="24"/>
        </w:rPr>
        <w:t xml:space="preserve">. </w:t>
      </w:r>
      <w:r w:rsidRPr="00BC0110">
        <w:rPr>
          <w:rFonts w:cstheme="minorHAnsi"/>
          <w:color w:val="000000" w:themeColor="text1"/>
          <w:sz w:val="24"/>
          <w:szCs w:val="24"/>
        </w:rPr>
        <w:t xml:space="preserve"> HUD’s 2013 disparate impact rule</w:t>
      </w:r>
      <w:r w:rsidR="00600E85" w:rsidRPr="00BC0110">
        <w:rPr>
          <w:rFonts w:cstheme="minorHAnsi"/>
          <w:color w:val="000000" w:themeColor="text1"/>
          <w:sz w:val="24"/>
          <w:szCs w:val="24"/>
        </w:rPr>
        <w:t xml:space="preserve"> reflected the agency’s expertise and laid out a reasonable balancing test </w:t>
      </w:r>
      <w:r w:rsidR="00F060D5" w:rsidRPr="00BC0110">
        <w:rPr>
          <w:rFonts w:cstheme="minorHAnsi"/>
          <w:color w:val="000000" w:themeColor="text1"/>
          <w:sz w:val="24"/>
          <w:szCs w:val="24"/>
        </w:rPr>
        <w:t>that</w:t>
      </w:r>
      <w:r w:rsidR="00780100" w:rsidRPr="00BC0110">
        <w:rPr>
          <w:rFonts w:cstheme="minorHAnsi"/>
          <w:color w:val="000000" w:themeColor="text1"/>
          <w:sz w:val="24"/>
          <w:szCs w:val="24"/>
        </w:rPr>
        <w:t xml:space="preserve"> incorporated the </w:t>
      </w:r>
      <w:r w:rsidR="00600E85" w:rsidRPr="00BC0110">
        <w:rPr>
          <w:rFonts w:cstheme="minorHAnsi"/>
          <w:color w:val="000000" w:themeColor="text1"/>
          <w:sz w:val="24"/>
          <w:szCs w:val="24"/>
        </w:rPr>
        <w:t xml:space="preserve"> </w:t>
      </w:r>
      <w:r w:rsidR="00600E85" w:rsidRPr="00BC0110">
        <w:rPr>
          <w:rFonts w:cstheme="minorHAnsi"/>
          <w:color w:val="000000" w:themeColor="text1"/>
          <w:sz w:val="24"/>
          <w:szCs w:val="24"/>
        </w:rPr>
        <w:lastRenderedPageBreak/>
        <w:t>longstanding approach to disparate impact analysis</w:t>
      </w:r>
      <w:r w:rsidR="00950E1C">
        <w:rPr>
          <w:rFonts w:cstheme="minorHAnsi"/>
          <w:color w:val="000000" w:themeColor="text1"/>
          <w:sz w:val="24"/>
          <w:szCs w:val="24"/>
        </w:rPr>
        <w:t xml:space="preserve"> reflected in case law</w:t>
      </w:r>
      <w:r w:rsidRPr="00BC0110">
        <w:rPr>
          <w:rFonts w:cstheme="minorHAnsi"/>
          <w:color w:val="000000" w:themeColor="text1"/>
          <w:sz w:val="24"/>
          <w:szCs w:val="24"/>
        </w:rPr>
        <w:t xml:space="preserve">. This current proposal </w:t>
      </w:r>
      <w:r w:rsidR="00600E85" w:rsidRPr="00BC0110">
        <w:rPr>
          <w:rFonts w:cstheme="minorHAnsi"/>
          <w:color w:val="000000" w:themeColor="text1"/>
          <w:sz w:val="24"/>
          <w:szCs w:val="24"/>
        </w:rPr>
        <w:t>is a radical departure from both court precedent and HUD’s own prior interpretations of disparate impact analysis.</w:t>
      </w:r>
      <w:r w:rsidR="007B2F9C" w:rsidRPr="00BC0110">
        <w:rPr>
          <w:rStyle w:val="FootnoteReference"/>
          <w:rFonts w:cstheme="minorHAnsi"/>
          <w:color w:val="000000" w:themeColor="text1"/>
          <w:sz w:val="24"/>
          <w:szCs w:val="24"/>
        </w:rPr>
        <w:footnoteReference w:id="3"/>
      </w:r>
      <w:r w:rsidR="00600E85" w:rsidRPr="00BC0110">
        <w:rPr>
          <w:rFonts w:cstheme="minorHAnsi"/>
          <w:color w:val="000000" w:themeColor="text1"/>
          <w:sz w:val="24"/>
          <w:szCs w:val="24"/>
        </w:rPr>
        <w:t xml:space="preserve"> HUD </w:t>
      </w:r>
      <w:r w:rsidR="00322ADD" w:rsidRPr="00BC0110">
        <w:rPr>
          <w:rFonts w:cstheme="minorHAnsi"/>
          <w:color w:val="000000" w:themeColor="text1"/>
          <w:sz w:val="24"/>
          <w:szCs w:val="24"/>
        </w:rPr>
        <w:t xml:space="preserve">is </w:t>
      </w:r>
      <w:r w:rsidR="00600E85" w:rsidRPr="00BC0110">
        <w:rPr>
          <w:rFonts w:cstheme="minorHAnsi"/>
          <w:color w:val="000000" w:themeColor="text1"/>
          <w:sz w:val="24"/>
          <w:szCs w:val="24"/>
        </w:rPr>
        <w:t xml:space="preserve">now </w:t>
      </w:r>
      <w:r w:rsidRPr="00BC0110">
        <w:rPr>
          <w:rFonts w:cstheme="minorHAnsi"/>
          <w:color w:val="000000" w:themeColor="text1"/>
          <w:sz w:val="24"/>
          <w:szCs w:val="24"/>
        </w:rPr>
        <w:t>introduc</w:t>
      </w:r>
      <w:r w:rsidR="00322ADD" w:rsidRPr="00BC0110">
        <w:rPr>
          <w:rFonts w:cstheme="minorHAnsi"/>
          <w:color w:val="000000" w:themeColor="text1"/>
          <w:sz w:val="24"/>
          <w:szCs w:val="24"/>
        </w:rPr>
        <w:t>ing</w:t>
      </w:r>
      <w:r w:rsidRPr="00BC0110">
        <w:rPr>
          <w:rFonts w:cstheme="minorHAnsi"/>
          <w:color w:val="000000" w:themeColor="text1"/>
          <w:sz w:val="24"/>
          <w:szCs w:val="24"/>
        </w:rPr>
        <w:t xml:space="preserve"> a</w:t>
      </w:r>
      <w:r w:rsidR="00152460" w:rsidRPr="00BC0110">
        <w:rPr>
          <w:rFonts w:cstheme="minorHAnsi"/>
          <w:color w:val="000000" w:themeColor="text1"/>
          <w:sz w:val="24"/>
          <w:szCs w:val="24"/>
        </w:rPr>
        <w:t xml:space="preserve"> burdensome and</w:t>
      </w:r>
      <w:r w:rsidRPr="00BC0110">
        <w:rPr>
          <w:rFonts w:cstheme="minorHAnsi"/>
          <w:color w:val="000000" w:themeColor="text1"/>
          <w:sz w:val="24"/>
          <w:szCs w:val="24"/>
        </w:rPr>
        <w:t xml:space="preserve"> confusing </w:t>
      </w:r>
      <w:r w:rsidR="00152460" w:rsidRPr="00BC0110">
        <w:rPr>
          <w:rFonts w:cstheme="minorHAnsi"/>
          <w:color w:val="000000" w:themeColor="text1"/>
          <w:sz w:val="24"/>
          <w:szCs w:val="24"/>
        </w:rPr>
        <w:t xml:space="preserve">balancing </w:t>
      </w:r>
      <w:r w:rsidRPr="00BC0110">
        <w:rPr>
          <w:rFonts w:cstheme="minorHAnsi"/>
          <w:color w:val="000000" w:themeColor="text1"/>
          <w:sz w:val="24"/>
          <w:szCs w:val="24"/>
        </w:rPr>
        <w:t xml:space="preserve">test </w:t>
      </w:r>
      <w:r w:rsidR="00152460" w:rsidRPr="00BC0110">
        <w:rPr>
          <w:rFonts w:cstheme="minorHAnsi"/>
          <w:color w:val="000000" w:themeColor="text1"/>
          <w:sz w:val="24"/>
          <w:szCs w:val="24"/>
        </w:rPr>
        <w:t xml:space="preserve">with </w:t>
      </w:r>
      <w:r w:rsidR="00780100" w:rsidRPr="00BC0110">
        <w:rPr>
          <w:rFonts w:cstheme="minorHAnsi"/>
          <w:color w:val="000000" w:themeColor="text1"/>
          <w:sz w:val="24"/>
          <w:szCs w:val="24"/>
        </w:rPr>
        <w:t>nine</w:t>
      </w:r>
      <w:r w:rsidR="00152460" w:rsidRPr="00BC0110">
        <w:rPr>
          <w:rFonts w:cstheme="minorHAnsi"/>
          <w:color w:val="000000" w:themeColor="text1"/>
          <w:sz w:val="24"/>
          <w:szCs w:val="24"/>
        </w:rPr>
        <w:t xml:space="preserve"> subparts </w:t>
      </w:r>
      <w:r w:rsidRPr="00BC0110">
        <w:rPr>
          <w:rFonts w:cstheme="minorHAnsi"/>
          <w:color w:val="000000" w:themeColor="text1"/>
          <w:sz w:val="24"/>
          <w:szCs w:val="24"/>
        </w:rPr>
        <w:t>that puts a</w:t>
      </w:r>
      <w:r w:rsidR="00600E85" w:rsidRPr="00BC0110">
        <w:rPr>
          <w:rFonts w:cstheme="minorHAnsi"/>
          <w:color w:val="000000" w:themeColor="text1"/>
          <w:sz w:val="24"/>
          <w:szCs w:val="24"/>
        </w:rPr>
        <w:t>n</w:t>
      </w:r>
      <w:r w:rsidRPr="00BC0110">
        <w:rPr>
          <w:rFonts w:cstheme="minorHAnsi"/>
          <w:color w:val="000000" w:themeColor="text1"/>
          <w:sz w:val="24"/>
          <w:szCs w:val="24"/>
        </w:rPr>
        <w:t xml:space="preserve"> insurmountably high burden on individuals seeking t</w:t>
      </w:r>
      <w:r w:rsidR="00152460" w:rsidRPr="00BC0110">
        <w:rPr>
          <w:rFonts w:cstheme="minorHAnsi"/>
          <w:color w:val="000000" w:themeColor="text1"/>
          <w:sz w:val="24"/>
          <w:szCs w:val="24"/>
        </w:rPr>
        <w:t xml:space="preserve">o enforce the Fair Housing Act </w:t>
      </w:r>
      <w:r w:rsidR="00322ADD" w:rsidRPr="00BC0110">
        <w:rPr>
          <w:rFonts w:cstheme="minorHAnsi"/>
          <w:color w:val="000000" w:themeColor="text1"/>
          <w:sz w:val="24"/>
          <w:szCs w:val="24"/>
        </w:rPr>
        <w:t xml:space="preserve">with </w:t>
      </w:r>
      <w:r w:rsidRPr="00BC0110">
        <w:rPr>
          <w:rFonts w:cstheme="minorHAnsi"/>
          <w:color w:val="000000" w:themeColor="text1"/>
          <w:sz w:val="24"/>
          <w:szCs w:val="24"/>
        </w:rPr>
        <w:t>disparate impact</w:t>
      </w:r>
      <w:r w:rsidR="00152460" w:rsidRPr="00BC0110">
        <w:rPr>
          <w:rFonts w:cstheme="minorHAnsi"/>
          <w:color w:val="000000" w:themeColor="text1"/>
          <w:sz w:val="24"/>
          <w:szCs w:val="24"/>
        </w:rPr>
        <w:t xml:space="preserve"> theory</w:t>
      </w:r>
      <w:r w:rsidRPr="00BC0110">
        <w:rPr>
          <w:rFonts w:cstheme="minorHAnsi"/>
          <w:color w:val="000000" w:themeColor="text1"/>
          <w:sz w:val="24"/>
          <w:szCs w:val="24"/>
        </w:rPr>
        <w:t>.</w:t>
      </w:r>
      <w:r w:rsidR="00600E85" w:rsidRPr="00BC0110">
        <w:rPr>
          <w:rFonts w:cstheme="minorHAnsi"/>
          <w:color w:val="000000" w:themeColor="text1"/>
          <w:sz w:val="24"/>
          <w:szCs w:val="24"/>
        </w:rPr>
        <w:t xml:space="preserve"> </w:t>
      </w:r>
    </w:p>
    <w:p w14:paraId="3D523082" w14:textId="248DBEEB" w:rsidR="009D6AA4" w:rsidRPr="004A50D5" w:rsidRDefault="000034C8" w:rsidP="009D6AA4">
      <w:pPr>
        <w:rPr>
          <w:rFonts w:cstheme="minorHAnsi"/>
          <w:color w:val="000000" w:themeColor="text1"/>
          <w:sz w:val="24"/>
          <w:szCs w:val="24"/>
        </w:rPr>
      </w:pPr>
      <w:r w:rsidRPr="00BC0110">
        <w:rPr>
          <w:rFonts w:cstheme="minorHAnsi"/>
          <w:color w:val="000000" w:themeColor="text1"/>
          <w:sz w:val="24"/>
          <w:szCs w:val="24"/>
        </w:rPr>
        <w:t xml:space="preserve">The </w:t>
      </w:r>
      <w:r w:rsidR="009D6AA4" w:rsidRPr="00BC0110">
        <w:rPr>
          <w:rFonts w:cstheme="minorHAnsi"/>
          <w:color w:val="000000" w:themeColor="text1"/>
          <w:sz w:val="24"/>
          <w:szCs w:val="24"/>
        </w:rPr>
        <w:t xml:space="preserve">proposed </w:t>
      </w:r>
      <w:r w:rsidRPr="00BC0110">
        <w:rPr>
          <w:rFonts w:cstheme="minorHAnsi"/>
          <w:color w:val="000000" w:themeColor="text1"/>
          <w:sz w:val="24"/>
          <w:szCs w:val="24"/>
        </w:rPr>
        <w:t xml:space="preserve">Rule is </w:t>
      </w:r>
      <w:r w:rsidR="009D6AA4" w:rsidRPr="00BC0110">
        <w:rPr>
          <w:rFonts w:cstheme="minorHAnsi"/>
          <w:color w:val="000000" w:themeColor="text1"/>
          <w:sz w:val="24"/>
          <w:szCs w:val="24"/>
        </w:rPr>
        <w:t xml:space="preserve">strongly </w:t>
      </w:r>
      <w:r w:rsidRPr="00BC0110">
        <w:rPr>
          <w:rFonts w:cstheme="minorHAnsi"/>
          <w:color w:val="000000" w:themeColor="text1"/>
          <w:sz w:val="24"/>
          <w:szCs w:val="24"/>
        </w:rPr>
        <w:t xml:space="preserve">biased against plaintiffs; while the plaintiff must meet a preponderance of the evidence standard, defendants are only required to “show” </w:t>
      </w:r>
      <w:r w:rsidR="00412647" w:rsidRPr="00BC0110">
        <w:rPr>
          <w:rFonts w:cstheme="minorHAnsi"/>
          <w:color w:val="000000" w:themeColor="text1"/>
          <w:sz w:val="24"/>
          <w:szCs w:val="24"/>
        </w:rPr>
        <w:t>that a policy advances a legitimate interest.</w:t>
      </w:r>
      <w:r w:rsidR="00412647" w:rsidRPr="00BC0110">
        <w:rPr>
          <w:rStyle w:val="FootnoteReference"/>
          <w:rFonts w:cstheme="minorHAnsi"/>
          <w:color w:val="000000" w:themeColor="text1"/>
          <w:sz w:val="24"/>
          <w:szCs w:val="24"/>
        </w:rPr>
        <w:footnoteReference w:id="4"/>
      </w:r>
      <w:r w:rsidR="00412647" w:rsidRPr="00BC0110">
        <w:rPr>
          <w:rFonts w:cstheme="minorHAnsi"/>
          <w:color w:val="000000" w:themeColor="text1"/>
          <w:sz w:val="24"/>
          <w:szCs w:val="24"/>
        </w:rPr>
        <w:t xml:space="preserve"> </w:t>
      </w:r>
      <w:r w:rsidR="009D6AA4" w:rsidRPr="00BC0110">
        <w:rPr>
          <w:rFonts w:cstheme="minorHAnsi"/>
          <w:color w:val="000000" w:themeColor="text1"/>
          <w:sz w:val="24"/>
          <w:szCs w:val="24"/>
        </w:rPr>
        <w:t xml:space="preserve">This ignores well-established precedent placing the burden of proof on the defendant to show “that the challenged practice is </w:t>
      </w:r>
      <w:r w:rsidR="009D6AA4" w:rsidRPr="00BC0110">
        <w:rPr>
          <w:rFonts w:cstheme="minorHAnsi"/>
          <w:i/>
          <w:color w:val="000000" w:themeColor="text1"/>
          <w:sz w:val="24"/>
          <w:szCs w:val="24"/>
        </w:rPr>
        <w:t>necessary</w:t>
      </w:r>
      <w:r w:rsidR="009D6AA4" w:rsidRPr="00BC0110">
        <w:rPr>
          <w:rFonts w:cstheme="minorHAnsi"/>
          <w:color w:val="000000" w:themeColor="text1"/>
          <w:sz w:val="24"/>
          <w:szCs w:val="24"/>
        </w:rPr>
        <w:t xml:space="preserve"> to achieve one or more substantial, legitimate, nondiscriminatory interests.”</w:t>
      </w:r>
      <w:r w:rsidR="009D6AA4" w:rsidRPr="00BC0110">
        <w:rPr>
          <w:rStyle w:val="FootnoteReference"/>
          <w:rFonts w:cstheme="minorHAnsi"/>
          <w:color w:val="000000" w:themeColor="text1"/>
          <w:sz w:val="24"/>
          <w:szCs w:val="24"/>
        </w:rPr>
        <w:footnoteReference w:id="5"/>
      </w:r>
      <w:r w:rsidR="009D6AA4" w:rsidRPr="004A50D5">
        <w:rPr>
          <w:rFonts w:cstheme="minorHAnsi"/>
          <w:color w:val="000000" w:themeColor="text1"/>
          <w:sz w:val="24"/>
          <w:szCs w:val="24"/>
        </w:rPr>
        <w:t xml:space="preserve"> </w:t>
      </w:r>
    </w:p>
    <w:p w14:paraId="08E7537F" w14:textId="27806AFB" w:rsidR="00AB498D" w:rsidRPr="004A50D5" w:rsidRDefault="00AB498D" w:rsidP="00AB498D">
      <w:pPr>
        <w:pStyle w:val="ListParagraph"/>
        <w:numPr>
          <w:ilvl w:val="0"/>
          <w:numId w:val="3"/>
        </w:numPr>
        <w:shd w:val="clear" w:color="auto" w:fill="FFFFFF"/>
        <w:spacing w:after="240"/>
        <w:rPr>
          <w:rFonts w:cstheme="minorHAnsi"/>
          <w:b/>
          <w:color w:val="000000" w:themeColor="text1"/>
          <w:sz w:val="24"/>
          <w:szCs w:val="24"/>
        </w:rPr>
      </w:pPr>
      <w:r w:rsidRPr="004A50D5">
        <w:rPr>
          <w:rFonts w:cstheme="minorHAnsi"/>
          <w:b/>
          <w:color w:val="000000" w:themeColor="text1"/>
          <w:sz w:val="24"/>
          <w:szCs w:val="24"/>
        </w:rPr>
        <w:t xml:space="preserve">HUD’s Rule </w:t>
      </w:r>
      <w:r w:rsidR="001656F0" w:rsidRPr="004A50D5">
        <w:rPr>
          <w:rFonts w:cstheme="minorHAnsi"/>
          <w:b/>
          <w:color w:val="000000" w:themeColor="text1"/>
          <w:sz w:val="24"/>
          <w:szCs w:val="24"/>
        </w:rPr>
        <w:t xml:space="preserve">improperly </w:t>
      </w:r>
      <w:r w:rsidRPr="004A50D5">
        <w:rPr>
          <w:rFonts w:cstheme="minorHAnsi"/>
          <w:b/>
          <w:color w:val="000000" w:themeColor="text1"/>
          <w:sz w:val="24"/>
          <w:szCs w:val="24"/>
        </w:rPr>
        <w:t xml:space="preserve">attempts to eliminate the “perpetuation of segregation” theory of </w:t>
      </w:r>
      <w:r w:rsidR="00485142" w:rsidRPr="004A50D5">
        <w:rPr>
          <w:rFonts w:cstheme="minorHAnsi"/>
          <w:b/>
          <w:color w:val="000000" w:themeColor="text1"/>
          <w:sz w:val="24"/>
          <w:szCs w:val="24"/>
        </w:rPr>
        <w:t>discriminatory effects</w:t>
      </w:r>
      <w:r w:rsidRPr="004A50D5">
        <w:rPr>
          <w:rFonts w:cstheme="minorHAnsi"/>
          <w:b/>
          <w:color w:val="000000" w:themeColor="text1"/>
          <w:sz w:val="24"/>
          <w:szCs w:val="24"/>
        </w:rPr>
        <w:t xml:space="preserve"> liability</w:t>
      </w:r>
    </w:p>
    <w:p w14:paraId="21DC51D1" w14:textId="0494F3B5" w:rsidR="00045D24" w:rsidRPr="004A50D5" w:rsidRDefault="001C0652" w:rsidP="00060716">
      <w:pPr>
        <w:shd w:val="clear" w:color="auto" w:fill="FFFFFF"/>
        <w:spacing w:after="240"/>
        <w:rPr>
          <w:rFonts w:cstheme="minorHAnsi"/>
          <w:color w:val="000000" w:themeColor="text1"/>
          <w:sz w:val="24"/>
          <w:szCs w:val="24"/>
        </w:rPr>
      </w:pPr>
      <w:r w:rsidRPr="004A50D5">
        <w:rPr>
          <w:rFonts w:cstheme="minorHAnsi"/>
          <w:color w:val="000000" w:themeColor="text1"/>
          <w:sz w:val="24"/>
          <w:szCs w:val="24"/>
        </w:rPr>
        <w:t>The Rule</w:t>
      </w:r>
      <w:r w:rsidR="005841DC" w:rsidRPr="004A50D5">
        <w:rPr>
          <w:rFonts w:cstheme="minorHAnsi"/>
          <w:color w:val="000000" w:themeColor="text1"/>
          <w:sz w:val="24"/>
          <w:szCs w:val="24"/>
        </w:rPr>
        <w:t xml:space="preserve"> attempt</w:t>
      </w:r>
      <w:r w:rsidRPr="004A50D5">
        <w:rPr>
          <w:rFonts w:cstheme="minorHAnsi"/>
          <w:color w:val="000000" w:themeColor="text1"/>
          <w:sz w:val="24"/>
          <w:szCs w:val="24"/>
        </w:rPr>
        <w:t>s</w:t>
      </w:r>
      <w:r w:rsidR="005841DC" w:rsidRPr="004A50D5">
        <w:rPr>
          <w:rFonts w:cstheme="minorHAnsi"/>
          <w:color w:val="000000" w:themeColor="text1"/>
          <w:sz w:val="24"/>
          <w:szCs w:val="24"/>
        </w:rPr>
        <w:t xml:space="preserve"> to erase liability under the perpetuation of segregation theory, which encompasses the very core of what the Fair Housing Act is about</w:t>
      </w:r>
      <w:r w:rsidR="001656F0" w:rsidRPr="004A50D5">
        <w:rPr>
          <w:rFonts w:cstheme="minorHAnsi"/>
          <w:color w:val="000000" w:themeColor="text1"/>
          <w:sz w:val="24"/>
          <w:szCs w:val="24"/>
        </w:rPr>
        <w:t>:</w:t>
      </w:r>
      <w:r w:rsidR="005841DC" w:rsidRPr="004A50D5">
        <w:rPr>
          <w:rFonts w:cstheme="minorHAnsi"/>
          <w:color w:val="000000" w:themeColor="text1"/>
          <w:sz w:val="24"/>
          <w:szCs w:val="24"/>
        </w:rPr>
        <w:t xml:space="preserve"> ending segregation. </w:t>
      </w:r>
      <w:r w:rsidR="003B5839" w:rsidRPr="004A50D5">
        <w:rPr>
          <w:rFonts w:cstheme="minorHAnsi"/>
          <w:color w:val="000000" w:themeColor="text1"/>
          <w:sz w:val="24"/>
          <w:szCs w:val="24"/>
        </w:rPr>
        <w:t xml:space="preserve">The Fair Housing Act was passed </w:t>
      </w:r>
      <w:r w:rsidR="000D3B74" w:rsidRPr="004A50D5">
        <w:rPr>
          <w:rFonts w:cstheme="minorHAnsi"/>
          <w:color w:val="000000" w:themeColor="text1"/>
          <w:sz w:val="24"/>
          <w:szCs w:val="24"/>
        </w:rPr>
        <w:t>to combat</w:t>
      </w:r>
      <w:r w:rsidR="003B5839" w:rsidRPr="004A50D5">
        <w:rPr>
          <w:rFonts w:cstheme="minorHAnsi"/>
          <w:color w:val="000000" w:themeColor="text1"/>
          <w:sz w:val="24"/>
          <w:szCs w:val="24"/>
        </w:rPr>
        <w:t xml:space="preserve"> racial segregation in the United States</w:t>
      </w:r>
      <w:r w:rsidR="00045D24" w:rsidRPr="004A50D5">
        <w:rPr>
          <w:rFonts w:cstheme="minorHAnsi"/>
          <w:color w:val="000000" w:themeColor="text1"/>
          <w:sz w:val="24"/>
          <w:szCs w:val="24"/>
        </w:rPr>
        <w:t>,</w:t>
      </w:r>
      <w:r w:rsidR="000D3B74" w:rsidRPr="004A50D5">
        <w:rPr>
          <w:rFonts w:cstheme="minorHAnsi"/>
          <w:color w:val="000000" w:themeColor="text1"/>
          <w:sz w:val="24"/>
          <w:szCs w:val="24"/>
        </w:rPr>
        <w:t xml:space="preserve"> yet</w:t>
      </w:r>
      <w:r w:rsidR="00045D24" w:rsidRPr="004A50D5">
        <w:rPr>
          <w:rFonts w:cstheme="minorHAnsi"/>
          <w:color w:val="000000" w:themeColor="text1"/>
          <w:sz w:val="24"/>
          <w:szCs w:val="24"/>
        </w:rPr>
        <w:t xml:space="preserve"> our communities remain segregated to this day.</w:t>
      </w:r>
      <w:r w:rsidR="00045D24" w:rsidRPr="004A50D5">
        <w:rPr>
          <w:rStyle w:val="FootnoteReference"/>
          <w:rFonts w:cstheme="minorHAnsi"/>
          <w:color w:val="000000" w:themeColor="text1"/>
          <w:sz w:val="24"/>
          <w:szCs w:val="24"/>
        </w:rPr>
        <w:footnoteReference w:id="6"/>
      </w:r>
      <w:r w:rsidR="00045D24" w:rsidRPr="004A50D5">
        <w:rPr>
          <w:rFonts w:cstheme="minorHAnsi"/>
          <w:color w:val="000000" w:themeColor="text1"/>
          <w:sz w:val="24"/>
          <w:szCs w:val="24"/>
        </w:rPr>
        <w:t xml:space="preserve"> HUD’s proposal will take away a critical tool for tackling </w:t>
      </w:r>
      <w:r w:rsidR="000D3B74" w:rsidRPr="004A50D5">
        <w:rPr>
          <w:rFonts w:cstheme="minorHAnsi"/>
          <w:color w:val="000000" w:themeColor="text1"/>
          <w:sz w:val="24"/>
          <w:szCs w:val="24"/>
        </w:rPr>
        <w:t xml:space="preserve">this </w:t>
      </w:r>
      <w:r w:rsidR="00EF3DD3" w:rsidRPr="004A50D5">
        <w:rPr>
          <w:rFonts w:cstheme="minorHAnsi"/>
          <w:color w:val="000000" w:themeColor="text1"/>
          <w:sz w:val="24"/>
          <w:szCs w:val="24"/>
        </w:rPr>
        <w:t xml:space="preserve">fundamental civil rights </w:t>
      </w:r>
      <w:r w:rsidR="000D3B74" w:rsidRPr="004A50D5">
        <w:rPr>
          <w:rFonts w:cstheme="minorHAnsi"/>
          <w:color w:val="000000" w:themeColor="text1"/>
          <w:sz w:val="24"/>
          <w:szCs w:val="24"/>
        </w:rPr>
        <w:t>issue</w:t>
      </w:r>
      <w:r w:rsidR="00045D24" w:rsidRPr="004A50D5">
        <w:rPr>
          <w:rFonts w:cstheme="minorHAnsi"/>
          <w:color w:val="000000" w:themeColor="text1"/>
          <w:sz w:val="24"/>
          <w:szCs w:val="24"/>
        </w:rPr>
        <w:t>.</w:t>
      </w:r>
    </w:p>
    <w:p w14:paraId="659BBAB4" w14:textId="085C7191" w:rsidR="000C44B4" w:rsidRPr="004A50D5" w:rsidRDefault="001C0652" w:rsidP="00060716">
      <w:pPr>
        <w:shd w:val="clear" w:color="auto" w:fill="FFFFFF"/>
        <w:spacing w:after="240"/>
        <w:rPr>
          <w:rFonts w:eastAsia="Times New Roman" w:cstheme="minorHAnsi"/>
          <w:color w:val="000000"/>
          <w:sz w:val="24"/>
          <w:szCs w:val="24"/>
        </w:rPr>
      </w:pPr>
      <w:r w:rsidRPr="004A50D5">
        <w:rPr>
          <w:rFonts w:cstheme="minorHAnsi"/>
          <w:color w:val="000000" w:themeColor="text1"/>
          <w:sz w:val="24"/>
          <w:szCs w:val="24"/>
        </w:rPr>
        <w:t>As reflected in HUD’s 2013 dispa</w:t>
      </w:r>
      <w:r w:rsidR="001656F0" w:rsidRPr="004A50D5">
        <w:rPr>
          <w:rFonts w:cstheme="minorHAnsi"/>
          <w:color w:val="000000" w:themeColor="text1"/>
          <w:sz w:val="24"/>
          <w:szCs w:val="24"/>
        </w:rPr>
        <w:t xml:space="preserve">rate impact rule, </w:t>
      </w:r>
      <w:r w:rsidR="00353300" w:rsidRPr="004A50D5">
        <w:rPr>
          <w:rFonts w:cstheme="minorHAnsi"/>
          <w:color w:val="000000" w:themeColor="text1"/>
          <w:sz w:val="24"/>
          <w:szCs w:val="24"/>
        </w:rPr>
        <w:t xml:space="preserve">and in </w:t>
      </w:r>
      <w:r w:rsidR="001656F0" w:rsidRPr="004A50D5">
        <w:rPr>
          <w:rFonts w:cstheme="minorHAnsi"/>
          <w:color w:val="000000" w:themeColor="text1"/>
          <w:sz w:val="24"/>
          <w:szCs w:val="24"/>
        </w:rPr>
        <w:t>c</w:t>
      </w:r>
      <w:r w:rsidRPr="004A50D5">
        <w:rPr>
          <w:rFonts w:cstheme="minorHAnsi"/>
          <w:color w:val="000000" w:themeColor="text1"/>
          <w:sz w:val="24"/>
          <w:szCs w:val="24"/>
        </w:rPr>
        <w:t>ourt decision</w:t>
      </w:r>
      <w:r w:rsidR="00353300" w:rsidRPr="004A50D5">
        <w:rPr>
          <w:rFonts w:cstheme="minorHAnsi"/>
          <w:color w:val="000000" w:themeColor="text1"/>
          <w:sz w:val="24"/>
          <w:szCs w:val="24"/>
        </w:rPr>
        <w:t>s</w:t>
      </w:r>
      <w:r w:rsidRPr="004A50D5">
        <w:rPr>
          <w:rFonts w:cstheme="minorHAnsi"/>
          <w:color w:val="000000" w:themeColor="text1"/>
          <w:sz w:val="24"/>
          <w:szCs w:val="24"/>
        </w:rPr>
        <w:t xml:space="preserve"> that </w:t>
      </w:r>
      <w:r w:rsidR="00353300" w:rsidRPr="004A50D5">
        <w:rPr>
          <w:rFonts w:cstheme="minorHAnsi"/>
          <w:color w:val="000000" w:themeColor="text1"/>
          <w:sz w:val="24"/>
          <w:szCs w:val="24"/>
        </w:rPr>
        <w:t xml:space="preserve">have </w:t>
      </w:r>
      <w:r w:rsidRPr="004A50D5">
        <w:rPr>
          <w:rFonts w:cstheme="minorHAnsi"/>
          <w:color w:val="000000" w:themeColor="text1"/>
          <w:sz w:val="24"/>
          <w:szCs w:val="24"/>
        </w:rPr>
        <w:t>considered the question</w:t>
      </w:r>
      <w:r w:rsidR="009D4CA5">
        <w:rPr>
          <w:rFonts w:cstheme="minorHAnsi"/>
          <w:color w:val="000000" w:themeColor="text1"/>
          <w:sz w:val="24"/>
          <w:szCs w:val="24"/>
        </w:rPr>
        <w:t>,</w:t>
      </w:r>
      <w:r w:rsidR="009D4CA5">
        <w:rPr>
          <w:rStyle w:val="FootnoteReference"/>
          <w:rFonts w:cstheme="minorHAnsi"/>
          <w:color w:val="000000" w:themeColor="text1"/>
          <w:sz w:val="24"/>
          <w:szCs w:val="24"/>
        </w:rPr>
        <w:footnoteReference w:id="7"/>
      </w:r>
      <w:r w:rsidRPr="004A50D5">
        <w:rPr>
          <w:rFonts w:cstheme="minorHAnsi"/>
          <w:color w:val="000000" w:themeColor="text1"/>
          <w:sz w:val="24"/>
          <w:szCs w:val="24"/>
        </w:rPr>
        <w:t xml:space="preserve"> </w:t>
      </w:r>
      <w:r w:rsidR="00F801C7" w:rsidRPr="004A50D5">
        <w:rPr>
          <w:rFonts w:cstheme="minorHAnsi"/>
          <w:color w:val="000000" w:themeColor="text1"/>
          <w:sz w:val="24"/>
          <w:szCs w:val="24"/>
        </w:rPr>
        <w:t>discriminatory effects</w:t>
      </w:r>
      <w:r w:rsidRPr="004A50D5">
        <w:rPr>
          <w:rFonts w:cstheme="minorHAnsi"/>
          <w:color w:val="000000" w:themeColor="text1"/>
          <w:sz w:val="24"/>
          <w:szCs w:val="24"/>
        </w:rPr>
        <w:t xml:space="preserve"> liability may be established where a policy “</w:t>
      </w:r>
      <w:r w:rsidRPr="004A50D5">
        <w:rPr>
          <w:rFonts w:eastAsia="Times New Roman" w:cstheme="minorHAnsi"/>
          <w:color w:val="000000"/>
          <w:sz w:val="24"/>
          <w:szCs w:val="24"/>
        </w:rPr>
        <w:t>perpetuates segregated housing patterns because of race, color, religion, sex, handicap, familial status, or national origin.”</w:t>
      </w:r>
      <w:r w:rsidRPr="004A50D5">
        <w:rPr>
          <w:rStyle w:val="FootnoteReference"/>
          <w:rFonts w:eastAsia="Times New Roman" w:cstheme="minorHAnsi"/>
          <w:color w:val="000000"/>
          <w:sz w:val="24"/>
          <w:szCs w:val="24"/>
        </w:rPr>
        <w:footnoteReference w:id="8"/>
      </w:r>
      <w:r w:rsidR="005532C0" w:rsidRPr="004A50D5">
        <w:rPr>
          <w:rFonts w:eastAsia="Times New Roman" w:cstheme="minorHAnsi"/>
          <w:color w:val="000000"/>
          <w:sz w:val="24"/>
          <w:szCs w:val="24"/>
        </w:rPr>
        <w:t xml:space="preserve"> In many areas of the United States, segregation is increasing rather than decreasing; this theory is more important </w:t>
      </w:r>
      <w:r w:rsidR="00380EBA" w:rsidRPr="004A50D5">
        <w:rPr>
          <w:rFonts w:eastAsia="Times New Roman" w:cstheme="minorHAnsi"/>
          <w:color w:val="000000"/>
          <w:sz w:val="24"/>
          <w:szCs w:val="24"/>
        </w:rPr>
        <w:t xml:space="preserve">to realizing the Fair Housing Act’s goals </w:t>
      </w:r>
      <w:r w:rsidR="005532C0" w:rsidRPr="004A50D5">
        <w:rPr>
          <w:rFonts w:eastAsia="Times New Roman" w:cstheme="minorHAnsi"/>
          <w:color w:val="000000"/>
          <w:sz w:val="24"/>
          <w:szCs w:val="24"/>
        </w:rPr>
        <w:t xml:space="preserve">than ever. </w:t>
      </w:r>
      <w:r w:rsidR="005532C0" w:rsidRPr="004A50D5">
        <w:rPr>
          <w:rStyle w:val="FootnoteReference"/>
          <w:rFonts w:eastAsia="Times New Roman" w:cstheme="minorHAnsi"/>
          <w:color w:val="000000"/>
          <w:sz w:val="24"/>
          <w:szCs w:val="24"/>
        </w:rPr>
        <w:footnoteReference w:id="9"/>
      </w:r>
      <w:r w:rsidR="005532C0" w:rsidRPr="004A50D5">
        <w:rPr>
          <w:rFonts w:eastAsia="Times New Roman" w:cstheme="minorHAnsi"/>
          <w:color w:val="000000"/>
          <w:sz w:val="24"/>
          <w:szCs w:val="24"/>
        </w:rPr>
        <w:t xml:space="preserve"> </w:t>
      </w:r>
    </w:p>
    <w:p w14:paraId="7DA3366A" w14:textId="204FC166" w:rsidR="000C44B4" w:rsidRPr="004A50D5" w:rsidRDefault="000C44B4" w:rsidP="00060716">
      <w:pPr>
        <w:shd w:val="clear" w:color="auto" w:fill="FFFFFF"/>
        <w:spacing w:after="240"/>
        <w:rPr>
          <w:rFonts w:eastAsia="Times New Roman" w:cstheme="minorHAnsi"/>
          <w:color w:val="000000"/>
          <w:sz w:val="24"/>
          <w:szCs w:val="24"/>
        </w:rPr>
      </w:pPr>
      <w:r w:rsidRPr="004A50D5">
        <w:rPr>
          <w:rFonts w:eastAsia="Times New Roman" w:cstheme="minorHAnsi"/>
          <w:color w:val="000000"/>
          <w:sz w:val="24"/>
          <w:szCs w:val="24"/>
        </w:rPr>
        <w:lastRenderedPageBreak/>
        <w:t xml:space="preserve">Retaining meaningful tools for challenging actions that increase segregation is especially important in my community because:  </w:t>
      </w:r>
      <w:r w:rsidR="005532C0" w:rsidRPr="004A50D5">
        <w:rPr>
          <w:rFonts w:eastAsia="Times New Roman" w:cstheme="minorHAnsi"/>
          <w:color w:val="000000"/>
          <w:sz w:val="24"/>
          <w:szCs w:val="24"/>
          <w:highlight w:val="yellow"/>
        </w:rPr>
        <w:t>[Personalize with data from your community using statistics here</w:t>
      </w:r>
      <w:r w:rsidR="009D4CA5">
        <w:rPr>
          <w:rFonts w:eastAsia="Times New Roman" w:cstheme="minorHAnsi"/>
          <w:color w:val="000000"/>
          <w:sz w:val="24"/>
          <w:szCs w:val="24"/>
          <w:highlight w:val="yellow"/>
        </w:rPr>
        <w:t>, or other local data</w:t>
      </w:r>
      <w:r w:rsidR="005532C0" w:rsidRPr="004A50D5">
        <w:rPr>
          <w:rFonts w:eastAsia="Times New Roman" w:cstheme="minorHAnsi"/>
          <w:color w:val="000000"/>
          <w:sz w:val="24"/>
          <w:szCs w:val="24"/>
          <w:highlight w:val="yellow"/>
        </w:rPr>
        <w:t xml:space="preserve">: </w:t>
      </w:r>
      <w:hyperlink r:id="rId7" w:history="1">
        <w:r w:rsidRPr="004A50D5">
          <w:rPr>
            <w:rStyle w:val="Hyperlink"/>
            <w:rFonts w:eastAsia="Times New Roman" w:cstheme="minorHAnsi"/>
            <w:sz w:val="24"/>
            <w:szCs w:val="24"/>
            <w:highlight w:val="yellow"/>
          </w:rPr>
          <w:t>https://s4.ad.brown.edu/Projects/Diversity/Data/Data.htm</w:t>
        </w:r>
      </w:hyperlink>
      <w:r w:rsidR="005532C0" w:rsidRPr="004A50D5">
        <w:rPr>
          <w:rFonts w:eastAsia="Times New Roman" w:cstheme="minorHAnsi"/>
          <w:color w:val="000000"/>
          <w:sz w:val="24"/>
          <w:szCs w:val="24"/>
          <w:highlight w:val="yellow"/>
        </w:rPr>
        <w:t>]</w:t>
      </w:r>
      <w:r w:rsidR="004A50D5">
        <w:rPr>
          <w:rFonts w:eastAsia="Times New Roman" w:cstheme="minorHAnsi"/>
          <w:color w:val="000000"/>
          <w:sz w:val="24"/>
          <w:szCs w:val="24"/>
        </w:rPr>
        <w:t xml:space="preserve"> </w:t>
      </w:r>
      <w:r w:rsidR="004A50D5" w:rsidRPr="004A50D5">
        <w:rPr>
          <w:rFonts w:eastAsia="Times New Roman" w:cstheme="minorHAnsi"/>
          <w:color w:val="000000"/>
          <w:sz w:val="24"/>
          <w:szCs w:val="24"/>
          <w:highlight w:val="yellow"/>
        </w:rPr>
        <w:t>and explain how segregation has harmed you and your community.</w:t>
      </w:r>
      <w:r w:rsidR="00950E1C">
        <w:rPr>
          <w:rFonts w:eastAsia="Times New Roman" w:cstheme="minorHAnsi"/>
          <w:color w:val="000000"/>
          <w:sz w:val="24"/>
          <w:szCs w:val="24"/>
        </w:rPr>
        <w:t>]</w:t>
      </w:r>
      <w:r w:rsidRPr="004A50D5">
        <w:rPr>
          <w:rFonts w:eastAsia="Times New Roman" w:cstheme="minorHAnsi"/>
          <w:color w:val="000000"/>
          <w:sz w:val="24"/>
          <w:szCs w:val="24"/>
        </w:rPr>
        <w:t xml:space="preserve"> </w:t>
      </w:r>
    </w:p>
    <w:p w14:paraId="6A2AC2C7" w14:textId="7770982F" w:rsidR="006A6DC4" w:rsidRPr="004A50D5" w:rsidRDefault="000C44B4" w:rsidP="00060716">
      <w:pPr>
        <w:shd w:val="clear" w:color="auto" w:fill="FFFFFF"/>
        <w:spacing w:after="240"/>
        <w:rPr>
          <w:rFonts w:cstheme="minorHAnsi"/>
          <w:color w:val="000000" w:themeColor="text1"/>
          <w:sz w:val="24"/>
          <w:szCs w:val="24"/>
        </w:rPr>
      </w:pPr>
      <w:r w:rsidRPr="004A50D5">
        <w:rPr>
          <w:rFonts w:eastAsia="Times New Roman" w:cstheme="minorHAnsi"/>
          <w:color w:val="000000"/>
          <w:sz w:val="24"/>
          <w:szCs w:val="24"/>
        </w:rPr>
        <w:t xml:space="preserve">HUD removes all reference to perpetuation of segregation from </w:t>
      </w:r>
      <w:r w:rsidR="00671036" w:rsidRPr="004A50D5">
        <w:rPr>
          <w:rFonts w:eastAsia="Times New Roman" w:cstheme="minorHAnsi"/>
          <w:color w:val="000000"/>
          <w:sz w:val="24"/>
          <w:szCs w:val="24"/>
        </w:rPr>
        <w:t xml:space="preserve">24 C.F.R. </w:t>
      </w:r>
      <w:r w:rsidRPr="004A50D5">
        <w:rPr>
          <w:rFonts w:eastAsia="Times New Roman" w:cstheme="minorHAnsi"/>
          <w:color w:val="000000"/>
          <w:sz w:val="24"/>
          <w:szCs w:val="24"/>
        </w:rPr>
        <w:t xml:space="preserve">section 100.500 </w:t>
      </w:r>
      <w:r w:rsidRPr="004A50D5">
        <w:rPr>
          <w:rFonts w:eastAsia="Times New Roman" w:cstheme="minorHAnsi"/>
          <w:i/>
          <w:color w:val="000000"/>
          <w:sz w:val="24"/>
          <w:szCs w:val="24"/>
        </w:rPr>
        <w:t>without explanation or discussion.</w:t>
      </w:r>
      <w:r w:rsidRPr="004A50D5">
        <w:rPr>
          <w:rFonts w:eastAsia="Times New Roman" w:cstheme="minorHAnsi"/>
          <w:color w:val="000000"/>
          <w:sz w:val="24"/>
          <w:szCs w:val="24"/>
        </w:rPr>
        <w:t xml:space="preserve"> </w:t>
      </w:r>
      <w:r w:rsidR="00060716" w:rsidRPr="004A50D5">
        <w:rPr>
          <w:rFonts w:cstheme="minorHAnsi"/>
          <w:color w:val="000000" w:themeColor="text1"/>
          <w:sz w:val="24"/>
          <w:szCs w:val="24"/>
        </w:rPr>
        <w:t>These changes have critically important implications for our nation; research has demonstrated that “the neighborhood in which a child grows up is a significant predictor of his or her later life outcomes, even at a very local level.”</w:t>
      </w:r>
      <w:r w:rsidR="00060716" w:rsidRPr="004A50D5">
        <w:rPr>
          <w:rStyle w:val="FootnoteReference"/>
          <w:rFonts w:cstheme="minorHAnsi"/>
          <w:color w:val="000000" w:themeColor="text1"/>
          <w:sz w:val="24"/>
          <w:szCs w:val="24"/>
        </w:rPr>
        <w:footnoteReference w:id="10"/>
      </w:r>
      <w:r w:rsidR="00060716" w:rsidRPr="004A50D5">
        <w:rPr>
          <w:rFonts w:cstheme="minorHAnsi"/>
          <w:color w:val="000000" w:themeColor="text1"/>
          <w:sz w:val="24"/>
          <w:szCs w:val="24"/>
        </w:rPr>
        <w:t xml:space="preserve"> </w:t>
      </w:r>
      <w:r w:rsidR="000D3B74" w:rsidRPr="004A50D5">
        <w:rPr>
          <w:rFonts w:cstheme="minorHAnsi"/>
          <w:color w:val="000000" w:themeColor="text1"/>
          <w:sz w:val="24"/>
          <w:szCs w:val="24"/>
        </w:rPr>
        <w:t>Racial segregation impacts every aspect of a community; people of color are excluded from high quality schools, jobs, even</w:t>
      </w:r>
      <w:r w:rsidR="006A6DC4" w:rsidRPr="004A50D5">
        <w:rPr>
          <w:rFonts w:cstheme="minorHAnsi"/>
          <w:color w:val="000000" w:themeColor="text1"/>
          <w:sz w:val="24"/>
          <w:szCs w:val="24"/>
        </w:rPr>
        <w:t xml:space="preserve"> access to</w:t>
      </w:r>
      <w:r w:rsidR="000D3B74" w:rsidRPr="004A50D5">
        <w:rPr>
          <w:rFonts w:cstheme="minorHAnsi"/>
          <w:color w:val="000000" w:themeColor="text1"/>
          <w:sz w:val="24"/>
          <w:szCs w:val="24"/>
        </w:rPr>
        <w:t xml:space="preserve"> fresh food</w:t>
      </w:r>
      <w:r w:rsidR="006A6DC4" w:rsidRPr="004A50D5">
        <w:rPr>
          <w:rFonts w:cstheme="minorHAnsi"/>
          <w:color w:val="000000" w:themeColor="text1"/>
          <w:sz w:val="24"/>
          <w:szCs w:val="24"/>
        </w:rPr>
        <w:t xml:space="preserve"> or drinkable water</w:t>
      </w:r>
      <w:r w:rsidR="000D3B74" w:rsidRPr="004A50D5">
        <w:rPr>
          <w:rFonts w:cstheme="minorHAnsi"/>
          <w:color w:val="000000" w:themeColor="text1"/>
          <w:sz w:val="24"/>
          <w:szCs w:val="24"/>
        </w:rPr>
        <w:t xml:space="preserve">. </w:t>
      </w:r>
    </w:p>
    <w:p w14:paraId="111CBC23" w14:textId="680DE8A4" w:rsidR="00060716" w:rsidRPr="004A50D5" w:rsidRDefault="00380EBA" w:rsidP="00060716">
      <w:pPr>
        <w:shd w:val="clear" w:color="auto" w:fill="FFFFFF"/>
        <w:spacing w:after="240"/>
        <w:rPr>
          <w:rFonts w:cstheme="minorHAnsi"/>
          <w:color w:val="000000" w:themeColor="text1"/>
          <w:sz w:val="24"/>
          <w:szCs w:val="24"/>
        </w:rPr>
      </w:pPr>
      <w:r w:rsidRPr="004A50D5">
        <w:rPr>
          <w:rFonts w:cstheme="minorHAnsi"/>
          <w:color w:val="000000" w:themeColor="text1"/>
          <w:sz w:val="24"/>
          <w:szCs w:val="24"/>
        </w:rPr>
        <w:t xml:space="preserve">HUD’s omission of perpetuation of segregation theory from the proposed Rule is a blatant attack on the ideals of integration that the Fair Housing Act was intended to make possible. </w:t>
      </w:r>
      <w:r w:rsidR="00EF3DD3" w:rsidRPr="004A50D5">
        <w:rPr>
          <w:rFonts w:cstheme="minorHAnsi"/>
          <w:color w:val="000000" w:themeColor="text1"/>
          <w:sz w:val="24"/>
          <w:szCs w:val="24"/>
        </w:rPr>
        <w:t xml:space="preserve">Coupled with HUD’s suspension of implementation of its Affirmatively Furthering Fair Housing regulation, HUD </w:t>
      </w:r>
      <w:r w:rsidR="001D62AF" w:rsidRPr="004A50D5">
        <w:rPr>
          <w:rFonts w:cstheme="minorHAnsi"/>
          <w:color w:val="000000" w:themeColor="text1"/>
          <w:sz w:val="24"/>
          <w:szCs w:val="24"/>
        </w:rPr>
        <w:t xml:space="preserve">is retreating from its obligation as an agency to </w:t>
      </w:r>
      <w:r w:rsidR="006A6DC4" w:rsidRPr="004A50D5">
        <w:rPr>
          <w:rFonts w:cstheme="minorHAnsi"/>
          <w:color w:val="000000" w:themeColor="text1"/>
          <w:sz w:val="24"/>
          <w:szCs w:val="24"/>
        </w:rPr>
        <w:t>meaningfully</w:t>
      </w:r>
      <w:r w:rsidR="00EF3DD3" w:rsidRPr="004A50D5">
        <w:rPr>
          <w:rFonts w:cstheme="minorHAnsi"/>
          <w:color w:val="000000" w:themeColor="text1"/>
          <w:sz w:val="24"/>
          <w:szCs w:val="24"/>
        </w:rPr>
        <w:t xml:space="preserve"> combat</w:t>
      </w:r>
      <w:r w:rsidR="004A50D5">
        <w:rPr>
          <w:rFonts w:cstheme="minorHAnsi"/>
          <w:color w:val="000000" w:themeColor="text1"/>
          <w:sz w:val="24"/>
          <w:szCs w:val="24"/>
        </w:rPr>
        <w:t xml:space="preserve"> </w:t>
      </w:r>
      <w:r w:rsidR="00EF3DD3" w:rsidRPr="004A50D5">
        <w:rPr>
          <w:rFonts w:cstheme="minorHAnsi"/>
          <w:color w:val="000000" w:themeColor="text1"/>
          <w:sz w:val="24"/>
          <w:szCs w:val="24"/>
        </w:rPr>
        <w:t>segregation.</w:t>
      </w:r>
    </w:p>
    <w:p w14:paraId="3F249A52" w14:textId="49665595" w:rsidR="00A77864" w:rsidRPr="004A50D5" w:rsidRDefault="001C4687" w:rsidP="00137329">
      <w:pPr>
        <w:pStyle w:val="ListParagraph"/>
        <w:numPr>
          <w:ilvl w:val="0"/>
          <w:numId w:val="3"/>
        </w:numPr>
        <w:rPr>
          <w:rFonts w:cstheme="minorHAnsi"/>
          <w:b/>
          <w:color w:val="000000" w:themeColor="text1"/>
          <w:sz w:val="24"/>
          <w:szCs w:val="24"/>
        </w:rPr>
      </w:pPr>
      <w:r w:rsidRPr="004A50D5">
        <w:rPr>
          <w:rFonts w:cstheme="minorHAnsi"/>
          <w:b/>
          <w:color w:val="000000" w:themeColor="text1"/>
          <w:sz w:val="24"/>
          <w:szCs w:val="24"/>
        </w:rPr>
        <w:t xml:space="preserve">Suits targeting single land use decisions </w:t>
      </w:r>
      <w:r w:rsidR="00A77864" w:rsidRPr="004A50D5">
        <w:rPr>
          <w:rFonts w:cstheme="minorHAnsi"/>
          <w:b/>
          <w:color w:val="000000" w:themeColor="text1"/>
          <w:sz w:val="24"/>
          <w:szCs w:val="24"/>
        </w:rPr>
        <w:t xml:space="preserve">are </w:t>
      </w:r>
      <w:r w:rsidRPr="004A50D5">
        <w:rPr>
          <w:rFonts w:cstheme="minorHAnsi"/>
          <w:b/>
          <w:color w:val="000000" w:themeColor="text1"/>
          <w:sz w:val="24"/>
          <w:szCs w:val="24"/>
        </w:rPr>
        <w:t xml:space="preserve">the </w:t>
      </w:r>
      <w:r w:rsidR="00A77864" w:rsidRPr="004A50D5">
        <w:rPr>
          <w:rFonts w:cstheme="minorHAnsi"/>
          <w:b/>
          <w:color w:val="000000" w:themeColor="text1"/>
          <w:sz w:val="24"/>
          <w:szCs w:val="24"/>
        </w:rPr>
        <w:t>heartland</w:t>
      </w:r>
      <w:r w:rsidRPr="004A50D5">
        <w:rPr>
          <w:rFonts w:cstheme="minorHAnsi"/>
          <w:b/>
          <w:color w:val="000000" w:themeColor="text1"/>
          <w:sz w:val="24"/>
          <w:szCs w:val="24"/>
        </w:rPr>
        <w:t xml:space="preserve"> of disparate impact liability under the F</w:t>
      </w:r>
      <w:r w:rsidR="009D4CA5">
        <w:rPr>
          <w:rFonts w:cstheme="minorHAnsi"/>
          <w:b/>
          <w:color w:val="000000" w:themeColor="text1"/>
          <w:sz w:val="24"/>
          <w:szCs w:val="24"/>
        </w:rPr>
        <w:t xml:space="preserve">air </w:t>
      </w:r>
      <w:r w:rsidRPr="004A50D5">
        <w:rPr>
          <w:rFonts w:cstheme="minorHAnsi"/>
          <w:b/>
          <w:color w:val="000000" w:themeColor="text1"/>
          <w:sz w:val="24"/>
          <w:szCs w:val="24"/>
        </w:rPr>
        <w:t>H</w:t>
      </w:r>
      <w:r w:rsidR="009D4CA5">
        <w:rPr>
          <w:rFonts w:cstheme="minorHAnsi"/>
          <w:b/>
          <w:color w:val="000000" w:themeColor="text1"/>
          <w:sz w:val="24"/>
          <w:szCs w:val="24"/>
        </w:rPr>
        <w:t xml:space="preserve">ousing </w:t>
      </w:r>
      <w:r w:rsidRPr="004A50D5">
        <w:rPr>
          <w:rFonts w:cstheme="minorHAnsi"/>
          <w:b/>
          <w:color w:val="000000" w:themeColor="text1"/>
          <w:sz w:val="24"/>
          <w:szCs w:val="24"/>
        </w:rPr>
        <w:t>A</w:t>
      </w:r>
      <w:r w:rsidR="009D4CA5">
        <w:rPr>
          <w:rFonts w:cstheme="minorHAnsi"/>
          <w:b/>
          <w:color w:val="000000" w:themeColor="text1"/>
          <w:sz w:val="24"/>
          <w:szCs w:val="24"/>
        </w:rPr>
        <w:t>ct</w:t>
      </w:r>
      <w:r w:rsidR="00A77864" w:rsidRPr="004A50D5">
        <w:rPr>
          <w:rFonts w:cstheme="minorHAnsi"/>
          <w:b/>
          <w:color w:val="000000" w:themeColor="text1"/>
          <w:sz w:val="24"/>
          <w:szCs w:val="24"/>
        </w:rPr>
        <w:t>, and this Rule would exclude them</w:t>
      </w:r>
    </w:p>
    <w:p w14:paraId="7A4116D3" w14:textId="78A2CA18" w:rsidR="00982C87" w:rsidRDefault="00380EBA" w:rsidP="00380EBA">
      <w:pPr>
        <w:rPr>
          <w:rFonts w:cstheme="minorHAnsi"/>
          <w:sz w:val="24"/>
          <w:szCs w:val="24"/>
        </w:rPr>
      </w:pPr>
      <w:r w:rsidRPr="004A50D5">
        <w:rPr>
          <w:rFonts w:cstheme="minorHAnsi"/>
          <w:sz w:val="24"/>
          <w:szCs w:val="24"/>
        </w:rPr>
        <w:t xml:space="preserve">In </w:t>
      </w:r>
      <w:r w:rsidRPr="004A50D5">
        <w:rPr>
          <w:rFonts w:cstheme="minorHAnsi"/>
          <w:i/>
          <w:sz w:val="24"/>
          <w:szCs w:val="24"/>
        </w:rPr>
        <w:t xml:space="preserve">Inclusive Communities Project, </w:t>
      </w:r>
      <w:r w:rsidRPr="004A50D5">
        <w:rPr>
          <w:rFonts w:cstheme="minorHAnsi"/>
          <w:sz w:val="24"/>
          <w:szCs w:val="24"/>
        </w:rPr>
        <w:t>the Supreme Court recognized that “s</w:t>
      </w:r>
      <w:r w:rsidR="00A77864" w:rsidRPr="004A50D5">
        <w:rPr>
          <w:rFonts w:cstheme="minorHAnsi"/>
          <w:sz w:val="24"/>
          <w:szCs w:val="24"/>
        </w:rPr>
        <w:t>uits targeting unlawful zoning laws and other housing restrictions that unfairly exclude minorities from certain neighborhoods without sufficient justification are at the heartland of disparate-impact liability</w:t>
      </w:r>
      <w:r w:rsidRPr="004A50D5">
        <w:rPr>
          <w:rFonts w:cstheme="minorHAnsi"/>
          <w:sz w:val="24"/>
          <w:szCs w:val="24"/>
        </w:rPr>
        <w:t>”</w:t>
      </w:r>
      <w:r w:rsidR="00A77864" w:rsidRPr="004A50D5">
        <w:rPr>
          <w:rFonts w:cstheme="minorHAnsi"/>
          <w:sz w:val="24"/>
          <w:szCs w:val="24"/>
        </w:rPr>
        <w:t>.</w:t>
      </w:r>
      <w:r w:rsidR="00403398" w:rsidRPr="004A50D5">
        <w:rPr>
          <w:rStyle w:val="FootnoteReference"/>
          <w:rFonts w:cstheme="minorHAnsi"/>
          <w:sz w:val="24"/>
          <w:szCs w:val="24"/>
        </w:rPr>
        <w:footnoteReference w:id="11"/>
      </w:r>
      <w:r w:rsidR="00A77864" w:rsidRPr="004A50D5">
        <w:rPr>
          <w:rFonts w:cstheme="minorHAnsi"/>
          <w:sz w:val="24"/>
          <w:szCs w:val="24"/>
        </w:rPr>
        <w:t xml:space="preserve"> </w:t>
      </w:r>
      <w:r w:rsidRPr="004A50D5">
        <w:rPr>
          <w:rFonts w:cstheme="minorHAnsi"/>
          <w:sz w:val="24"/>
          <w:szCs w:val="24"/>
        </w:rPr>
        <w:t>HUD’s proposal blatantly ignores th</w:t>
      </w:r>
      <w:r w:rsidR="00DF087E" w:rsidRPr="004A50D5">
        <w:rPr>
          <w:rFonts w:cstheme="minorHAnsi"/>
          <w:sz w:val="24"/>
          <w:szCs w:val="24"/>
        </w:rPr>
        <w:t xml:space="preserve">e Supreme Court’s </w:t>
      </w:r>
      <w:r w:rsidR="00671036" w:rsidRPr="004A50D5">
        <w:rPr>
          <w:rFonts w:cstheme="minorHAnsi"/>
          <w:sz w:val="24"/>
          <w:szCs w:val="24"/>
        </w:rPr>
        <w:t>guidance</w:t>
      </w:r>
      <w:r w:rsidRPr="004A50D5">
        <w:rPr>
          <w:rFonts w:cstheme="minorHAnsi"/>
          <w:sz w:val="24"/>
          <w:szCs w:val="24"/>
        </w:rPr>
        <w:t xml:space="preserve"> by proposing that most zoning decisions will not be actionable under disparate impact theory: “Plaintiffs will likely not meet the standard, and HUD will not bring a disparate impact claim, alleging that a single event—such as a local government’s zoning decision or a developer’s decision to construct a new building in one location instead of another—is the cause of a disparate impact, unless the plaintiff can show that the single decision is the equivalent of a policy or practice.”</w:t>
      </w:r>
      <w:r w:rsidR="00671036" w:rsidRPr="004A50D5">
        <w:rPr>
          <w:rStyle w:val="FootnoteReference"/>
          <w:rFonts w:cstheme="minorHAnsi"/>
          <w:sz w:val="24"/>
          <w:szCs w:val="24"/>
        </w:rPr>
        <w:footnoteReference w:id="12"/>
      </w:r>
      <w:r w:rsidRPr="004A50D5">
        <w:rPr>
          <w:rFonts w:cstheme="minorHAnsi"/>
          <w:sz w:val="24"/>
          <w:szCs w:val="24"/>
        </w:rPr>
        <w:t xml:space="preserve"> </w:t>
      </w:r>
      <w:r w:rsidR="00DF087E" w:rsidRPr="004A50D5">
        <w:rPr>
          <w:rFonts w:cstheme="minorHAnsi"/>
          <w:sz w:val="24"/>
          <w:szCs w:val="24"/>
        </w:rPr>
        <w:t>In support of this proposition, HUD cites an unpublished district court case currently on appeal</w:t>
      </w:r>
      <w:r w:rsidR="00671036" w:rsidRPr="004A50D5">
        <w:rPr>
          <w:rFonts w:cstheme="minorHAnsi"/>
          <w:sz w:val="24"/>
          <w:szCs w:val="24"/>
        </w:rPr>
        <w:t>,</w:t>
      </w:r>
      <w:r w:rsidR="00DF087E" w:rsidRPr="004A50D5">
        <w:rPr>
          <w:rStyle w:val="FootnoteReference"/>
          <w:rFonts w:cstheme="minorHAnsi"/>
          <w:sz w:val="24"/>
          <w:szCs w:val="24"/>
        </w:rPr>
        <w:footnoteReference w:id="13"/>
      </w:r>
      <w:r w:rsidR="00DF087E" w:rsidRPr="004A50D5">
        <w:rPr>
          <w:rFonts w:cstheme="minorHAnsi"/>
          <w:sz w:val="24"/>
          <w:szCs w:val="24"/>
        </w:rPr>
        <w:t xml:space="preserve"> and ignores</w:t>
      </w:r>
      <w:r w:rsidR="00671036" w:rsidRPr="004A50D5">
        <w:rPr>
          <w:rFonts w:cstheme="minorHAnsi"/>
          <w:sz w:val="24"/>
          <w:szCs w:val="24"/>
        </w:rPr>
        <w:t xml:space="preserve"> Supreme Court and</w:t>
      </w:r>
      <w:r w:rsidR="00DF087E" w:rsidRPr="004A50D5">
        <w:rPr>
          <w:rFonts w:cstheme="minorHAnsi"/>
          <w:sz w:val="24"/>
          <w:szCs w:val="24"/>
        </w:rPr>
        <w:t xml:space="preserve"> circuit court decisions </w:t>
      </w:r>
      <w:r w:rsidR="00671036" w:rsidRPr="004A50D5">
        <w:rPr>
          <w:rFonts w:cstheme="minorHAnsi"/>
          <w:sz w:val="24"/>
          <w:szCs w:val="24"/>
        </w:rPr>
        <w:t xml:space="preserve">holding </w:t>
      </w:r>
      <w:r w:rsidR="00DF087E" w:rsidRPr="004A50D5">
        <w:rPr>
          <w:rFonts w:cstheme="minorHAnsi"/>
          <w:sz w:val="24"/>
          <w:szCs w:val="24"/>
        </w:rPr>
        <w:t xml:space="preserve">that individual zoning decisions are a </w:t>
      </w:r>
      <w:r w:rsidR="00DF087E" w:rsidRPr="004A50D5">
        <w:rPr>
          <w:rFonts w:cstheme="minorHAnsi"/>
          <w:sz w:val="24"/>
          <w:szCs w:val="24"/>
        </w:rPr>
        <w:lastRenderedPageBreak/>
        <w:t>proper target for disparate impact liability.</w:t>
      </w:r>
      <w:r w:rsidR="00DF087E" w:rsidRPr="004A50D5">
        <w:rPr>
          <w:rStyle w:val="FootnoteReference"/>
          <w:rFonts w:cstheme="minorHAnsi"/>
          <w:sz w:val="24"/>
          <w:szCs w:val="24"/>
        </w:rPr>
        <w:footnoteReference w:id="14"/>
      </w:r>
      <w:r w:rsidR="00DF087E" w:rsidRPr="004A50D5">
        <w:rPr>
          <w:rFonts w:cstheme="minorHAnsi"/>
          <w:sz w:val="24"/>
          <w:szCs w:val="24"/>
        </w:rPr>
        <w:t xml:space="preserve"> </w:t>
      </w:r>
      <w:r w:rsidR="00671036" w:rsidRPr="004A50D5">
        <w:rPr>
          <w:rFonts w:cstheme="minorHAnsi"/>
          <w:sz w:val="24"/>
          <w:szCs w:val="24"/>
        </w:rPr>
        <w:t>HUD’s proposal would improperly shield zoning and planning decisions from scrutiny under the Fair Housing Act.</w:t>
      </w:r>
    </w:p>
    <w:p w14:paraId="182FF7DA" w14:textId="2EBB1676" w:rsidR="004A50D5" w:rsidRPr="004A50D5" w:rsidRDefault="004A50D5" w:rsidP="00380EBA">
      <w:pPr>
        <w:rPr>
          <w:rFonts w:cstheme="minorHAnsi"/>
          <w:sz w:val="24"/>
          <w:szCs w:val="24"/>
        </w:rPr>
      </w:pPr>
      <w:r w:rsidRPr="004A50D5">
        <w:rPr>
          <w:rFonts w:cstheme="minorHAnsi"/>
          <w:sz w:val="24"/>
          <w:szCs w:val="24"/>
          <w:highlight w:val="yellow"/>
        </w:rPr>
        <w:t>In my community [please insert examples of how land use and zoning decisions have impacted where people of color, people with disabilities, families with children, or other protected groups can live in your community</w:t>
      </w:r>
      <w:r>
        <w:rPr>
          <w:rFonts w:cstheme="minorHAnsi"/>
          <w:sz w:val="24"/>
          <w:szCs w:val="24"/>
          <w:highlight w:val="yellow"/>
        </w:rPr>
        <w:t>.</w:t>
      </w:r>
      <w:r w:rsidR="009D4CA5">
        <w:rPr>
          <w:rFonts w:cstheme="minorHAnsi"/>
          <w:sz w:val="24"/>
          <w:szCs w:val="24"/>
          <w:highlight w:val="yellow"/>
        </w:rPr>
        <w:t xml:space="preserve"> For example, are multifamily developments or housing for people with disabilities limited to one part of the community</w:t>
      </w:r>
      <w:r w:rsidR="009D4CA5" w:rsidRPr="00950E1C">
        <w:rPr>
          <w:rFonts w:cstheme="minorHAnsi"/>
          <w:sz w:val="24"/>
          <w:szCs w:val="24"/>
          <w:highlight w:val="yellow"/>
        </w:rPr>
        <w:t>?</w:t>
      </w:r>
      <w:r w:rsidR="00950E1C" w:rsidRPr="00950E1C">
        <w:rPr>
          <w:rFonts w:cstheme="minorHAnsi"/>
          <w:sz w:val="24"/>
          <w:szCs w:val="24"/>
          <w:highlight w:val="yellow"/>
        </w:rPr>
        <w:t>]</w:t>
      </w:r>
    </w:p>
    <w:p w14:paraId="2E159118" w14:textId="70263669" w:rsidR="00982C87" w:rsidRPr="004A50D5" w:rsidRDefault="00982C87" w:rsidP="00982C87">
      <w:pPr>
        <w:pStyle w:val="ListParagraph"/>
        <w:numPr>
          <w:ilvl w:val="0"/>
          <w:numId w:val="3"/>
        </w:numPr>
        <w:rPr>
          <w:rFonts w:cstheme="minorHAnsi"/>
          <w:b/>
          <w:sz w:val="24"/>
          <w:szCs w:val="24"/>
        </w:rPr>
      </w:pPr>
      <w:r w:rsidRPr="004A50D5">
        <w:rPr>
          <w:rFonts w:cstheme="minorHAnsi"/>
          <w:b/>
          <w:sz w:val="24"/>
          <w:szCs w:val="24"/>
        </w:rPr>
        <w:t xml:space="preserve">Disparate impact </w:t>
      </w:r>
      <w:r w:rsidR="00950E1C">
        <w:rPr>
          <w:rFonts w:cstheme="minorHAnsi"/>
          <w:b/>
          <w:sz w:val="24"/>
          <w:szCs w:val="24"/>
        </w:rPr>
        <w:t xml:space="preserve">is </w:t>
      </w:r>
      <w:r w:rsidRPr="004A50D5">
        <w:rPr>
          <w:rFonts w:cstheme="minorHAnsi"/>
          <w:b/>
          <w:sz w:val="24"/>
          <w:szCs w:val="24"/>
        </w:rPr>
        <w:t xml:space="preserve">critical to </w:t>
      </w:r>
      <w:r w:rsidR="00A70B09">
        <w:rPr>
          <w:rFonts w:cstheme="minorHAnsi"/>
          <w:b/>
          <w:sz w:val="24"/>
          <w:szCs w:val="24"/>
        </w:rPr>
        <w:t>combat</w:t>
      </w:r>
      <w:r w:rsidR="001C4687" w:rsidRPr="004A50D5">
        <w:rPr>
          <w:rFonts w:cstheme="minorHAnsi"/>
          <w:b/>
          <w:sz w:val="24"/>
          <w:szCs w:val="24"/>
        </w:rPr>
        <w:t xml:space="preserve"> </w:t>
      </w:r>
      <w:r w:rsidRPr="004A50D5">
        <w:rPr>
          <w:rFonts w:cstheme="minorHAnsi"/>
          <w:b/>
          <w:sz w:val="24"/>
          <w:szCs w:val="24"/>
        </w:rPr>
        <w:t>implicit bias</w:t>
      </w:r>
    </w:p>
    <w:p w14:paraId="26D632BB" w14:textId="5B38F191" w:rsidR="00A77864" w:rsidRDefault="000D3B74" w:rsidP="00982C87">
      <w:pPr>
        <w:rPr>
          <w:rFonts w:cstheme="minorHAnsi"/>
          <w:bCs/>
          <w:sz w:val="24"/>
          <w:szCs w:val="24"/>
        </w:rPr>
      </w:pPr>
      <w:r w:rsidRPr="004A50D5">
        <w:rPr>
          <w:rFonts w:cstheme="minorHAnsi"/>
          <w:bCs/>
          <w:sz w:val="24"/>
          <w:szCs w:val="24"/>
        </w:rPr>
        <w:t xml:space="preserve">In </w:t>
      </w:r>
      <w:r w:rsidRPr="004A50D5">
        <w:rPr>
          <w:rFonts w:cstheme="minorHAnsi"/>
          <w:bCs/>
          <w:i/>
          <w:sz w:val="24"/>
          <w:szCs w:val="24"/>
        </w:rPr>
        <w:t xml:space="preserve">Inclusive Community Project </w:t>
      </w:r>
      <w:r w:rsidRPr="004A50D5">
        <w:rPr>
          <w:rFonts w:cstheme="minorHAnsi"/>
          <w:bCs/>
          <w:sz w:val="24"/>
          <w:szCs w:val="24"/>
        </w:rPr>
        <w:t xml:space="preserve">the Supreme Court acknowledged that </w:t>
      </w:r>
      <w:r w:rsidR="00982C87" w:rsidRPr="004A50D5">
        <w:rPr>
          <w:rFonts w:cstheme="minorHAnsi"/>
          <w:bCs/>
          <w:sz w:val="24"/>
          <w:szCs w:val="24"/>
        </w:rPr>
        <w:t>“</w:t>
      </w:r>
      <w:r w:rsidRPr="004A50D5">
        <w:rPr>
          <w:rFonts w:cstheme="minorHAnsi"/>
          <w:bCs/>
          <w:sz w:val="24"/>
          <w:szCs w:val="24"/>
        </w:rPr>
        <w:t>[r]</w:t>
      </w:r>
      <w:proofErr w:type="spellStart"/>
      <w:r w:rsidR="00982C87" w:rsidRPr="004A50D5">
        <w:rPr>
          <w:rFonts w:cstheme="minorHAnsi"/>
          <w:bCs/>
          <w:sz w:val="24"/>
          <w:szCs w:val="24"/>
        </w:rPr>
        <w:t>ecognition</w:t>
      </w:r>
      <w:proofErr w:type="spellEnd"/>
      <w:r w:rsidR="00982C87" w:rsidRPr="004A50D5">
        <w:rPr>
          <w:rFonts w:cstheme="minorHAnsi"/>
          <w:bCs/>
          <w:sz w:val="24"/>
          <w:szCs w:val="24"/>
        </w:rPr>
        <w:t xml:space="preserve"> of disparate-impact liability under the FHA also plays a role in uncovering discriminatory intent: It permits plaintiffs to counteract unconscious prejudices and disguised animus that escape easy classification as disparate treatment. In this way disparate-impact liability may prevent segregated housing patterns that might otherwise result from covert and illicit stereotyping.”</w:t>
      </w:r>
      <w:r w:rsidR="00982C87" w:rsidRPr="004A50D5">
        <w:rPr>
          <w:rStyle w:val="FootnoteReference"/>
          <w:rFonts w:cstheme="minorHAnsi"/>
          <w:bCs/>
          <w:sz w:val="24"/>
          <w:szCs w:val="24"/>
        </w:rPr>
        <w:footnoteReference w:id="15"/>
      </w:r>
      <w:r w:rsidR="00982C87" w:rsidRPr="004A50D5">
        <w:rPr>
          <w:rFonts w:cstheme="minorHAnsi"/>
          <w:bCs/>
          <w:sz w:val="24"/>
          <w:szCs w:val="24"/>
        </w:rPr>
        <w:t xml:space="preserve"> </w:t>
      </w:r>
      <w:r w:rsidRPr="004A50D5">
        <w:rPr>
          <w:rFonts w:cstheme="minorHAnsi"/>
          <w:bCs/>
          <w:sz w:val="24"/>
          <w:szCs w:val="24"/>
        </w:rPr>
        <w:t xml:space="preserve">By setting an impossibly high standard of proof for disparate impact liability, HUD seeks to foreclose use of disparate impact theory </w:t>
      </w:r>
      <w:r w:rsidR="004676EB" w:rsidRPr="004A50D5">
        <w:rPr>
          <w:rFonts w:cstheme="minorHAnsi"/>
          <w:bCs/>
          <w:sz w:val="24"/>
          <w:szCs w:val="24"/>
        </w:rPr>
        <w:t>that works to counteract</w:t>
      </w:r>
      <w:r w:rsidRPr="004A50D5">
        <w:rPr>
          <w:rFonts w:cstheme="minorHAnsi"/>
          <w:bCs/>
          <w:sz w:val="24"/>
          <w:szCs w:val="24"/>
        </w:rPr>
        <w:t xml:space="preserve"> the toxic impacts of implicit bias in housing decisions. </w:t>
      </w:r>
      <w:r w:rsidR="00A37702" w:rsidRPr="004A50D5">
        <w:rPr>
          <w:rFonts w:cstheme="minorHAnsi"/>
          <w:bCs/>
          <w:sz w:val="24"/>
          <w:szCs w:val="24"/>
        </w:rPr>
        <w:t>HUD’s proposal will make it much more difficult to realize the goals of housing integration.</w:t>
      </w:r>
    </w:p>
    <w:p w14:paraId="32983945" w14:textId="481E9A5A" w:rsidR="004A50D5" w:rsidRPr="004A50D5" w:rsidRDefault="004A50D5" w:rsidP="00982C87">
      <w:pPr>
        <w:rPr>
          <w:rFonts w:cstheme="minorHAnsi"/>
          <w:sz w:val="24"/>
          <w:szCs w:val="24"/>
        </w:rPr>
      </w:pPr>
      <w:r w:rsidRPr="004A50D5">
        <w:rPr>
          <w:rFonts w:cstheme="minorHAnsi"/>
          <w:bCs/>
          <w:sz w:val="24"/>
          <w:szCs w:val="24"/>
          <w:highlight w:val="yellow"/>
        </w:rPr>
        <w:t>Please insert examples of implicit bias that you have experienced in your community</w:t>
      </w:r>
      <w:r>
        <w:rPr>
          <w:rFonts w:cstheme="minorHAnsi"/>
          <w:bCs/>
          <w:sz w:val="24"/>
          <w:szCs w:val="24"/>
        </w:rPr>
        <w:t xml:space="preserve"> </w:t>
      </w:r>
    </w:p>
    <w:p w14:paraId="68CB874C" w14:textId="2CB312FF" w:rsidR="00AB498D" w:rsidRPr="004A50D5" w:rsidRDefault="00950E1C" w:rsidP="000C44B4">
      <w:pPr>
        <w:pStyle w:val="NoSpacing"/>
        <w:numPr>
          <w:ilvl w:val="0"/>
          <w:numId w:val="3"/>
        </w:numPr>
        <w:spacing w:line="360" w:lineRule="auto"/>
        <w:jc w:val="both"/>
        <w:rPr>
          <w:rStyle w:val="None"/>
          <w:rFonts w:asciiTheme="minorHAnsi" w:hAnsiTheme="minorHAnsi" w:cstheme="minorHAnsi"/>
          <w:b/>
          <w:bCs/>
          <w:iCs/>
          <w:sz w:val="24"/>
          <w:szCs w:val="24"/>
        </w:rPr>
      </w:pPr>
      <w:r>
        <w:rPr>
          <w:rStyle w:val="None"/>
          <w:rFonts w:asciiTheme="minorHAnsi" w:hAnsiTheme="minorHAnsi" w:cstheme="minorHAnsi"/>
          <w:b/>
          <w:bCs/>
          <w:iCs/>
          <w:sz w:val="24"/>
          <w:szCs w:val="24"/>
        </w:rPr>
        <w:t>We s</w:t>
      </w:r>
      <w:r w:rsidR="00AB498D" w:rsidRPr="004A50D5">
        <w:rPr>
          <w:rStyle w:val="None"/>
          <w:rFonts w:asciiTheme="minorHAnsi" w:hAnsiTheme="minorHAnsi" w:cstheme="minorHAnsi"/>
          <w:b/>
          <w:bCs/>
          <w:iCs/>
          <w:sz w:val="24"/>
          <w:szCs w:val="24"/>
        </w:rPr>
        <w:t xml:space="preserve">trongly </w:t>
      </w:r>
      <w:r>
        <w:rPr>
          <w:rStyle w:val="None"/>
          <w:rFonts w:asciiTheme="minorHAnsi" w:hAnsiTheme="minorHAnsi" w:cstheme="minorHAnsi"/>
          <w:b/>
          <w:bCs/>
          <w:iCs/>
          <w:sz w:val="24"/>
          <w:szCs w:val="24"/>
        </w:rPr>
        <w:t>o</w:t>
      </w:r>
      <w:r w:rsidR="00AB498D" w:rsidRPr="004A50D5">
        <w:rPr>
          <w:rStyle w:val="None"/>
          <w:rFonts w:asciiTheme="minorHAnsi" w:hAnsiTheme="minorHAnsi" w:cstheme="minorHAnsi"/>
          <w:b/>
          <w:bCs/>
          <w:iCs/>
          <w:sz w:val="24"/>
          <w:szCs w:val="24"/>
        </w:rPr>
        <w:t xml:space="preserve">ppose the </w:t>
      </w:r>
      <w:r>
        <w:rPr>
          <w:rStyle w:val="None"/>
          <w:rFonts w:asciiTheme="minorHAnsi" w:hAnsiTheme="minorHAnsi" w:cstheme="minorHAnsi"/>
          <w:b/>
          <w:bCs/>
          <w:iCs/>
          <w:sz w:val="24"/>
          <w:szCs w:val="24"/>
        </w:rPr>
        <w:t>p</w:t>
      </w:r>
      <w:r w:rsidR="00AB498D" w:rsidRPr="004A50D5">
        <w:rPr>
          <w:rStyle w:val="None"/>
          <w:rFonts w:asciiTheme="minorHAnsi" w:hAnsiTheme="minorHAnsi" w:cstheme="minorHAnsi"/>
          <w:b/>
          <w:bCs/>
          <w:iCs/>
          <w:sz w:val="24"/>
          <w:szCs w:val="24"/>
        </w:rPr>
        <w:t xml:space="preserve">roposed </w:t>
      </w:r>
      <w:r>
        <w:rPr>
          <w:rStyle w:val="None"/>
          <w:rFonts w:asciiTheme="minorHAnsi" w:hAnsiTheme="minorHAnsi" w:cstheme="minorHAnsi"/>
          <w:b/>
          <w:bCs/>
          <w:iCs/>
          <w:sz w:val="24"/>
          <w:szCs w:val="24"/>
        </w:rPr>
        <w:t>rule and c</w:t>
      </w:r>
      <w:r w:rsidR="00AB498D" w:rsidRPr="004A50D5">
        <w:rPr>
          <w:rStyle w:val="None"/>
          <w:rFonts w:asciiTheme="minorHAnsi" w:hAnsiTheme="minorHAnsi" w:cstheme="minorHAnsi"/>
          <w:b/>
          <w:bCs/>
          <w:iCs/>
          <w:sz w:val="24"/>
          <w:szCs w:val="24"/>
        </w:rPr>
        <w:t xml:space="preserve">all on </w:t>
      </w:r>
      <w:r>
        <w:rPr>
          <w:rStyle w:val="None"/>
          <w:rFonts w:asciiTheme="minorHAnsi" w:hAnsiTheme="minorHAnsi" w:cstheme="minorHAnsi"/>
          <w:b/>
          <w:bCs/>
          <w:iCs/>
          <w:sz w:val="24"/>
          <w:szCs w:val="24"/>
        </w:rPr>
        <w:t>HUD to withdraw i</w:t>
      </w:r>
      <w:r w:rsidR="00AB498D" w:rsidRPr="004A50D5">
        <w:rPr>
          <w:rStyle w:val="None"/>
          <w:rFonts w:asciiTheme="minorHAnsi" w:hAnsiTheme="minorHAnsi" w:cstheme="minorHAnsi"/>
          <w:b/>
          <w:bCs/>
          <w:iCs/>
          <w:sz w:val="24"/>
          <w:szCs w:val="24"/>
        </w:rPr>
        <w:t>t</w:t>
      </w:r>
    </w:p>
    <w:p w14:paraId="63126837" w14:textId="4C415E30" w:rsidR="00AB498D" w:rsidRPr="004A50D5" w:rsidRDefault="000C44B4" w:rsidP="000C44B4">
      <w:pPr>
        <w:pStyle w:val="NoSpacing"/>
        <w:spacing w:line="276" w:lineRule="auto"/>
        <w:jc w:val="both"/>
        <w:rPr>
          <w:rStyle w:val="None"/>
          <w:rFonts w:asciiTheme="minorHAnsi" w:hAnsiTheme="minorHAnsi" w:cstheme="minorHAnsi"/>
          <w:sz w:val="24"/>
          <w:szCs w:val="24"/>
        </w:rPr>
      </w:pPr>
      <w:r w:rsidRPr="004A50D5">
        <w:rPr>
          <w:rStyle w:val="None"/>
          <w:rFonts w:asciiTheme="minorHAnsi" w:hAnsiTheme="minorHAnsi" w:cstheme="minorHAnsi"/>
          <w:sz w:val="24"/>
          <w:szCs w:val="24"/>
        </w:rPr>
        <w:t>The Fair Housing Act was</w:t>
      </w:r>
      <w:r w:rsidR="00671036" w:rsidRPr="004A50D5">
        <w:rPr>
          <w:rStyle w:val="None"/>
          <w:rFonts w:asciiTheme="minorHAnsi" w:hAnsiTheme="minorHAnsi" w:cstheme="minorHAnsi"/>
          <w:sz w:val="24"/>
          <w:szCs w:val="24"/>
        </w:rPr>
        <w:t xml:space="preserve"> </w:t>
      </w:r>
      <w:r w:rsidR="009D4CA5">
        <w:rPr>
          <w:rStyle w:val="None"/>
          <w:rFonts w:asciiTheme="minorHAnsi" w:hAnsiTheme="minorHAnsi" w:cstheme="minorHAnsi"/>
          <w:sz w:val="24"/>
          <w:szCs w:val="24"/>
        </w:rPr>
        <w:t xml:space="preserve">enacted to promote integration. </w:t>
      </w:r>
      <w:r w:rsidRPr="004A50D5">
        <w:rPr>
          <w:rStyle w:val="None"/>
          <w:rFonts w:asciiTheme="minorHAnsi" w:hAnsiTheme="minorHAnsi" w:cstheme="minorHAnsi"/>
          <w:sz w:val="24"/>
          <w:szCs w:val="24"/>
        </w:rPr>
        <w:t xml:space="preserve">HUD’s proposed Rule ensures continued segregation and intentionally harms protected classes. </w:t>
      </w:r>
      <w:r w:rsidR="004676EB" w:rsidRPr="004A50D5">
        <w:rPr>
          <w:rStyle w:val="None"/>
          <w:rFonts w:asciiTheme="minorHAnsi" w:hAnsiTheme="minorHAnsi" w:cstheme="minorHAnsi"/>
          <w:sz w:val="24"/>
          <w:szCs w:val="24"/>
        </w:rPr>
        <w:t xml:space="preserve">This proposal is completely antithetical to HUD’s mission and serves the interests of certain industry groups, </w:t>
      </w:r>
      <w:r w:rsidR="009D4CA5">
        <w:rPr>
          <w:rStyle w:val="None"/>
          <w:rFonts w:asciiTheme="minorHAnsi" w:hAnsiTheme="minorHAnsi" w:cstheme="minorHAnsi"/>
          <w:sz w:val="24"/>
          <w:szCs w:val="24"/>
        </w:rPr>
        <w:t>while restricting</w:t>
      </w:r>
      <w:r w:rsidR="004676EB" w:rsidRPr="004A50D5">
        <w:rPr>
          <w:rStyle w:val="None"/>
          <w:rFonts w:asciiTheme="minorHAnsi" w:hAnsiTheme="minorHAnsi" w:cstheme="minorHAnsi"/>
          <w:sz w:val="24"/>
          <w:szCs w:val="24"/>
        </w:rPr>
        <w:t xml:space="preserve"> the rights of people who suffer housing discrimination every day. </w:t>
      </w:r>
      <w:r w:rsidRPr="004A50D5">
        <w:rPr>
          <w:rStyle w:val="None"/>
          <w:rFonts w:asciiTheme="minorHAnsi" w:hAnsiTheme="minorHAnsi" w:cstheme="minorHAnsi"/>
          <w:sz w:val="24"/>
          <w:szCs w:val="24"/>
        </w:rPr>
        <w:t>W</w:t>
      </w:r>
      <w:r w:rsidR="00AB498D" w:rsidRPr="004A50D5">
        <w:rPr>
          <w:rStyle w:val="None"/>
          <w:rFonts w:asciiTheme="minorHAnsi" w:hAnsiTheme="minorHAnsi" w:cstheme="minorHAnsi"/>
          <w:sz w:val="24"/>
          <w:szCs w:val="24"/>
        </w:rPr>
        <w:t>e oppose the proposed rule</w:t>
      </w:r>
      <w:r w:rsidR="009D4CA5">
        <w:rPr>
          <w:rStyle w:val="None"/>
          <w:rFonts w:asciiTheme="minorHAnsi" w:hAnsiTheme="minorHAnsi" w:cstheme="minorHAnsi"/>
          <w:sz w:val="24"/>
          <w:szCs w:val="24"/>
        </w:rPr>
        <w:t xml:space="preserve"> and call on HUD to withdraw it.</w:t>
      </w:r>
    </w:p>
    <w:p w14:paraId="5434FE9D" w14:textId="77777777" w:rsidR="00AB498D" w:rsidRPr="004A50D5" w:rsidRDefault="00AB498D" w:rsidP="000C44B4">
      <w:pPr>
        <w:pStyle w:val="NoSpacing"/>
        <w:spacing w:line="360" w:lineRule="auto"/>
        <w:jc w:val="both"/>
        <w:rPr>
          <w:rStyle w:val="None"/>
          <w:rFonts w:asciiTheme="minorHAnsi" w:hAnsiTheme="minorHAnsi" w:cstheme="minorHAnsi"/>
          <w:sz w:val="24"/>
          <w:szCs w:val="24"/>
        </w:rPr>
      </w:pPr>
    </w:p>
    <w:p w14:paraId="1018B7D0" w14:textId="77777777" w:rsidR="00AB498D" w:rsidRPr="004A50D5" w:rsidRDefault="00AB498D" w:rsidP="000C44B4">
      <w:pPr>
        <w:pStyle w:val="NoSpacing"/>
        <w:spacing w:line="360" w:lineRule="auto"/>
        <w:jc w:val="both"/>
        <w:rPr>
          <w:rStyle w:val="None"/>
          <w:rFonts w:asciiTheme="minorHAnsi" w:hAnsiTheme="minorHAnsi" w:cstheme="minorHAnsi"/>
          <w:sz w:val="24"/>
          <w:szCs w:val="24"/>
        </w:rPr>
      </w:pPr>
      <w:r w:rsidRPr="004A50D5">
        <w:rPr>
          <w:rStyle w:val="None"/>
          <w:rFonts w:asciiTheme="minorHAnsi" w:hAnsiTheme="minorHAnsi" w:cstheme="minorHAnsi"/>
          <w:sz w:val="24"/>
          <w:szCs w:val="24"/>
        </w:rPr>
        <w:t>Sincerely,</w:t>
      </w:r>
    </w:p>
    <w:p w14:paraId="1F5053D2" w14:textId="77777777" w:rsidR="00AB498D" w:rsidRPr="004A50D5" w:rsidRDefault="00AB498D" w:rsidP="000C44B4">
      <w:pPr>
        <w:pStyle w:val="Body"/>
        <w:shd w:val="clear" w:color="auto" w:fill="FFFFFF"/>
        <w:spacing w:after="0" w:line="360" w:lineRule="auto"/>
        <w:jc w:val="both"/>
        <w:rPr>
          <w:rStyle w:val="None"/>
          <w:rFonts w:asciiTheme="minorHAnsi" w:hAnsiTheme="minorHAnsi" w:cstheme="minorHAnsi"/>
          <w:sz w:val="24"/>
          <w:szCs w:val="24"/>
          <w:shd w:val="clear" w:color="auto" w:fill="FFFF00"/>
        </w:rPr>
      </w:pPr>
      <w:r w:rsidRPr="004A50D5">
        <w:rPr>
          <w:rStyle w:val="None"/>
          <w:rFonts w:asciiTheme="minorHAnsi" w:hAnsiTheme="minorHAnsi" w:cstheme="minorHAnsi"/>
          <w:sz w:val="24"/>
          <w:szCs w:val="24"/>
          <w:shd w:val="clear" w:color="auto" w:fill="FFFF00"/>
          <w:lang w:val="de-DE"/>
        </w:rPr>
        <w:t>YOUR SIGNATURE</w:t>
      </w:r>
    </w:p>
    <w:p w14:paraId="67AC6E09" w14:textId="77777777" w:rsidR="00AB498D" w:rsidRPr="004A50D5" w:rsidRDefault="00AB498D" w:rsidP="000C44B4">
      <w:pPr>
        <w:pStyle w:val="Body"/>
        <w:shd w:val="clear" w:color="auto" w:fill="FFFFFF"/>
        <w:spacing w:after="0" w:line="360" w:lineRule="auto"/>
        <w:jc w:val="both"/>
        <w:rPr>
          <w:rFonts w:asciiTheme="minorHAnsi" w:hAnsiTheme="minorHAnsi" w:cstheme="minorHAnsi"/>
          <w:sz w:val="24"/>
          <w:szCs w:val="24"/>
        </w:rPr>
      </w:pPr>
      <w:r w:rsidRPr="004A50D5">
        <w:rPr>
          <w:rStyle w:val="None"/>
          <w:rFonts w:asciiTheme="minorHAnsi" w:hAnsiTheme="minorHAnsi" w:cstheme="minorHAnsi"/>
          <w:sz w:val="24"/>
          <w:szCs w:val="24"/>
          <w:shd w:val="clear" w:color="auto" w:fill="FFFF00"/>
          <w:lang w:val="de-DE"/>
        </w:rPr>
        <w:t xml:space="preserve">YOUR NAME, </w:t>
      </w:r>
      <w:r w:rsidRPr="004A50D5">
        <w:rPr>
          <w:rStyle w:val="None"/>
          <w:rFonts w:asciiTheme="minorHAnsi" w:hAnsiTheme="minorHAnsi" w:cstheme="minorHAnsi"/>
          <w:sz w:val="24"/>
          <w:szCs w:val="24"/>
          <w:shd w:val="clear" w:color="auto" w:fill="FFFF00"/>
        </w:rPr>
        <w:t>YOUR TITLE</w:t>
      </w:r>
    </w:p>
    <w:p w14:paraId="5219BFFB" w14:textId="77777777" w:rsidR="00A77864" w:rsidRPr="004A50D5" w:rsidRDefault="00A77864" w:rsidP="00A77864">
      <w:pPr>
        <w:rPr>
          <w:rFonts w:cstheme="minorHAnsi"/>
          <w:sz w:val="24"/>
          <w:szCs w:val="24"/>
        </w:rPr>
      </w:pPr>
    </w:p>
    <w:p w14:paraId="40E6EDCE" w14:textId="77777777" w:rsidR="00A77864" w:rsidRPr="004A50D5" w:rsidRDefault="00A77864" w:rsidP="00A77864">
      <w:pPr>
        <w:rPr>
          <w:rFonts w:cstheme="minorHAnsi"/>
          <w:sz w:val="24"/>
          <w:szCs w:val="24"/>
        </w:rPr>
      </w:pPr>
    </w:p>
    <w:p w14:paraId="763DC7B5" w14:textId="77777777" w:rsidR="007C186F" w:rsidRPr="004A50D5" w:rsidRDefault="007C186F">
      <w:pPr>
        <w:rPr>
          <w:rFonts w:cstheme="minorHAnsi"/>
          <w:sz w:val="24"/>
          <w:szCs w:val="24"/>
        </w:rPr>
      </w:pPr>
    </w:p>
    <w:sectPr w:rsidR="007C186F" w:rsidRPr="004A50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C5BB3" w16cid:durableId="2123281F"/>
  <w16cid:commentId w16cid:paraId="71A80AE1" w16cid:durableId="21232691"/>
  <w16cid:commentId w16cid:paraId="11D9DFEC" w16cid:durableId="21232692"/>
  <w16cid:commentId w16cid:paraId="6E7009A5" w16cid:durableId="21232693"/>
  <w16cid:commentId w16cid:paraId="1BA7305D" w16cid:durableId="21232694"/>
  <w16cid:commentId w16cid:paraId="4AE4DCD7" w16cid:durableId="212327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4AB1F" w14:textId="77777777" w:rsidR="001D34C1" w:rsidRDefault="001D34C1" w:rsidP="00640533">
      <w:pPr>
        <w:spacing w:after="0" w:line="240" w:lineRule="auto"/>
      </w:pPr>
      <w:r>
        <w:separator/>
      </w:r>
    </w:p>
  </w:endnote>
  <w:endnote w:type="continuationSeparator" w:id="0">
    <w:p w14:paraId="27E0A2CF" w14:textId="77777777" w:rsidR="001D34C1" w:rsidRDefault="001D34C1" w:rsidP="0064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5B8A" w14:textId="77777777" w:rsidR="00DC0323" w:rsidRDefault="00DC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3374" w14:textId="77777777" w:rsidR="00DC0323" w:rsidRDefault="00DC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DA86" w14:textId="77777777" w:rsidR="00DC0323" w:rsidRDefault="00DC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4338" w14:textId="77777777" w:rsidR="001D34C1" w:rsidRDefault="001D34C1" w:rsidP="00640533">
      <w:pPr>
        <w:spacing w:after="0" w:line="240" w:lineRule="auto"/>
      </w:pPr>
      <w:r>
        <w:separator/>
      </w:r>
    </w:p>
  </w:footnote>
  <w:footnote w:type="continuationSeparator" w:id="0">
    <w:p w14:paraId="47999B1F" w14:textId="77777777" w:rsidR="001D34C1" w:rsidRDefault="001D34C1" w:rsidP="00640533">
      <w:pPr>
        <w:spacing w:after="0" w:line="240" w:lineRule="auto"/>
      </w:pPr>
      <w:r>
        <w:continuationSeparator/>
      </w:r>
    </w:p>
  </w:footnote>
  <w:footnote w:id="1">
    <w:p w14:paraId="5D9F92C9" w14:textId="77777777" w:rsidR="00640533" w:rsidRPr="007B2F9C" w:rsidRDefault="00640533" w:rsidP="00CC1A3C">
      <w:pPr>
        <w:spacing w:after="0"/>
        <w:rPr>
          <w:sz w:val="20"/>
          <w:szCs w:val="20"/>
        </w:rPr>
      </w:pPr>
      <w:r w:rsidRPr="007B2F9C">
        <w:rPr>
          <w:rStyle w:val="FootnoteReference"/>
          <w:sz w:val="20"/>
          <w:szCs w:val="20"/>
        </w:rPr>
        <w:footnoteRef/>
      </w:r>
      <w:r w:rsidRPr="007B2F9C">
        <w:rPr>
          <w:sz w:val="20"/>
          <w:szCs w:val="20"/>
        </w:rPr>
        <w:t xml:space="preserve"> </w:t>
      </w:r>
      <w:r w:rsidRPr="007B2F9C">
        <w:rPr>
          <w:i/>
          <w:iCs/>
          <w:sz w:val="20"/>
          <w:szCs w:val="20"/>
        </w:rPr>
        <w:t>Texas Dept. of Housing and Community Affairs v. Inclusive Communities Project, Inc.</w:t>
      </w:r>
      <w:r w:rsidRPr="007B2F9C">
        <w:rPr>
          <w:sz w:val="20"/>
          <w:szCs w:val="20"/>
        </w:rPr>
        <w:t xml:space="preserve"> (2015) 135 </w:t>
      </w:r>
      <w:proofErr w:type="spellStart"/>
      <w:r w:rsidRPr="007B2F9C">
        <w:rPr>
          <w:sz w:val="20"/>
          <w:szCs w:val="20"/>
        </w:rPr>
        <w:t>S.Ct</w:t>
      </w:r>
      <w:proofErr w:type="spellEnd"/>
      <w:r w:rsidRPr="007B2F9C">
        <w:rPr>
          <w:sz w:val="20"/>
          <w:szCs w:val="20"/>
        </w:rPr>
        <w:t>. 2507, 2521</w:t>
      </w:r>
      <w:r w:rsidR="00982C87" w:rsidRPr="007B2F9C">
        <w:rPr>
          <w:sz w:val="20"/>
          <w:szCs w:val="20"/>
        </w:rPr>
        <w:t>.</w:t>
      </w:r>
    </w:p>
  </w:footnote>
  <w:footnote w:id="2">
    <w:p w14:paraId="4DCF22A1" w14:textId="58476209" w:rsidR="00640533" w:rsidRPr="007B2F9C" w:rsidRDefault="00640533" w:rsidP="00640533">
      <w:pPr>
        <w:pStyle w:val="FootnoteText"/>
      </w:pPr>
      <w:r w:rsidRPr="007B2F9C">
        <w:rPr>
          <w:rStyle w:val="FootnoteReference"/>
        </w:rPr>
        <w:footnoteRef/>
      </w:r>
      <w:r w:rsidRPr="007B2F9C">
        <w:t xml:space="preserve"> 42 U.S.C. </w:t>
      </w:r>
      <w:r w:rsidR="00CC1A3C">
        <w:rPr>
          <w:rFonts w:cstheme="minorHAnsi"/>
        </w:rPr>
        <w:t>§</w:t>
      </w:r>
      <w:r w:rsidR="00CC1A3C">
        <w:t xml:space="preserve"> </w:t>
      </w:r>
      <w:r w:rsidRPr="007B2F9C">
        <w:t xml:space="preserve">3601, quoted at </w:t>
      </w:r>
      <w:r w:rsidRPr="007B2F9C">
        <w:rPr>
          <w:i/>
          <w:iCs/>
        </w:rPr>
        <w:t>Texas Dept. of Housing and Community Affairs v. Inclusive Communities Project, Inc.</w:t>
      </w:r>
      <w:r w:rsidRPr="007B2F9C">
        <w:t xml:space="preserve"> (2015) 135 </w:t>
      </w:r>
      <w:proofErr w:type="spellStart"/>
      <w:r w:rsidRPr="007B2F9C">
        <w:t>S.Ct</w:t>
      </w:r>
      <w:proofErr w:type="spellEnd"/>
      <w:r w:rsidRPr="007B2F9C">
        <w:t>. 2507, 2521</w:t>
      </w:r>
      <w:r w:rsidR="007B2F9C" w:rsidRPr="007B2F9C">
        <w:t>.</w:t>
      </w:r>
    </w:p>
    <w:p w14:paraId="1E704CC3" w14:textId="77777777" w:rsidR="00640533" w:rsidRDefault="00640533">
      <w:pPr>
        <w:pStyle w:val="FootnoteText"/>
      </w:pPr>
    </w:p>
  </w:footnote>
  <w:footnote w:id="3">
    <w:p w14:paraId="1F9DF506" w14:textId="1C8BD35C" w:rsidR="007B2F9C" w:rsidRDefault="007B2F9C">
      <w:pPr>
        <w:pStyle w:val="FootnoteText"/>
      </w:pPr>
      <w:r>
        <w:rPr>
          <w:rStyle w:val="FootnoteReference"/>
        </w:rPr>
        <w:footnoteRef/>
      </w:r>
      <w:r>
        <w:t xml:space="preserve"> </w:t>
      </w:r>
      <w:r w:rsidRPr="007B2F9C">
        <w:rPr>
          <w:i/>
          <w:iCs/>
        </w:rPr>
        <w:t>Texas Dept. of Housing and Community Affairs v. Inclusive Communities Project, Inc.</w:t>
      </w:r>
      <w:r w:rsidRPr="007B2F9C">
        <w:t xml:space="preserve"> (2015) 135 </w:t>
      </w:r>
      <w:proofErr w:type="spellStart"/>
      <w:r w:rsidRPr="007B2F9C">
        <w:t>S.Ct</w:t>
      </w:r>
      <w:proofErr w:type="spellEnd"/>
      <w:r w:rsidRPr="007B2F9C">
        <w:t>. 2507, 2519</w:t>
      </w:r>
      <w:r>
        <w:t>-2520</w:t>
      </w:r>
      <w:r w:rsidR="005841DC">
        <w:t xml:space="preserve">, 2523 </w:t>
      </w:r>
      <w:r>
        <w:t>(discussing legislative history showing that Congress ratified unanimous conclusion of nine Courts of Appeal all of which found that the FHA is properly interpreted to include disparate impact liability</w:t>
      </w:r>
      <w:r w:rsidR="005841DC">
        <w:t>, and HUD rulemaking</w:t>
      </w:r>
      <w:r>
        <w:t>).</w:t>
      </w:r>
    </w:p>
  </w:footnote>
  <w:footnote w:id="4">
    <w:p w14:paraId="712D5A49" w14:textId="2A2B93D0" w:rsidR="00412647" w:rsidRDefault="00412647" w:rsidP="00412647">
      <w:pPr>
        <w:pStyle w:val="FootnoteText"/>
      </w:pPr>
      <w:r>
        <w:rPr>
          <w:rStyle w:val="FootnoteReference"/>
        </w:rPr>
        <w:footnoteRef/>
      </w:r>
      <w:r>
        <w:t xml:space="preserve"> </w:t>
      </w:r>
      <w:r w:rsidRPr="00412647">
        <w:rPr>
          <w:rFonts w:cstheme="minorHAnsi"/>
          <w:i/>
          <w:color w:val="000000" w:themeColor="text1"/>
        </w:rPr>
        <w:t>HUD’s Implementation of the Fair Housing Act’s Disparate Impact Standard</w:t>
      </w:r>
      <w:r w:rsidRPr="00CC1A3C">
        <w:rPr>
          <w:rFonts w:cstheme="minorHAnsi"/>
          <w:color w:val="000000" w:themeColor="text1"/>
        </w:rPr>
        <w:t xml:space="preserve">, </w:t>
      </w:r>
      <w:r w:rsidR="00CC1A3C">
        <w:rPr>
          <w:rFonts w:cstheme="minorHAnsi"/>
          <w:color w:val="000000" w:themeColor="text1"/>
        </w:rPr>
        <w:t xml:space="preserve">(Aug. 19, 2019) </w:t>
      </w:r>
      <w:r w:rsidRPr="00412647">
        <w:rPr>
          <w:rFonts w:cstheme="minorHAnsi"/>
          <w:color w:val="000000" w:themeColor="text1"/>
        </w:rPr>
        <w:t>FR-6111-P-02, RIN 2529-AA98</w:t>
      </w:r>
      <w:r>
        <w:rPr>
          <w:rFonts w:cstheme="minorHAnsi"/>
          <w:color w:val="000000" w:themeColor="text1"/>
        </w:rPr>
        <w:t xml:space="preserve"> </w:t>
      </w:r>
      <w:r w:rsidRPr="00412647">
        <w:rPr>
          <w:rFonts w:cstheme="minorHAnsi"/>
          <w:color w:val="000000" w:themeColor="text1"/>
        </w:rPr>
        <w:t>at 42860.</w:t>
      </w:r>
    </w:p>
  </w:footnote>
  <w:footnote w:id="5">
    <w:p w14:paraId="68521E9E" w14:textId="61BB799B" w:rsidR="009D6AA4" w:rsidRDefault="009D6AA4">
      <w:pPr>
        <w:pStyle w:val="FootnoteText"/>
      </w:pPr>
      <w:r>
        <w:rPr>
          <w:rStyle w:val="FootnoteReference"/>
        </w:rPr>
        <w:footnoteRef/>
      </w:r>
      <w:r>
        <w:t xml:space="preserve"> </w:t>
      </w:r>
      <w:r w:rsidRPr="009D6AA4">
        <w:rPr>
          <w:i/>
        </w:rPr>
        <w:t>Implementation of the Fair Housing Act's Discriminatory Effects Standard</w:t>
      </w:r>
      <w:r w:rsidRPr="009D6AA4">
        <w:t xml:space="preserve">, </w:t>
      </w:r>
      <w:r w:rsidR="00CC1A3C">
        <w:t xml:space="preserve">(Feb. 15, 2013) </w:t>
      </w:r>
      <w:r w:rsidRPr="009D6AA4">
        <w:t xml:space="preserve">78 FR 11460-01, </w:t>
      </w:r>
      <w:r>
        <w:t xml:space="preserve">24 C.F.R. </w:t>
      </w:r>
      <w:r w:rsidRPr="009D6AA4">
        <w:t>100.500(c</w:t>
      </w:r>
      <w:proofErr w:type="gramStart"/>
      <w:r w:rsidRPr="009D6AA4">
        <w:t>)(</w:t>
      </w:r>
      <w:proofErr w:type="gramEnd"/>
      <w:r w:rsidRPr="009D6AA4">
        <w:t>2)</w:t>
      </w:r>
      <w:r>
        <w:t>.</w:t>
      </w:r>
    </w:p>
  </w:footnote>
  <w:footnote w:id="6">
    <w:p w14:paraId="4B911947" w14:textId="5BD0559B" w:rsidR="00045D24" w:rsidRDefault="00045D24" w:rsidP="00045D24">
      <w:pPr>
        <w:pStyle w:val="FootnoteText"/>
      </w:pPr>
      <w:r>
        <w:rPr>
          <w:rStyle w:val="FootnoteReference"/>
        </w:rPr>
        <w:footnoteRef/>
      </w:r>
      <w:r>
        <w:t xml:space="preserve"> </w:t>
      </w:r>
      <w:r w:rsidRPr="00045D24">
        <w:rPr>
          <w:i/>
        </w:rPr>
        <w:t>Racial Segregation in the San Francisco Bay Area</w:t>
      </w:r>
      <w:r>
        <w:t xml:space="preserve">, Part 1, Stephen </w:t>
      </w:r>
      <w:proofErr w:type="spellStart"/>
      <w:r>
        <w:t>Menendian</w:t>
      </w:r>
      <w:proofErr w:type="spellEnd"/>
      <w:r>
        <w:t xml:space="preserve"> and Samir </w:t>
      </w:r>
      <w:proofErr w:type="spellStart"/>
      <w:r>
        <w:t>Gambhir</w:t>
      </w:r>
      <w:proofErr w:type="spellEnd"/>
      <w:r>
        <w:t xml:space="preserve"> (Oct. 29, 2018) Available at: </w:t>
      </w:r>
      <w:hyperlink r:id="rId1" w:history="1">
        <w:r w:rsidRPr="00353912">
          <w:rPr>
            <w:rStyle w:val="Hyperlink"/>
          </w:rPr>
          <w:t>https://haasinstitute.berkeley.edu/racial-segregation-san-francisco-bay-area</w:t>
        </w:r>
      </w:hyperlink>
      <w:r>
        <w:t xml:space="preserve">. </w:t>
      </w:r>
    </w:p>
  </w:footnote>
  <w:footnote w:id="7">
    <w:p w14:paraId="72AF3902" w14:textId="05204435" w:rsidR="009D4CA5" w:rsidRDefault="009D4CA5">
      <w:pPr>
        <w:pStyle w:val="FootnoteText"/>
      </w:pPr>
      <w:r>
        <w:rPr>
          <w:rStyle w:val="FootnoteReference"/>
        </w:rPr>
        <w:footnoteRef/>
      </w:r>
      <w:r>
        <w:t xml:space="preserve"> </w:t>
      </w:r>
      <w:r w:rsidRPr="00403398">
        <w:rPr>
          <w:i/>
        </w:rPr>
        <w:t>See e.g.</w:t>
      </w:r>
      <w:r>
        <w:t xml:space="preserve"> </w:t>
      </w:r>
      <w:r w:rsidRPr="00403398">
        <w:rPr>
          <w:i/>
          <w:iCs/>
        </w:rPr>
        <w:t>Metropolitan Housing Development Corp. v. Village of Arlington Heights</w:t>
      </w:r>
      <w:r w:rsidRPr="00403398">
        <w:t xml:space="preserve"> (7th Cir. 1977) 558 F.2d 1283, 1290</w:t>
      </w:r>
      <w:r>
        <w:t xml:space="preserve"> (“</w:t>
      </w:r>
      <w:r w:rsidRPr="00403398">
        <w:t>There are two kinds of racially discriminatory effects which a facially neutral decision about housing can produce. The first occurs when that decision has a greater adverse impact on one racial group than on another. The second is the effect which the decision has on the community involved; if it perpetuates segregation and thereby prevents interracial association it will be considered invidious under the Fair Housing Act</w:t>
      </w:r>
      <w:r>
        <w:t>”).</w:t>
      </w:r>
    </w:p>
  </w:footnote>
  <w:footnote w:id="8">
    <w:p w14:paraId="0007840F" w14:textId="57530B73" w:rsidR="001C0652" w:rsidRDefault="001C0652">
      <w:pPr>
        <w:pStyle w:val="FootnoteText"/>
      </w:pPr>
      <w:r>
        <w:rPr>
          <w:rStyle w:val="FootnoteReference"/>
        </w:rPr>
        <w:footnoteRef/>
      </w:r>
      <w:r>
        <w:t xml:space="preserve"> </w:t>
      </w:r>
      <w:r w:rsidR="00671036" w:rsidRPr="00412647">
        <w:rPr>
          <w:rFonts w:cstheme="minorHAnsi"/>
          <w:i/>
          <w:color w:val="000000" w:themeColor="text1"/>
        </w:rPr>
        <w:t xml:space="preserve">HUD’s Implementation of the Fair Housing Act’s Disparate Impact Standard, </w:t>
      </w:r>
      <w:r w:rsidR="00CC1A3C">
        <w:rPr>
          <w:rFonts w:cstheme="minorHAnsi"/>
          <w:color w:val="000000" w:themeColor="text1"/>
        </w:rPr>
        <w:t xml:space="preserve">(Aug. 19, 2019) </w:t>
      </w:r>
      <w:r w:rsidR="00671036" w:rsidRPr="00412647">
        <w:rPr>
          <w:rFonts w:cstheme="minorHAnsi"/>
          <w:color w:val="000000" w:themeColor="text1"/>
        </w:rPr>
        <w:t>FR-6111-P-02, RIN 2529-AA98</w:t>
      </w:r>
      <w:r w:rsidR="00671036">
        <w:rPr>
          <w:rFonts w:cstheme="minorHAnsi"/>
          <w:color w:val="000000" w:themeColor="text1"/>
        </w:rPr>
        <w:t>.</w:t>
      </w:r>
    </w:p>
  </w:footnote>
  <w:footnote w:id="9">
    <w:p w14:paraId="3CC3871A" w14:textId="41E73180" w:rsidR="005532C0" w:rsidRDefault="005532C0">
      <w:pPr>
        <w:pStyle w:val="FootnoteText"/>
      </w:pPr>
      <w:r>
        <w:rPr>
          <w:rStyle w:val="FootnoteReference"/>
        </w:rPr>
        <w:footnoteRef/>
      </w:r>
      <w:r>
        <w:t xml:space="preserve"> </w:t>
      </w:r>
      <w:r w:rsidR="00CC1A3C">
        <w:t xml:space="preserve"> </w:t>
      </w:r>
      <w:r w:rsidR="00CC1A3C" w:rsidRPr="00CC1A3C">
        <w:rPr>
          <w:i/>
        </w:rPr>
        <w:t>See e.g</w:t>
      </w:r>
      <w:r w:rsidR="00CC1A3C">
        <w:t xml:space="preserve">., </w:t>
      </w:r>
      <w:r w:rsidR="00CC1A3C" w:rsidRPr="00CC1A3C">
        <w:rPr>
          <w:i/>
        </w:rPr>
        <w:t>Rising Housing Costs and Re-Segregation in the San Francisco Bay Area</w:t>
      </w:r>
      <w:r w:rsidR="00CC1A3C">
        <w:t xml:space="preserve">, </w:t>
      </w:r>
      <w:r w:rsidR="00CC1A3C" w:rsidRPr="00CC1A3C">
        <w:t>UC Berkeley’s Urban Displacement Project and the California Housing Partnership</w:t>
      </w:r>
      <w:r w:rsidR="00CC1A3C">
        <w:t xml:space="preserve">, </w:t>
      </w:r>
      <w:r w:rsidR="00CC1A3C" w:rsidRPr="00CC1A3C">
        <w:t xml:space="preserve">Philip </w:t>
      </w:r>
      <w:proofErr w:type="spellStart"/>
      <w:r w:rsidR="00CC1A3C" w:rsidRPr="00CC1A3C">
        <w:t>Verma</w:t>
      </w:r>
      <w:proofErr w:type="spellEnd"/>
      <w:r w:rsidR="00CC1A3C" w:rsidRPr="00CC1A3C">
        <w:t xml:space="preserve">, Dan </w:t>
      </w:r>
      <w:proofErr w:type="spellStart"/>
      <w:r w:rsidR="00CC1A3C" w:rsidRPr="00CC1A3C">
        <w:t>Rinzler</w:t>
      </w:r>
      <w:proofErr w:type="spellEnd"/>
      <w:r w:rsidR="00CC1A3C" w:rsidRPr="00CC1A3C">
        <w:t>, Eli Kaplan, and Miriam</w:t>
      </w:r>
      <w:r w:rsidR="00CC1A3C">
        <w:t xml:space="preserve"> </w:t>
      </w:r>
      <w:proofErr w:type="spellStart"/>
      <w:r w:rsidR="00CC1A3C" w:rsidRPr="00CC1A3C">
        <w:t>Zuk</w:t>
      </w:r>
      <w:proofErr w:type="spellEnd"/>
      <w:r w:rsidR="00CC1A3C">
        <w:t xml:space="preserve">. Available at: </w:t>
      </w:r>
      <w:r w:rsidRPr="005532C0">
        <w:t>https://www.urbandisplacement.org/sites/default/files/images/bay_area_re-segregation_rising_housing_costs_report_2019.pdf</w:t>
      </w:r>
    </w:p>
  </w:footnote>
  <w:footnote w:id="10">
    <w:p w14:paraId="166A5319" w14:textId="77777777" w:rsidR="00060716" w:rsidRPr="00671036" w:rsidRDefault="00060716" w:rsidP="00060716">
      <w:pPr>
        <w:pStyle w:val="FootnoteText"/>
      </w:pPr>
      <w:r w:rsidRPr="00671036">
        <w:rPr>
          <w:rStyle w:val="FootnoteReference"/>
        </w:rPr>
        <w:footnoteRef/>
      </w:r>
      <w:r w:rsidRPr="00671036">
        <w:t xml:space="preserve">   </w:t>
      </w:r>
      <w:r w:rsidRPr="00671036">
        <w:rPr>
          <w:i/>
        </w:rPr>
        <w:t>The Opportunity Atlas: Mapping the Childhood Roots of Social Mobility</w:t>
      </w:r>
      <w:r w:rsidRPr="00671036">
        <w:rPr>
          <w:rFonts w:ascii="Cambria Math" w:hAnsi="Cambria Math" w:cs="Cambria Math"/>
        </w:rPr>
        <w:t xml:space="preserve">, by </w:t>
      </w:r>
      <w:r w:rsidRPr="00671036">
        <w:t xml:space="preserve">Raj </w:t>
      </w:r>
      <w:proofErr w:type="spellStart"/>
      <w:r w:rsidRPr="00671036">
        <w:t>Chetty</w:t>
      </w:r>
      <w:proofErr w:type="spellEnd"/>
      <w:r w:rsidRPr="00671036">
        <w:t xml:space="preserve">, John N. Friedman, Nathaniel </w:t>
      </w:r>
      <w:proofErr w:type="spellStart"/>
      <w:r w:rsidRPr="00671036">
        <w:t>Hendren</w:t>
      </w:r>
      <w:proofErr w:type="spellEnd"/>
      <w:r w:rsidRPr="00671036">
        <w:t>, Maggie R. Jones, Sonya R. Porter, October 2018, at p. 25. Available at: https://opportunityinsights.org/wp-content/uploads/2018/10/atlas_paper.pdf</w:t>
      </w:r>
    </w:p>
  </w:footnote>
  <w:footnote w:id="11">
    <w:p w14:paraId="4229CBC1" w14:textId="2E7265B3" w:rsidR="00403398" w:rsidRPr="00671036" w:rsidRDefault="00403398">
      <w:pPr>
        <w:pStyle w:val="FootnoteText"/>
      </w:pPr>
      <w:r w:rsidRPr="00671036">
        <w:rPr>
          <w:rStyle w:val="FootnoteReference"/>
        </w:rPr>
        <w:footnoteRef/>
      </w:r>
      <w:r w:rsidRPr="00671036">
        <w:t xml:space="preserve"> </w:t>
      </w:r>
      <w:r w:rsidRPr="00671036">
        <w:rPr>
          <w:rFonts w:cstheme="minorHAnsi"/>
          <w:i/>
        </w:rPr>
        <w:t>See, e.g., Huntington v. Huntington Branch, NAACP</w:t>
      </w:r>
      <w:r w:rsidRPr="00671036">
        <w:rPr>
          <w:rFonts w:cstheme="minorHAnsi"/>
        </w:rPr>
        <w:t xml:space="preserve">, 488 U.S. 15, 16–18, 109 </w:t>
      </w:r>
      <w:proofErr w:type="spellStart"/>
      <w:r w:rsidRPr="00671036">
        <w:rPr>
          <w:rFonts w:cstheme="minorHAnsi"/>
        </w:rPr>
        <w:t>S.Ct</w:t>
      </w:r>
      <w:proofErr w:type="spellEnd"/>
      <w:r w:rsidRPr="00671036">
        <w:rPr>
          <w:rFonts w:cstheme="minorHAnsi"/>
        </w:rPr>
        <w:t>. 276.</w:t>
      </w:r>
    </w:p>
  </w:footnote>
  <w:footnote w:id="12">
    <w:p w14:paraId="1D86D558" w14:textId="46C2CE18" w:rsidR="00671036" w:rsidRDefault="00671036">
      <w:pPr>
        <w:pStyle w:val="FootnoteText"/>
      </w:pPr>
      <w:r>
        <w:rPr>
          <w:rStyle w:val="FootnoteReference"/>
        </w:rPr>
        <w:footnoteRef/>
      </w:r>
      <w:r>
        <w:t xml:space="preserve"> </w:t>
      </w:r>
      <w:r w:rsidRPr="00412647">
        <w:rPr>
          <w:rFonts w:cstheme="minorHAnsi"/>
          <w:i/>
          <w:color w:val="000000" w:themeColor="text1"/>
        </w:rPr>
        <w:t xml:space="preserve">HUD’s Implementation of the Fair Housing Act’s Disparate Impact Standard, </w:t>
      </w:r>
      <w:r w:rsidR="00CC1A3C">
        <w:rPr>
          <w:rFonts w:cstheme="minorHAnsi"/>
          <w:color w:val="000000" w:themeColor="text1"/>
        </w:rPr>
        <w:t xml:space="preserve">(Aug. 19, 2019) </w:t>
      </w:r>
      <w:r w:rsidRPr="00412647">
        <w:rPr>
          <w:rFonts w:cstheme="minorHAnsi"/>
          <w:color w:val="000000" w:themeColor="text1"/>
        </w:rPr>
        <w:t>FR-6111-P-02, RIN 2529-AA98</w:t>
      </w:r>
      <w:r>
        <w:rPr>
          <w:rFonts w:cstheme="minorHAnsi"/>
          <w:color w:val="000000" w:themeColor="text1"/>
        </w:rPr>
        <w:t xml:space="preserve"> </w:t>
      </w:r>
      <w:r w:rsidRPr="00412647">
        <w:rPr>
          <w:rFonts w:cstheme="minorHAnsi"/>
          <w:color w:val="000000" w:themeColor="text1"/>
        </w:rPr>
        <w:t>at 428</w:t>
      </w:r>
      <w:r w:rsidR="003B5839">
        <w:rPr>
          <w:rFonts w:cstheme="minorHAnsi"/>
          <w:color w:val="000000" w:themeColor="text1"/>
        </w:rPr>
        <w:t>58</w:t>
      </w:r>
      <w:r w:rsidRPr="00412647">
        <w:rPr>
          <w:rFonts w:cstheme="minorHAnsi"/>
          <w:color w:val="000000" w:themeColor="text1"/>
        </w:rPr>
        <w:t>.</w:t>
      </w:r>
    </w:p>
  </w:footnote>
  <w:footnote w:id="13">
    <w:p w14:paraId="0210B411" w14:textId="02C72F68" w:rsidR="00DF087E" w:rsidRPr="00671036" w:rsidRDefault="00DF087E" w:rsidP="00DF087E">
      <w:pPr>
        <w:pStyle w:val="FootnoteText"/>
      </w:pPr>
      <w:r w:rsidRPr="00671036">
        <w:rPr>
          <w:rStyle w:val="FootnoteReference"/>
        </w:rPr>
        <w:footnoteRef/>
      </w:r>
      <w:r w:rsidRPr="00671036">
        <w:t xml:space="preserve"> </w:t>
      </w:r>
      <w:r w:rsidRPr="00671036">
        <w:rPr>
          <w:i/>
        </w:rPr>
        <w:t>Barrow v. Barrow</w:t>
      </w:r>
      <w:r w:rsidRPr="00671036">
        <w:t xml:space="preserve"> (D. Mass., July 5, 2017, No. CV 16-11493-FDS) 2017 WL 2872820, at *3</w:t>
      </w:r>
      <w:r w:rsidR="009D4CA5">
        <w:t>.</w:t>
      </w:r>
    </w:p>
  </w:footnote>
  <w:footnote w:id="14">
    <w:p w14:paraId="4A6EB8C9" w14:textId="2491BA5B" w:rsidR="00DF087E" w:rsidRPr="00671036" w:rsidRDefault="00DF087E" w:rsidP="00DF087E">
      <w:pPr>
        <w:pStyle w:val="FootnoteText"/>
      </w:pPr>
      <w:r w:rsidRPr="00671036">
        <w:rPr>
          <w:rStyle w:val="FootnoteReference"/>
        </w:rPr>
        <w:footnoteRef/>
      </w:r>
      <w:r w:rsidRPr="00671036">
        <w:t xml:space="preserve"> </w:t>
      </w:r>
      <w:proofErr w:type="spellStart"/>
      <w:r w:rsidRPr="003B5839">
        <w:rPr>
          <w:i/>
        </w:rPr>
        <w:t>Mhany</w:t>
      </w:r>
      <w:proofErr w:type="spellEnd"/>
      <w:r w:rsidRPr="003B5839">
        <w:rPr>
          <w:i/>
        </w:rPr>
        <w:t xml:space="preserve"> Management, Inc. v. County of Nassau </w:t>
      </w:r>
      <w:r w:rsidRPr="00671036">
        <w:t>(2d Cir. 2016) 819 F.3d 581, 619</w:t>
      </w:r>
      <w:r w:rsidR="003B5839">
        <w:t>.</w:t>
      </w:r>
    </w:p>
  </w:footnote>
  <w:footnote w:id="15">
    <w:p w14:paraId="553D9940" w14:textId="6879DEE1" w:rsidR="00982C87" w:rsidRDefault="00982C87">
      <w:pPr>
        <w:pStyle w:val="FootnoteText"/>
      </w:pPr>
      <w:r w:rsidRPr="00671036">
        <w:rPr>
          <w:rStyle w:val="FootnoteReference"/>
        </w:rPr>
        <w:footnoteRef/>
      </w:r>
      <w:r w:rsidRPr="00671036">
        <w:t xml:space="preserve"> </w:t>
      </w:r>
      <w:r w:rsidRPr="00671036">
        <w:rPr>
          <w:rFonts w:cstheme="minorHAnsi"/>
          <w:bCs/>
          <w:i/>
        </w:rPr>
        <w:t xml:space="preserve">Texas Dept. of Housing and Community Affairs v. Inclusive Communities Project, Inc. </w:t>
      </w:r>
      <w:r w:rsidRPr="00671036">
        <w:rPr>
          <w:rFonts w:cstheme="minorHAnsi"/>
          <w:bCs/>
        </w:rPr>
        <w:t xml:space="preserve">(2015) 135 </w:t>
      </w:r>
      <w:proofErr w:type="spellStart"/>
      <w:r w:rsidRPr="00671036">
        <w:rPr>
          <w:rFonts w:cstheme="minorHAnsi"/>
          <w:bCs/>
        </w:rPr>
        <w:t>S.Ct</w:t>
      </w:r>
      <w:proofErr w:type="spellEnd"/>
      <w:r w:rsidRPr="00671036">
        <w:rPr>
          <w:rFonts w:cstheme="minorHAnsi"/>
          <w:bCs/>
        </w:rPr>
        <w:t>. 2507, 2522</w:t>
      </w:r>
      <w:r w:rsidR="00403398" w:rsidRPr="00671036">
        <w:rPr>
          <w:rFonts w:cstheme="minorHAnsi"/>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51EF" w14:textId="77777777" w:rsidR="00DC0323" w:rsidRDefault="00DC0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3EBE" w14:textId="77777777" w:rsidR="00DC0323" w:rsidRDefault="00DC0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8683" w14:textId="77777777" w:rsidR="00DC0323" w:rsidRDefault="00DC0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17E71"/>
    <w:multiLevelType w:val="hybridMultilevel"/>
    <w:tmpl w:val="EB8CF944"/>
    <w:lvl w:ilvl="0" w:tplc="56F45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F797B"/>
    <w:multiLevelType w:val="hybridMultilevel"/>
    <w:tmpl w:val="A366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25D09"/>
    <w:multiLevelType w:val="hybridMultilevel"/>
    <w:tmpl w:val="4B7AE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4"/>
    <w:rsid w:val="000034C8"/>
    <w:rsid w:val="00044DB6"/>
    <w:rsid w:val="00045D24"/>
    <w:rsid w:val="00060716"/>
    <w:rsid w:val="000C44B4"/>
    <w:rsid w:val="000D3B74"/>
    <w:rsid w:val="00114DDD"/>
    <w:rsid w:val="00137329"/>
    <w:rsid w:val="0013761A"/>
    <w:rsid w:val="00152460"/>
    <w:rsid w:val="001656F0"/>
    <w:rsid w:val="00185087"/>
    <w:rsid w:val="001A5C79"/>
    <w:rsid w:val="001C0652"/>
    <w:rsid w:val="001C4687"/>
    <w:rsid w:val="001C7C5F"/>
    <w:rsid w:val="001D34C1"/>
    <w:rsid w:val="001D62AF"/>
    <w:rsid w:val="00235409"/>
    <w:rsid w:val="002A3F22"/>
    <w:rsid w:val="002C113F"/>
    <w:rsid w:val="00322ADD"/>
    <w:rsid w:val="00353300"/>
    <w:rsid w:val="00376E36"/>
    <w:rsid w:val="00380EBA"/>
    <w:rsid w:val="0039054C"/>
    <w:rsid w:val="0039431D"/>
    <w:rsid w:val="003B5839"/>
    <w:rsid w:val="003C4DC4"/>
    <w:rsid w:val="003E79E4"/>
    <w:rsid w:val="00403398"/>
    <w:rsid w:val="00412647"/>
    <w:rsid w:val="00431DF8"/>
    <w:rsid w:val="004676EB"/>
    <w:rsid w:val="00485142"/>
    <w:rsid w:val="004A50D5"/>
    <w:rsid w:val="004B4C28"/>
    <w:rsid w:val="005532C0"/>
    <w:rsid w:val="0057621E"/>
    <w:rsid w:val="005841DC"/>
    <w:rsid w:val="00600E85"/>
    <w:rsid w:val="00600EE0"/>
    <w:rsid w:val="00616AF0"/>
    <w:rsid w:val="00640533"/>
    <w:rsid w:val="00670946"/>
    <w:rsid w:val="00671036"/>
    <w:rsid w:val="006A6DC4"/>
    <w:rsid w:val="007068B4"/>
    <w:rsid w:val="007161F8"/>
    <w:rsid w:val="00780100"/>
    <w:rsid w:val="007B2F9C"/>
    <w:rsid w:val="007C186F"/>
    <w:rsid w:val="00814284"/>
    <w:rsid w:val="008C4561"/>
    <w:rsid w:val="0091044D"/>
    <w:rsid w:val="00950E1C"/>
    <w:rsid w:val="00982C87"/>
    <w:rsid w:val="009D4CA5"/>
    <w:rsid w:val="009D6AA4"/>
    <w:rsid w:val="00A14674"/>
    <w:rsid w:val="00A37702"/>
    <w:rsid w:val="00A70B09"/>
    <w:rsid w:val="00A74EA4"/>
    <w:rsid w:val="00A77864"/>
    <w:rsid w:val="00AB498D"/>
    <w:rsid w:val="00AC7A35"/>
    <w:rsid w:val="00AE2707"/>
    <w:rsid w:val="00AF1B2E"/>
    <w:rsid w:val="00B33BAF"/>
    <w:rsid w:val="00BC0110"/>
    <w:rsid w:val="00C40595"/>
    <w:rsid w:val="00C64727"/>
    <w:rsid w:val="00C94DA0"/>
    <w:rsid w:val="00CC1A3C"/>
    <w:rsid w:val="00CE3969"/>
    <w:rsid w:val="00D42812"/>
    <w:rsid w:val="00DC0323"/>
    <w:rsid w:val="00DF087E"/>
    <w:rsid w:val="00E00C52"/>
    <w:rsid w:val="00E13A06"/>
    <w:rsid w:val="00EC038B"/>
    <w:rsid w:val="00EF3DD3"/>
    <w:rsid w:val="00EF3F9F"/>
    <w:rsid w:val="00F060D5"/>
    <w:rsid w:val="00F801C7"/>
    <w:rsid w:val="00F8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1F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64"/>
    <w:pPr>
      <w:ind w:left="720"/>
      <w:contextualSpacing/>
    </w:pPr>
  </w:style>
  <w:style w:type="paragraph" w:styleId="FootnoteText">
    <w:name w:val="footnote text"/>
    <w:basedOn w:val="Normal"/>
    <w:link w:val="FootnoteTextChar"/>
    <w:uiPriority w:val="99"/>
    <w:semiHidden/>
    <w:unhideWhenUsed/>
    <w:rsid w:val="00640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533"/>
    <w:rPr>
      <w:sz w:val="20"/>
      <w:szCs w:val="20"/>
    </w:rPr>
  </w:style>
  <w:style w:type="character" w:styleId="FootnoteReference">
    <w:name w:val="footnote reference"/>
    <w:basedOn w:val="DefaultParagraphFont"/>
    <w:uiPriority w:val="99"/>
    <w:semiHidden/>
    <w:unhideWhenUsed/>
    <w:rsid w:val="00640533"/>
    <w:rPr>
      <w:vertAlign w:val="superscript"/>
    </w:rPr>
  </w:style>
  <w:style w:type="character" w:styleId="CommentReference">
    <w:name w:val="annotation reference"/>
    <w:basedOn w:val="DefaultParagraphFont"/>
    <w:uiPriority w:val="99"/>
    <w:semiHidden/>
    <w:unhideWhenUsed/>
    <w:rsid w:val="00E00C52"/>
    <w:rPr>
      <w:sz w:val="16"/>
      <w:szCs w:val="16"/>
    </w:rPr>
  </w:style>
  <w:style w:type="paragraph" w:styleId="CommentText">
    <w:name w:val="annotation text"/>
    <w:basedOn w:val="Normal"/>
    <w:link w:val="CommentTextChar"/>
    <w:uiPriority w:val="99"/>
    <w:semiHidden/>
    <w:unhideWhenUsed/>
    <w:rsid w:val="00E00C52"/>
    <w:pPr>
      <w:spacing w:line="240" w:lineRule="auto"/>
    </w:pPr>
    <w:rPr>
      <w:sz w:val="20"/>
      <w:szCs w:val="20"/>
    </w:rPr>
  </w:style>
  <w:style w:type="character" w:customStyle="1" w:styleId="CommentTextChar">
    <w:name w:val="Comment Text Char"/>
    <w:basedOn w:val="DefaultParagraphFont"/>
    <w:link w:val="CommentText"/>
    <w:uiPriority w:val="99"/>
    <w:semiHidden/>
    <w:rsid w:val="00E00C52"/>
    <w:rPr>
      <w:sz w:val="20"/>
      <w:szCs w:val="20"/>
    </w:rPr>
  </w:style>
  <w:style w:type="paragraph" w:styleId="CommentSubject">
    <w:name w:val="annotation subject"/>
    <w:basedOn w:val="CommentText"/>
    <w:next w:val="CommentText"/>
    <w:link w:val="CommentSubjectChar"/>
    <w:uiPriority w:val="99"/>
    <w:semiHidden/>
    <w:unhideWhenUsed/>
    <w:rsid w:val="00E00C52"/>
    <w:rPr>
      <w:b/>
      <w:bCs/>
    </w:rPr>
  </w:style>
  <w:style w:type="character" w:customStyle="1" w:styleId="CommentSubjectChar">
    <w:name w:val="Comment Subject Char"/>
    <w:basedOn w:val="CommentTextChar"/>
    <w:link w:val="CommentSubject"/>
    <w:uiPriority w:val="99"/>
    <w:semiHidden/>
    <w:rsid w:val="00E00C52"/>
    <w:rPr>
      <w:b/>
      <w:bCs/>
      <w:sz w:val="20"/>
      <w:szCs w:val="20"/>
    </w:rPr>
  </w:style>
  <w:style w:type="paragraph" w:styleId="BalloonText">
    <w:name w:val="Balloon Text"/>
    <w:basedOn w:val="Normal"/>
    <w:link w:val="BalloonTextChar"/>
    <w:uiPriority w:val="99"/>
    <w:semiHidden/>
    <w:unhideWhenUsed/>
    <w:rsid w:val="00E00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52"/>
    <w:rPr>
      <w:rFonts w:ascii="Segoe UI" w:hAnsi="Segoe UI" w:cs="Segoe UI"/>
      <w:sz w:val="18"/>
      <w:szCs w:val="18"/>
    </w:rPr>
  </w:style>
  <w:style w:type="paragraph" w:styleId="EndnoteText">
    <w:name w:val="endnote text"/>
    <w:basedOn w:val="Normal"/>
    <w:link w:val="EndnoteTextChar"/>
    <w:uiPriority w:val="99"/>
    <w:semiHidden/>
    <w:unhideWhenUsed/>
    <w:rsid w:val="004033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3398"/>
    <w:rPr>
      <w:sz w:val="20"/>
      <w:szCs w:val="20"/>
    </w:rPr>
  </w:style>
  <w:style w:type="character" w:styleId="EndnoteReference">
    <w:name w:val="endnote reference"/>
    <w:basedOn w:val="DefaultParagraphFont"/>
    <w:uiPriority w:val="99"/>
    <w:semiHidden/>
    <w:unhideWhenUsed/>
    <w:rsid w:val="00403398"/>
    <w:rPr>
      <w:vertAlign w:val="superscript"/>
    </w:rPr>
  </w:style>
  <w:style w:type="paragraph" w:customStyle="1" w:styleId="Body">
    <w:name w:val="Body"/>
    <w:rsid w:val="00AB498D"/>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None">
    <w:name w:val="None"/>
    <w:rsid w:val="00AB498D"/>
  </w:style>
  <w:style w:type="paragraph" w:styleId="NoSpacing">
    <w:name w:val="No Spacing"/>
    <w:rsid w:val="00AB498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Hyperlink">
    <w:name w:val="Hyperlink"/>
    <w:basedOn w:val="DefaultParagraphFont"/>
    <w:uiPriority w:val="99"/>
    <w:unhideWhenUsed/>
    <w:rsid w:val="000C44B4"/>
    <w:rPr>
      <w:color w:val="0563C1" w:themeColor="hyperlink"/>
      <w:u w:val="single"/>
    </w:rPr>
  </w:style>
  <w:style w:type="paragraph" w:styleId="Header">
    <w:name w:val="header"/>
    <w:basedOn w:val="Normal"/>
    <w:link w:val="HeaderChar"/>
    <w:uiPriority w:val="99"/>
    <w:unhideWhenUsed/>
    <w:rsid w:val="00DC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23"/>
  </w:style>
  <w:style w:type="paragraph" w:styleId="Footer">
    <w:name w:val="footer"/>
    <w:basedOn w:val="Normal"/>
    <w:link w:val="FooterChar"/>
    <w:uiPriority w:val="99"/>
    <w:unhideWhenUsed/>
    <w:rsid w:val="00DC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88">
      <w:bodyDiv w:val="1"/>
      <w:marLeft w:val="0"/>
      <w:marRight w:val="0"/>
      <w:marTop w:val="0"/>
      <w:marBottom w:val="0"/>
      <w:divBdr>
        <w:top w:val="none" w:sz="0" w:space="0" w:color="auto"/>
        <w:left w:val="none" w:sz="0" w:space="0" w:color="auto"/>
        <w:bottom w:val="none" w:sz="0" w:space="0" w:color="auto"/>
        <w:right w:val="none" w:sz="0" w:space="0" w:color="auto"/>
      </w:divBdr>
      <w:divsChild>
        <w:div w:id="1033651445">
          <w:marLeft w:val="0"/>
          <w:marRight w:val="0"/>
          <w:marTop w:val="0"/>
          <w:marBottom w:val="0"/>
          <w:divBdr>
            <w:top w:val="none" w:sz="0" w:space="0" w:color="auto"/>
            <w:left w:val="none" w:sz="0" w:space="0" w:color="auto"/>
            <w:bottom w:val="none" w:sz="0" w:space="0" w:color="auto"/>
            <w:right w:val="none" w:sz="0" w:space="0" w:color="auto"/>
          </w:divBdr>
          <w:divsChild>
            <w:div w:id="2131388698">
              <w:marLeft w:val="0"/>
              <w:marRight w:val="0"/>
              <w:marTop w:val="0"/>
              <w:marBottom w:val="0"/>
              <w:divBdr>
                <w:top w:val="none" w:sz="0" w:space="0" w:color="auto"/>
                <w:left w:val="none" w:sz="0" w:space="0" w:color="auto"/>
                <w:bottom w:val="none" w:sz="0" w:space="0" w:color="auto"/>
                <w:right w:val="none" w:sz="0" w:space="0" w:color="auto"/>
              </w:divBdr>
              <w:divsChild>
                <w:div w:id="14364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1434">
      <w:bodyDiv w:val="1"/>
      <w:marLeft w:val="0"/>
      <w:marRight w:val="0"/>
      <w:marTop w:val="0"/>
      <w:marBottom w:val="0"/>
      <w:divBdr>
        <w:top w:val="none" w:sz="0" w:space="0" w:color="auto"/>
        <w:left w:val="none" w:sz="0" w:space="0" w:color="auto"/>
        <w:bottom w:val="none" w:sz="0" w:space="0" w:color="auto"/>
        <w:right w:val="none" w:sz="0" w:space="0" w:color="auto"/>
      </w:divBdr>
      <w:divsChild>
        <w:div w:id="292563784">
          <w:marLeft w:val="0"/>
          <w:marRight w:val="0"/>
          <w:marTop w:val="0"/>
          <w:marBottom w:val="0"/>
          <w:divBdr>
            <w:top w:val="none" w:sz="0" w:space="0" w:color="auto"/>
            <w:left w:val="none" w:sz="0" w:space="0" w:color="auto"/>
            <w:bottom w:val="none" w:sz="0" w:space="0" w:color="auto"/>
            <w:right w:val="none" w:sz="0" w:space="0" w:color="auto"/>
          </w:divBdr>
          <w:divsChild>
            <w:div w:id="1397898134">
              <w:marLeft w:val="0"/>
              <w:marRight w:val="0"/>
              <w:marTop w:val="0"/>
              <w:marBottom w:val="0"/>
              <w:divBdr>
                <w:top w:val="none" w:sz="0" w:space="0" w:color="auto"/>
                <w:left w:val="none" w:sz="0" w:space="0" w:color="auto"/>
                <w:bottom w:val="none" w:sz="0" w:space="0" w:color="auto"/>
                <w:right w:val="none" w:sz="0" w:space="0" w:color="auto"/>
              </w:divBdr>
              <w:divsChild>
                <w:div w:id="159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3150">
      <w:bodyDiv w:val="1"/>
      <w:marLeft w:val="0"/>
      <w:marRight w:val="0"/>
      <w:marTop w:val="0"/>
      <w:marBottom w:val="0"/>
      <w:divBdr>
        <w:top w:val="none" w:sz="0" w:space="0" w:color="auto"/>
        <w:left w:val="none" w:sz="0" w:space="0" w:color="auto"/>
        <w:bottom w:val="none" w:sz="0" w:space="0" w:color="auto"/>
        <w:right w:val="none" w:sz="0" w:space="0" w:color="auto"/>
      </w:divBdr>
      <w:divsChild>
        <w:div w:id="1370760925">
          <w:marLeft w:val="0"/>
          <w:marRight w:val="0"/>
          <w:marTop w:val="0"/>
          <w:marBottom w:val="0"/>
          <w:divBdr>
            <w:top w:val="none" w:sz="0" w:space="0" w:color="auto"/>
            <w:left w:val="none" w:sz="0" w:space="0" w:color="auto"/>
            <w:bottom w:val="none" w:sz="0" w:space="0" w:color="auto"/>
            <w:right w:val="none" w:sz="0" w:space="0" w:color="auto"/>
          </w:divBdr>
          <w:divsChild>
            <w:div w:id="364643450">
              <w:marLeft w:val="0"/>
              <w:marRight w:val="0"/>
              <w:marTop w:val="0"/>
              <w:marBottom w:val="0"/>
              <w:divBdr>
                <w:top w:val="none" w:sz="0" w:space="0" w:color="auto"/>
                <w:left w:val="none" w:sz="0" w:space="0" w:color="auto"/>
                <w:bottom w:val="none" w:sz="0" w:space="0" w:color="auto"/>
                <w:right w:val="none" w:sz="0" w:space="0" w:color="auto"/>
              </w:divBdr>
              <w:divsChild>
                <w:div w:id="23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134">
      <w:bodyDiv w:val="1"/>
      <w:marLeft w:val="0"/>
      <w:marRight w:val="0"/>
      <w:marTop w:val="0"/>
      <w:marBottom w:val="0"/>
      <w:divBdr>
        <w:top w:val="none" w:sz="0" w:space="0" w:color="auto"/>
        <w:left w:val="none" w:sz="0" w:space="0" w:color="auto"/>
        <w:bottom w:val="none" w:sz="0" w:space="0" w:color="auto"/>
        <w:right w:val="none" w:sz="0" w:space="0" w:color="auto"/>
      </w:divBdr>
      <w:divsChild>
        <w:div w:id="915171174">
          <w:marLeft w:val="0"/>
          <w:marRight w:val="0"/>
          <w:marTop w:val="0"/>
          <w:marBottom w:val="0"/>
          <w:divBdr>
            <w:top w:val="none" w:sz="0" w:space="0" w:color="auto"/>
            <w:left w:val="none" w:sz="0" w:space="0" w:color="auto"/>
            <w:bottom w:val="none" w:sz="0" w:space="0" w:color="auto"/>
            <w:right w:val="none" w:sz="0" w:space="0" w:color="auto"/>
          </w:divBdr>
          <w:divsChild>
            <w:div w:id="2114130526">
              <w:marLeft w:val="0"/>
              <w:marRight w:val="0"/>
              <w:marTop w:val="0"/>
              <w:marBottom w:val="0"/>
              <w:divBdr>
                <w:top w:val="none" w:sz="0" w:space="0" w:color="auto"/>
                <w:left w:val="none" w:sz="0" w:space="0" w:color="auto"/>
                <w:bottom w:val="none" w:sz="0" w:space="0" w:color="auto"/>
                <w:right w:val="none" w:sz="0" w:space="0" w:color="auto"/>
              </w:divBdr>
              <w:divsChild>
                <w:div w:id="17854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96076">
      <w:bodyDiv w:val="1"/>
      <w:marLeft w:val="0"/>
      <w:marRight w:val="0"/>
      <w:marTop w:val="0"/>
      <w:marBottom w:val="0"/>
      <w:divBdr>
        <w:top w:val="none" w:sz="0" w:space="0" w:color="auto"/>
        <w:left w:val="none" w:sz="0" w:space="0" w:color="auto"/>
        <w:bottom w:val="none" w:sz="0" w:space="0" w:color="auto"/>
        <w:right w:val="none" w:sz="0" w:space="0" w:color="auto"/>
      </w:divBdr>
      <w:divsChild>
        <w:div w:id="875846308">
          <w:marLeft w:val="0"/>
          <w:marRight w:val="0"/>
          <w:marTop w:val="0"/>
          <w:marBottom w:val="0"/>
          <w:divBdr>
            <w:top w:val="none" w:sz="0" w:space="0" w:color="auto"/>
            <w:left w:val="none" w:sz="0" w:space="0" w:color="auto"/>
            <w:bottom w:val="none" w:sz="0" w:space="0" w:color="auto"/>
            <w:right w:val="none" w:sz="0" w:space="0" w:color="auto"/>
          </w:divBdr>
          <w:divsChild>
            <w:div w:id="2098205428">
              <w:marLeft w:val="0"/>
              <w:marRight w:val="0"/>
              <w:marTop w:val="0"/>
              <w:marBottom w:val="0"/>
              <w:divBdr>
                <w:top w:val="none" w:sz="0" w:space="0" w:color="auto"/>
                <w:left w:val="none" w:sz="0" w:space="0" w:color="auto"/>
                <w:bottom w:val="none" w:sz="0" w:space="0" w:color="auto"/>
                <w:right w:val="none" w:sz="0" w:space="0" w:color="auto"/>
              </w:divBdr>
              <w:divsChild>
                <w:div w:id="9823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4788">
      <w:bodyDiv w:val="1"/>
      <w:marLeft w:val="0"/>
      <w:marRight w:val="0"/>
      <w:marTop w:val="0"/>
      <w:marBottom w:val="0"/>
      <w:divBdr>
        <w:top w:val="none" w:sz="0" w:space="0" w:color="auto"/>
        <w:left w:val="none" w:sz="0" w:space="0" w:color="auto"/>
        <w:bottom w:val="none" w:sz="0" w:space="0" w:color="auto"/>
        <w:right w:val="none" w:sz="0" w:space="0" w:color="auto"/>
      </w:divBdr>
      <w:divsChild>
        <w:div w:id="704911104">
          <w:marLeft w:val="0"/>
          <w:marRight w:val="0"/>
          <w:marTop w:val="0"/>
          <w:marBottom w:val="0"/>
          <w:divBdr>
            <w:top w:val="none" w:sz="0" w:space="0" w:color="auto"/>
            <w:left w:val="none" w:sz="0" w:space="0" w:color="auto"/>
            <w:bottom w:val="none" w:sz="0" w:space="0" w:color="auto"/>
            <w:right w:val="none" w:sz="0" w:space="0" w:color="auto"/>
          </w:divBdr>
          <w:divsChild>
            <w:div w:id="150677948">
              <w:marLeft w:val="0"/>
              <w:marRight w:val="0"/>
              <w:marTop w:val="0"/>
              <w:marBottom w:val="0"/>
              <w:divBdr>
                <w:top w:val="none" w:sz="0" w:space="0" w:color="auto"/>
                <w:left w:val="none" w:sz="0" w:space="0" w:color="auto"/>
                <w:bottom w:val="none" w:sz="0" w:space="0" w:color="auto"/>
                <w:right w:val="none" w:sz="0" w:space="0" w:color="auto"/>
              </w:divBdr>
              <w:divsChild>
                <w:div w:id="713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4.ad.brown.edu/Projects/Diversity/Data/Data.ht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asinstitute.berkeley.edu/racial-segregation-san-francisco-bay-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2019-09-12T06:57:00Z</dcterms:created>
  <dcterms:modified xsi:type="dcterms:W3CDTF">2019-09-12T06:57:00Z</dcterms:modified>
</cp:coreProperties>
</file>