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9" w:rsidRPr="00A64668" w:rsidRDefault="005B2992" w:rsidP="00176D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668">
        <w:rPr>
          <w:rFonts w:ascii="Times New Roman" w:hAnsi="Times New Roman" w:cs="Times New Roman"/>
          <w:b/>
          <w:sz w:val="28"/>
          <w:szCs w:val="28"/>
        </w:rPr>
        <w:t>Р</w:t>
      </w:r>
      <w:r w:rsidR="00D95A40" w:rsidRPr="00A64668">
        <w:rPr>
          <w:rFonts w:ascii="Times New Roman" w:hAnsi="Times New Roman" w:cs="Times New Roman"/>
          <w:b/>
          <w:sz w:val="28"/>
          <w:szCs w:val="28"/>
        </w:rPr>
        <w:t xml:space="preserve">азвитие конкуренции на </w:t>
      </w:r>
      <w:r w:rsidR="002332B2" w:rsidRPr="00A64668">
        <w:rPr>
          <w:rFonts w:ascii="Times New Roman" w:hAnsi="Times New Roman" w:cs="Times New Roman"/>
          <w:b/>
          <w:sz w:val="28"/>
          <w:szCs w:val="28"/>
        </w:rPr>
        <w:t>розничных рынках</w:t>
      </w:r>
    </w:p>
    <w:p w:rsidR="00C7601E" w:rsidRPr="00A64668" w:rsidRDefault="002332B2" w:rsidP="00176D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68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5B2992" w:rsidRDefault="005B2992" w:rsidP="005B2992">
      <w:p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Целью проводимой с 2003 года в Российской Федерации реформы электроэнергетики было создание такой организационной структуры отрасли и таких правил торговли электроэнергией, которые стимулируют к повышению технологической и экономической эффективности электроэнергетики посредством развития конкуренции и рыночных отношений.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C21EB5" w:rsidTr="0008631E">
        <w:tc>
          <w:tcPr>
            <w:tcW w:w="5103" w:type="dxa"/>
          </w:tcPr>
          <w:p w:rsidR="00C21EB5" w:rsidRDefault="00C21EB5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1E">
              <w:rPr>
                <w:rFonts w:ascii="Times New Roman" w:hAnsi="Times New Roman" w:cs="Times New Roman"/>
                <w:sz w:val="24"/>
                <w:szCs w:val="28"/>
              </w:rPr>
              <w:t>Необходимость проведения реформы электроэнергетики была продиктована прогнозируемым дефицитом генерирующей мощности – потребление росло внушительными темпами, генерирующее оборудование электростанций устаревало, приходило в плачевное состояние, а стимулов и механизмов к строительству и обновлению оборудования не предусматривалось.</w:t>
            </w:r>
            <w:r w:rsidRPr="000F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C21EB5" w:rsidRDefault="00C21EB5" w:rsidP="00C21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73A51C3D" wp14:editId="203955C2">
                  <wp:extent cx="2771775" cy="1628140"/>
                  <wp:effectExtent l="19050" t="19050" r="28575" b="1016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557" cy="16520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7E6E6">
                                <a:lumMod val="9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 xml:space="preserve">Структурная реформа на рынке электроэнергии способствовала появлению в отрасли конкурирующих участников. Был осуществлен переход от вертикально интегрированных компаний к независимым игрокам, заинтересованным в оптимизации работы компаний и увеличении прибыли. На всей территории ЕЭС России было организовано централизованное диспетчерское управление (Единый системный оператор Российской Федерации). Были созданы региональные сетевые компании (впоследствии вошли в Холдинг МРСК). 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 xml:space="preserve">Региональные сбытовые компании, в последствии получившие статус гарантирующих поставщиков, продолжили обслуживание большинства потребителей на розничных рынках. 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Теплогенерирующие компании, в большинстве своем дочерние компании ОАО РАО «ЕЭС России», в 2008 году в процессе реорганизации ОАО РАО «ЕЭС России» были приобретены частными инвесторами (в том числе иностранными), получившими вместе с генерирующими активами также и обязательства по выполнению инвестиционной программы (строительство и модернизация генерации), закрепленные в договорах о предоставлении мощности (ДПМ).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Параллельно со структурной реформой отрасли осуществлялась рыночная реформа, по итогам которой был реализован постепенный переход от полностью регулируемого ценообразования на электроэнергию к рыночному.</w:t>
      </w:r>
    </w:p>
    <w:tbl>
      <w:tblPr>
        <w:tblStyle w:val="ad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6"/>
      </w:tblGrid>
      <w:tr w:rsidR="00D25A07" w:rsidRPr="0008631E" w:rsidTr="007F03DF">
        <w:tc>
          <w:tcPr>
            <w:tcW w:w="5387" w:type="dxa"/>
          </w:tcPr>
          <w:p w:rsidR="0011609D" w:rsidRPr="0008631E" w:rsidRDefault="0011609D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63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Тарифное регулирование по принципу «затраты плюс» приводило к существенному удорожанию стоимости электроэнергии для покупателей и нивелировало стимулы к повышению эффективности процесса выработки электроэнергии. </w:t>
            </w:r>
          </w:p>
        </w:tc>
        <w:tc>
          <w:tcPr>
            <w:tcW w:w="4386" w:type="dxa"/>
          </w:tcPr>
          <w:p w:rsidR="0011609D" w:rsidRPr="0008631E" w:rsidRDefault="0011609D" w:rsidP="0008631E">
            <w:pPr>
              <w:autoSpaceDE w:val="0"/>
              <w:autoSpaceDN w:val="0"/>
              <w:adjustRightInd w:val="0"/>
              <w:spacing w:line="360" w:lineRule="auto"/>
              <w:ind w:firstLine="3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631E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drawing>
                <wp:inline distT="0" distB="0" distL="0" distR="0" wp14:anchorId="529BC838" wp14:editId="3D5CF6E4">
                  <wp:extent cx="2618677" cy="1466850"/>
                  <wp:effectExtent l="19050" t="19050" r="10795" b="190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146" cy="15225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7E6E6">
                                <a:lumMod val="9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С 2011 года все объемы электрической энергии и мощности на оптовом рынке электрической энергии и мощности (за исключением объемов потребления населения и «особых» регионов) стали продаваться по рыночным ценам, которые складываются под воздействием спроса и предложения. В то же время на розничном рынке цены на электроэнергию стали напрямую зависеть от цен оптового рынка (кроме цен поставки электроэнергии населению, которые регулируются государством).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 xml:space="preserve">    В результате реформы в электроэнергетике на оптовом рынке электрической энергии и мощности была сформирована система рынков, которая обеспечивает надежность и экономическую эффективность энергоснабжения в краткосрочной и долгосрочной перспективе. Она состоит из двух основных секторов торговли – рынка электроэнергии и рынка мощности.</w:t>
      </w:r>
    </w:p>
    <w:tbl>
      <w:tblPr>
        <w:tblStyle w:val="ad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38"/>
      </w:tblGrid>
      <w:tr w:rsidR="007F03DF" w:rsidRPr="0008631E" w:rsidTr="0008631E">
        <w:tc>
          <w:tcPr>
            <w:tcW w:w="5529" w:type="dxa"/>
          </w:tcPr>
          <w:p w:rsidR="007F03DF" w:rsidRPr="0008631E" w:rsidRDefault="007F03DF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631E">
              <w:rPr>
                <w:rFonts w:ascii="Times New Roman" w:hAnsi="Times New Roman" w:cs="Times New Roman"/>
                <w:sz w:val="24"/>
                <w:szCs w:val="28"/>
              </w:rPr>
              <w:t xml:space="preserve">Анализ результатов работы рынка электроэнергии показывает, что он успешно справляется с поставленными задачами. Рыночные цены зависят от спроса на электроэнергию, создавая стимулы к сглаживанию потребителями графика своего потребления и обеспечивая оптимальную загрузку генерирующих объектов. Учитывая сложившийся на сегодняшний день в ЕЭС России избыток генерации на рынке электроэнергии наблюдается довольно высокая конкуренция, оказывающая давление на рыночные цены. Так в последние годы цены на электроэнергию показывают стабильно более низкий рост, чем рост цен на газ (сравнение приведено на рисунке). Из графиков также видно, что рыночная цена зависит от спроса – в 2009 году снижение спроса привело к снижению цены на электроэнергию даже несмотря на увеличение </w:t>
            </w:r>
            <w:r w:rsidRPr="000863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цены на газ.</w:t>
            </w:r>
          </w:p>
        </w:tc>
        <w:tc>
          <w:tcPr>
            <w:tcW w:w="5238" w:type="dxa"/>
          </w:tcPr>
          <w:p w:rsidR="007F03DF" w:rsidRPr="0008631E" w:rsidRDefault="007F03DF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631E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2786DE8" wp14:editId="511D386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2905125" cy="2056130"/>
                  <wp:effectExtent l="0" t="0" r="9525" b="1270"/>
                  <wp:wrapSquare wrapText="bothSides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05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lastRenderedPageBreak/>
        <w:t>Введение конкурентного рынка мощности, содержащего в том числе различные механизмы привлечения инвестиций, также дало существенные результаты.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Так в рамках договоров о предоставлении мощности, заключенных поставщиками – организациями, созданными в результате реорганизации в 2008 году ОАО РАО «ЕЭС России», в отношении генерирующих объектов, входящих в сформированные ОАО РАО «ЕЭС России» инвестиционных программы, к ноябрю 2016 года уже введено 19,265 ГВт новой тепловой мощности и модернизировано 9,342 ГВт (из них 2,284 ГВт – прирост). К 2020 году планируется ввод еще 3,660 ГВт тепловой мощности.</w:t>
      </w:r>
      <w:r w:rsidR="005839F2" w:rsidRPr="0008631E">
        <w:rPr>
          <w:rFonts w:ascii="Times New Roman" w:hAnsi="Times New Roman" w:cs="Times New Roman"/>
          <w:sz w:val="24"/>
          <w:szCs w:val="28"/>
        </w:rPr>
        <w:t xml:space="preserve"> </w:t>
      </w:r>
      <w:r w:rsidRPr="0008631E">
        <w:rPr>
          <w:rFonts w:ascii="Times New Roman" w:hAnsi="Times New Roman" w:cs="Times New Roman"/>
          <w:sz w:val="24"/>
          <w:szCs w:val="28"/>
        </w:rPr>
        <w:t>В рамках договоров на новую мощность АЭС и ГЭС введено 3,235 ГВт и к 2021 году планируется ввод еще 7,984 ГВт мощности.</w:t>
      </w:r>
      <w:r w:rsidR="005839F2" w:rsidRPr="0008631E">
        <w:rPr>
          <w:rFonts w:ascii="Times New Roman" w:hAnsi="Times New Roman" w:cs="Times New Roman"/>
          <w:sz w:val="24"/>
          <w:szCs w:val="28"/>
        </w:rPr>
        <w:t xml:space="preserve"> </w:t>
      </w:r>
      <w:r w:rsidRPr="0008631E">
        <w:rPr>
          <w:rFonts w:ascii="Times New Roman" w:hAnsi="Times New Roman" w:cs="Times New Roman"/>
          <w:sz w:val="24"/>
          <w:szCs w:val="28"/>
        </w:rPr>
        <w:t>По итогам отборов генерации, функционирующей с использованием возобновляемых источников энергии (ВИЭ) до 2020 года запланирован ввод 2225 МВт (в том числе 1004 МВт СЭС и 993 МВт ВЭС).</w:t>
      </w:r>
    </w:p>
    <w:p w:rsidR="000F79FD" w:rsidRPr="000F79FD" w:rsidRDefault="000F79FD" w:rsidP="000F79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69094FBC" wp14:editId="2544BF5B">
            <wp:extent cx="5489375" cy="12661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13" cy="128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9FD" w:rsidRPr="000F79FD" w:rsidRDefault="000F79FD" w:rsidP="000F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Таким образом, созданный по итогам рыночной реформы оптовый рынок электрической энергии и мощности решает основные поставленные перед ним задачи и обеспечивает взаимодействие субъектов электроэнергетики – участников оптового рынка на условиях полномасштабной конкуренции и рыночных отношений.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 xml:space="preserve">В то же время, на розничных рынках, несмотря на трансляцию конкурентных цен оптового рынка, нельзя говорить о сформировавшейся конкуренции. Это в первую очередь связано с невозможностью влияния потребителей на условия электроснабжения – на цены, на выбор поставщика электроэнергии. 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В настоящее время потребители могут покупать электроэнергию (мощность) на розничном рынке: у гарантирующего поставщика, у розничной генерации, у энергосбытовой организации.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 xml:space="preserve">Энергосбытовые организации - не являющиеся субъектами оптового рынка (перепродавцы) не могут приобрести электроэнергию (мощность) на оптовом рынке и поэтому не могут предложить розничному потребителю более выгодную цену по сравнению с ценой на электроэнергию, поставляемую гарантирующими поставщиками и </w:t>
      </w:r>
      <w:proofErr w:type="spellStart"/>
      <w:r w:rsidRPr="0008631E">
        <w:rPr>
          <w:rFonts w:ascii="Times New Roman" w:hAnsi="Times New Roman" w:cs="Times New Roman"/>
          <w:sz w:val="24"/>
          <w:szCs w:val="28"/>
        </w:rPr>
        <w:lastRenderedPageBreak/>
        <w:t>энергосбытовыми</w:t>
      </w:r>
      <w:proofErr w:type="spellEnd"/>
      <w:r w:rsidRPr="0008631E">
        <w:rPr>
          <w:rFonts w:ascii="Times New Roman" w:hAnsi="Times New Roman" w:cs="Times New Roman"/>
          <w:sz w:val="24"/>
          <w:szCs w:val="28"/>
        </w:rPr>
        <w:t xml:space="preserve"> организациями, приобретающими электрическую энергию на оптовом рынке. 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 xml:space="preserve">Для покупки электроэнергии и мощности на оптовом рынке (самостоятельно или через </w:t>
      </w:r>
      <w:proofErr w:type="spellStart"/>
      <w:r w:rsidRPr="0008631E">
        <w:rPr>
          <w:rFonts w:ascii="Times New Roman" w:hAnsi="Times New Roman" w:cs="Times New Roman"/>
          <w:sz w:val="24"/>
          <w:szCs w:val="28"/>
        </w:rPr>
        <w:t>энергосбытовую</w:t>
      </w:r>
      <w:proofErr w:type="spellEnd"/>
      <w:r w:rsidRPr="0008631E">
        <w:rPr>
          <w:rFonts w:ascii="Times New Roman" w:hAnsi="Times New Roman" w:cs="Times New Roman"/>
          <w:sz w:val="24"/>
          <w:szCs w:val="28"/>
        </w:rPr>
        <w:t xml:space="preserve"> компанию – участника оптового рынка)  потребитель должен удовлетворять количественным требованиям по объему потребления и в отношении его энергопринимающих устройств на оптовом рынке должна быть зарегистрирована отдельная ГТП, оборудованная приборами коммерческого учета в соответствии с требованиями оптового рынка (затраты на оснащение приборами учета составляют порядка 0,5 млн. </w:t>
      </w:r>
      <w:proofErr w:type="spellStart"/>
      <w:r w:rsidRPr="0008631E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08631E">
        <w:rPr>
          <w:rFonts w:ascii="Times New Roman" w:hAnsi="Times New Roman" w:cs="Times New Roman"/>
          <w:sz w:val="24"/>
          <w:szCs w:val="28"/>
        </w:rPr>
        <w:t xml:space="preserve"> за одно присоединение, а в случае необходимости замены трансформаторов тока и напряжения на трансформаторы с более высоким классом точности от 0,2 до 2,1 </w:t>
      </w:r>
      <w:proofErr w:type="spellStart"/>
      <w:r w:rsidRPr="0008631E">
        <w:rPr>
          <w:rFonts w:ascii="Times New Roman" w:hAnsi="Times New Roman" w:cs="Times New Roman"/>
          <w:sz w:val="24"/>
          <w:szCs w:val="28"/>
        </w:rPr>
        <w:t>млн.руб</w:t>
      </w:r>
      <w:proofErr w:type="spellEnd"/>
      <w:r w:rsidRPr="0008631E">
        <w:rPr>
          <w:rFonts w:ascii="Times New Roman" w:hAnsi="Times New Roman" w:cs="Times New Roman"/>
          <w:sz w:val="24"/>
          <w:szCs w:val="28"/>
        </w:rPr>
        <w:t xml:space="preserve"> за одно присоединение в зависимости от уровня напряжения), что вызывает дополнительные финансовые затраты. 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В связи с этим подавляющее большинство потребителей в настоящее время могут покупать электроэнергию (мощность) только на розничном рынке, делая гарантирующего поставщика фактически монополистом по поставке электроэнергии на соответствующей территории.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31E">
        <w:rPr>
          <w:rFonts w:ascii="Times New Roman" w:hAnsi="Times New Roman" w:cs="Times New Roman"/>
          <w:sz w:val="24"/>
          <w:szCs w:val="28"/>
        </w:rPr>
        <w:t>При этом гарантирующий поставщик на сегодняшний день не заинтересован в снижении стоимости покупки электрической энергии и мощности на оптовом рынке, в том числе, путем поиска выгодных условий покупки электрической энергии и мощности по свободным договорам, поскольку все его расходы покрываются за счет сбытовой надбавки, а снижение стоимости покупки на оптовом рынке полностью транслируется потребителям.</w:t>
      </w:r>
    </w:p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511"/>
      </w:tblGrid>
      <w:tr w:rsidR="00BF7342" w:rsidRPr="0008631E" w:rsidTr="0008631E">
        <w:tc>
          <w:tcPr>
            <w:tcW w:w="4814" w:type="dxa"/>
          </w:tcPr>
          <w:p w:rsidR="00BF7342" w:rsidRPr="0008631E" w:rsidRDefault="00BF7342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631E">
              <w:rPr>
                <w:rFonts w:ascii="Times New Roman" w:hAnsi="Times New Roman" w:cs="Times New Roman"/>
                <w:sz w:val="24"/>
                <w:szCs w:val="28"/>
              </w:rPr>
              <w:t xml:space="preserve">Динамика доли потребления гарантирующих поставщиков на оптовом рынке по ценовым зонам, представленная на рисунке, свидетельствует о фактической остановке процесса выхода розничных потребителей на оптовый рынок. </w:t>
            </w:r>
          </w:p>
          <w:p w:rsidR="00BF7342" w:rsidRPr="0008631E" w:rsidRDefault="00BF7342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4" w:type="dxa"/>
          </w:tcPr>
          <w:p w:rsidR="00BF7342" w:rsidRPr="0008631E" w:rsidRDefault="00BF7342" w:rsidP="0008631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631E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drawing>
                <wp:inline distT="0" distB="0" distL="0" distR="0" wp14:anchorId="596DDAA7" wp14:editId="666A1547">
                  <wp:extent cx="3362325" cy="219616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177" cy="2204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9FD" w:rsidRPr="0008631E" w:rsidRDefault="000F79FD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31E">
        <w:rPr>
          <w:rFonts w:ascii="Times New Roman" w:hAnsi="Times New Roman" w:cs="Times New Roman"/>
          <w:b/>
          <w:sz w:val="24"/>
          <w:szCs w:val="28"/>
        </w:rPr>
        <w:t>Для формирования конкурентной среды на розничных рынках необходимо:</w:t>
      </w:r>
    </w:p>
    <w:p w:rsidR="000F79FD" w:rsidRPr="0008631E" w:rsidRDefault="000F79FD" w:rsidP="000863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31E">
        <w:rPr>
          <w:rFonts w:ascii="Times New Roman" w:hAnsi="Times New Roman" w:cs="Times New Roman"/>
          <w:b/>
          <w:sz w:val="24"/>
          <w:szCs w:val="28"/>
        </w:rPr>
        <w:t>создать возможности для конкуренции за розничного потребителя</w:t>
      </w:r>
    </w:p>
    <w:p w:rsidR="000F79FD" w:rsidRPr="0008631E" w:rsidRDefault="000F79FD" w:rsidP="000863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31E">
        <w:rPr>
          <w:rFonts w:ascii="Times New Roman" w:hAnsi="Times New Roman" w:cs="Times New Roman"/>
          <w:b/>
          <w:sz w:val="24"/>
          <w:szCs w:val="28"/>
        </w:rPr>
        <w:t>обеспечить свободу выбора и смены потребителем сбытовой компании</w:t>
      </w:r>
    </w:p>
    <w:p w:rsidR="000F79FD" w:rsidRPr="0008631E" w:rsidRDefault="000F79FD" w:rsidP="000863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31E">
        <w:rPr>
          <w:rFonts w:ascii="Times New Roman" w:hAnsi="Times New Roman" w:cs="Times New Roman"/>
          <w:b/>
          <w:sz w:val="24"/>
          <w:szCs w:val="28"/>
        </w:rPr>
        <w:lastRenderedPageBreak/>
        <w:t>создать возможность для потребителей влиять на условия поставки электроэнергии, в том числе путем внедрения системы долгосрочных двухсторонних контрактов.</w:t>
      </w:r>
    </w:p>
    <w:p w:rsidR="00642FB8" w:rsidRDefault="00642FB8" w:rsidP="00086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B4" w:rsidRPr="00A64668" w:rsidRDefault="007066B4" w:rsidP="002C7C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Цель изменений</w:t>
      </w:r>
    </w:p>
    <w:p w:rsidR="00321E9C" w:rsidRDefault="007066B4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Основной целью предложений является </w:t>
      </w:r>
      <w:r w:rsidR="00321E9C">
        <w:rPr>
          <w:rFonts w:ascii="Times New Roman" w:hAnsi="Times New Roman" w:cs="Times New Roman"/>
          <w:sz w:val="24"/>
          <w:szCs w:val="28"/>
        </w:rPr>
        <w:t>обеспечение</w:t>
      </w:r>
      <w:r w:rsidR="001451E0">
        <w:rPr>
          <w:rFonts w:ascii="Times New Roman" w:hAnsi="Times New Roman" w:cs="Times New Roman"/>
          <w:sz w:val="24"/>
          <w:szCs w:val="28"/>
        </w:rPr>
        <w:t xml:space="preserve"> возможности </w:t>
      </w:r>
      <w:r w:rsidR="00321E9C">
        <w:rPr>
          <w:rFonts w:ascii="Times New Roman" w:hAnsi="Times New Roman" w:cs="Times New Roman"/>
          <w:sz w:val="24"/>
          <w:szCs w:val="28"/>
        </w:rPr>
        <w:t xml:space="preserve">покупки </w:t>
      </w:r>
      <w:r w:rsidR="001451E0">
        <w:rPr>
          <w:rFonts w:ascii="Times New Roman" w:hAnsi="Times New Roman" w:cs="Times New Roman"/>
          <w:sz w:val="24"/>
          <w:szCs w:val="28"/>
        </w:rPr>
        <w:t>розничны</w:t>
      </w:r>
      <w:r w:rsidR="00321E9C">
        <w:rPr>
          <w:rFonts w:ascii="Times New Roman" w:hAnsi="Times New Roman" w:cs="Times New Roman"/>
          <w:sz w:val="24"/>
          <w:szCs w:val="28"/>
        </w:rPr>
        <w:t>ми</w:t>
      </w:r>
      <w:r w:rsidR="001451E0">
        <w:rPr>
          <w:rFonts w:ascii="Times New Roman" w:hAnsi="Times New Roman" w:cs="Times New Roman"/>
          <w:sz w:val="24"/>
          <w:szCs w:val="28"/>
        </w:rPr>
        <w:t xml:space="preserve"> потребител</w:t>
      </w:r>
      <w:r w:rsidR="00321E9C">
        <w:rPr>
          <w:rFonts w:ascii="Times New Roman" w:hAnsi="Times New Roman" w:cs="Times New Roman"/>
          <w:sz w:val="24"/>
          <w:szCs w:val="28"/>
        </w:rPr>
        <w:t>ями</w:t>
      </w:r>
      <w:r w:rsidR="001451E0">
        <w:rPr>
          <w:rFonts w:ascii="Times New Roman" w:hAnsi="Times New Roman" w:cs="Times New Roman"/>
          <w:sz w:val="24"/>
          <w:szCs w:val="28"/>
        </w:rPr>
        <w:t xml:space="preserve"> </w:t>
      </w:r>
      <w:r w:rsidR="00321E9C">
        <w:rPr>
          <w:rFonts w:ascii="Times New Roman" w:hAnsi="Times New Roman" w:cs="Times New Roman"/>
          <w:sz w:val="24"/>
          <w:szCs w:val="28"/>
        </w:rPr>
        <w:t xml:space="preserve">электроэнергии у оптовых производителей напрямую или через любую </w:t>
      </w:r>
      <w:proofErr w:type="spellStart"/>
      <w:r w:rsidR="00321E9C">
        <w:rPr>
          <w:rFonts w:ascii="Times New Roman" w:hAnsi="Times New Roman" w:cs="Times New Roman"/>
          <w:sz w:val="24"/>
          <w:szCs w:val="28"/>
        </w:rPr>
        <w:t>энергосбытовую</w:t>
      </w:r>
      <w:proofErr w:type="spellEnd"/>
      <w:r w:rsidR="00321E9C">
        <w:rPr>
          <w:rFonts w:ascii="Times New Roman" w:hAnsi="Times New Roman" w:cs="Times New Roman"/>
          <w:sz w:val="24"/>
          <w:szCs w:val="28"/>
        </w:rPr>
        <w:t xml:space="preserve"> компанию</w:t>
      </w:r>
      <w:r w:rsidR="001451E0">
        <w:rPr>
          <w:rFonts w:ascii="Times New Roman" w:hAnsi="Times New Roman" w:cs="Times New Roman"/>
          <w:sz w:val="24"/>
          <w:szCs w:val="28"/>
        </w:rPr>
        <w:t>.</w:t>
      </w:r>
      <w:r w:rsidR="00321E9C">
        <w:rPr>
          <w:rFonts w:ascii="Times New Roman" w:hAnsi="Times New Roman" w:cs="Times New Roman"/>
          <w:sz w:val="24"/>
          <w:szCs w:val="28"/>
        </w:rPr>
        <w:t xml:space="preserve"> Указанная цель достигается за счет заявительного выхода на оптовый рынок без каких-либо финансовых затрат и дальнейшее участие на оптовом рынке с возможностью прямых отношений с любыми поставщиками.</w:t>
      </w:r>
    </w:p>
    <w:p w:rsidR="007066B4" w:rsidRPr="00A64668" w:rsidRDefault="001451E0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Свободная в</w:t>
      </w:r>
      <w:r w:rsidR="007066B4" w:rsidRPr="00A64668">
        <w:rPr>
          <w:rFonts w:ascii="Times New Roman" w:hAnsi="Times New Roman" w:cs="Times New Roman"/>
          <w:sz w:val="24"/>
          <w:szCs w:val="28"/>
        </w:rPr>
        <w:t>озможность выбора поставщика</w:t>
      </w:r>
      <w:r>
        <w:rPr>
          <w:rFonts w:ascii="Times New Roman" w:hAnsi="Times New Roman" w:cs="Times New Roman"/>
          <w:sz w:val="24"/>
          <w:szCs w:val="28"/>
        </w:rPr>
        <w:t xml:space="preserve"> приведет к возникновению конкуренции между </w:t>
      </w:r>
      <w:r w:rsidR="00321E9C">
        <w:rPr>
          <w:rFonts w:ascii="Times New Roman" w:hAnsi="Times New Roman" w:cs="Times New Roman"/>
          <w:sz w:val="24"/>
          <w:szCs w:val="28"/>
        </w:rPr>
        <w:t>самими</w:t>
      </w:r>
      <w:r>
        <w:rPr>
          <w:rFonts w:ascii="Times New Roman" w:hAnsi="Times New Roman" w:cs="Times New Roman"/>
          <w:sz w:val="24"/>
          <w:szCs w:val="28"/>
        </w:rPr>
        <w:t xml:space="preserve"> поставщиками и создаст давление на </w:t>
      </w:r>
      <w:r w:rsidR="00321E9C">
        <w:rPr>
          <w:rFonts w:ascii="Times New Roman" w:hAnsi="Times New Roman" w:cs="Times New Roman"/>
          <w:sz w:val="24"/>
          <w:szCs w:val="28"/>
        </w:rPr>
        <w:t xml:space="preserve">снижение </w:t>
      </w:r>
      <w:r>
        <w:rPr>
          <w:rFonts w:ascii="Times New Roman" w:hAnsi="Times New Roman" w:cs="Times New Roman"/>
          <w:sz w:val="24"/>
          <w:szCs w:val="28"/>
        </w:rPr>
        <w:t>цен</w:t>
      </w:r>
      <w:r w:rsidR="00321E9C">
        <w:rPr>
          <w:rFonts w:ascii="Times New Roman" w:hAnsi="Times New Roman" w:cs="Times New Roman"/>
          <w:sz w:val="24"/>
          <w:szCs w:val="28"/>
        </w:rPr>
        <w:t xml:space="preserve"> электроэнергии и мощности</w:t>
      </w:r>
      <w:r w:rsidR="0098069C" w:rsidRPr="00A64668">
        <w:rPr>
          <w:rFonts w:ascii="Times New Roman" w:hAnsi="Times New Roman" w:cs="Times New Roman"/>
          <w:sz w:val="24"/>
          <w:szCs w:val="28"/>
        </w:rPr>
        <w:t>.</w:t>
      </w:r>
    </w:p>
    <w:p w:rsidR="00367018" w:rsidRPr="00A64668" w:rsidRDefault="00367018" w:rsidP="00F63F39">
      <w:p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069C" w:rsidRPr="00A64668" w:rsidRDefault="0098069C" w:rsidP="002C7C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Суть предлагаемых изменений</w:t>
      </w:r>
    </w:p>
    <w:p w:rsidR="001451E0" w:rsidRDefault="001451E0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Предлагается набор решений, обеспечивающих упрощенный выход потребителей на оптовый рынок.</w:t>
      </w:r>
      <w:r w:rsidR="00AA51E2">
        <w:rPr>
          <w:rFonts w:ascii="Times New Roman" w:hAnsi="Times New Roman" w:cs="Times New Roman"/>
          <w:sz w:val="24"/>
          <w:szCs w:val="28"/>
        </w:rPr>
        <w:t xml:space="preserve"> Потребители смогут напрямую взаимодействовать с </w:t>
      </w:r>
      <w:r w:rsidR="007E0502">
        <w:rPr>
          <w:rFonts w:ascii="Times New Roman" w:hAnsi="Times New Roman" w:cs="Times New Roman"/>
          <w:sz w:val="24"/>
          <w:szCs w:val="28"/>
        </w:rPr>
        <w:t>поставщиками</w:t>
      </w:r>
      <w:r w:rsidR="00AA51E2">
        <w:rPr>
          <w:rFonts w:ascii="Times New Roman" w:hAnsi="Times New Roman" w:cs="Times New Roman"/>
          <w:sz w:val="24"/>
          <w:szCs w:val="28"/>
        </w:rPr>
        <w:t xml:space="preserve"> оптового рынка, самостоятельно или через </w:t>
      </w:r>
      <w:proofErr w:type="spellStart"/>
      <w:r w:rsidR="00AA51E2">
        <w:rPr>
          <w:rFonts w:ascii="Times New Roman" w:hAnsi="Times New Roman" w:cs="Times New Roman"/>
          <w:sz w:val="24"/>
          <w:szCs w:val="28"/>
        </w:rPr>
        <w:t>энергосбытовую</w:t>
      </w:r>
      <w:proofErr w:type="spellEnd"/>
      <w:r w:rsidR="00AA51E2">
        <w:rPr>
          <w:rFonts w:ascii="Times New Roman" w:hAnsi="Times New Roman" w:cs="Times New Roman"/>
          <w:sz w:val="24"/>
          <w:szCs w:val="28"/>
        </w:rPr>
        <w:t xml:space="preserve"> организацию.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5A40" w:rsidRDefault="00AA51E2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Указанная возможность обеспечивается посредством участия потребителей и энергосбытовых организаций в оптовом рынке по группе точек поставки (ГТП), зарегистрированной за гарантирующим поставщиком – по единой ГТП (ЕГТП).</w:t>
      </w:r>
    </w:p>
    <w:p w:rsidR="007E0502" w:rsidRDefault="007E0502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этом сохраняется возможность выхода потребителей на оптовый рынок по собственной ГТП, зарегистрированной в отношении энергопринимающих устройств такого потребителя.</w:t>
      </w:r>
    </w:p>
    <w:p w:rsidR="00382229" w:rsidRPr="00A64668" w:rsidRDefault="00382229" w:rsidP="003822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07E2BFA5" wp14:editId="20DED97C">
            <wp:extent cx="5743575" cy="3488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4584" cy="348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C3" w:rsidRPr="00A64668" w:rsidRDefault="001769C3" w:rsidP="002C7C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 xml:space="preserve">Допуск </w:t>
      </w:r>
      <w:r w:rsidR="00AA326F" w:rsidRPr="00A64668">
        <w:rPr>
          <w:rFonts w:ascii="Times New Roman" w:hAnsi="Times New Roman" w:cs="Times New Roman"/>
          <w:b/>
          <w:sz w:val="24"/>
          <w:szCs w:val="28"/>
        </w:rPr>
        <w:t>к участию в механизмах торговли на оптовом рынке</w:t>
      </w:r>
    </w:p>
    <w:p w:rsidR="002C7C46" w:rsidRPr="00A64668" w:rsidRDefault="002D4C0C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Участвовать в механизмах торговли на оптовом рынке по </w:t>
      </w:r>
      <w:r w:rsidR="00AA51E2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>ГТП могут потребители</w:t>
      </w:r>
      <w:r w:rsidR="00455E37" w:rsidRPr="00A64668">
        <w:rPr>
          <w:rFonts w:ascii="Times New Roman" w:hAnsi="Times New Roman" w:cs="Times New Roman"/>
          <w:sz w:val="24"/>
          <w:szCs w:val="28"/>
        </w:rPr>
        <w:t xml:space="preserve"> (за исключением населения)</w:t>
      </w:r>
      <w:r w:rsidRPr="00A64668">
        <w:rPr>
          <w:rFonts w:ascii="Times New Roman" w:hAnsi="Times New Roman" w:cs="Times New Roman"/>
          <w:sz w:val="24"/>
          <w:szCs w:val="28"/>
        </w:rPr>
        <w:t>, удовлетворяющие следующим требованиям:</w:t>
      </w:r>
    </w:p>
    <w:p w:rsidR="00B117A1" w:rsidRPr="00A64668" w:rsidRDefault="00176D6E" w:rsidP="00176D6E">
      <w:pPr>
        <w:pStyle w:val="a5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наличие </w:t>
      </w:r>
      <w:r w:rsidR="00AA51E2">
        <w:rPr>
          <w:rFonts w:ascii="Times New Roman" w:hAnsi="Times New Roman" w:cs="Times New Roman"/>
          <w:sz w:val="24"/>
          <w:szCs w:val="28"/>
        </w:rPr>
        <w:t>приборов</w:t>
      </w:r>
      <w:r w:rsidRPr="00A64668">
        <w:rPr>
          <w:rFonts w:ascii="Times New Roman" w:hAnsi="Times New Roman" w:cs="Times New Roman"/>
          <w:sz w:val="24"/>
          <w:szCs w:val="28"/>
        </w:rPr>
        <w:t xml:space="preserve"> коммерческого учета</w:t>
      </w:r>
      <w:r w:rsidR="00AA51E2">
        <w:rPr>
          <w:rFonts w:ascii="Times New Roman" w:hAnsi="Times New Roman" w:cs="Times New Roman"/>
          <w:sz w:val="24"/>
          <w:szCs w:val="28"/>
        </w:rPr>
        <w:t>, позволяющих определять объемы электроэнергии по часам</w:t>
      </w:r>
      <w:r w:rsidR="002D4C0C" w:rsidRPr="00A64668">
        <w:rPr>
          <w:rFonts w:ascii="Times New Roman" w:hAnsi="Times New Roman" w:cs="Times New Roman"/>
          <w:sz w:val="24"/>
          <w:szCs w:val="28"/>
        </w:rPr>
        <w:t>;</w:t>
      </w:r>
    </w:p>
    <w:p w:rsidR="0009656E" w:rsidRPr="00A64668" w:rsidRDefault="00AA51E2" w:rsidP="00176D6E">
      <w:pPr>
        <w:pStyle w:val="a5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заключенный</w:t>
      </w:r>
      <w:r w:rsidR="002D4C0C" w:rsidRPr="00A64668">
        <w:rPr>
          <w:rFonts w:ascii="Times New Roman" w:hAnsi="Times New Roman" w:cs="Times New Roman"/>
          <w:sz w:val="24"/>
          <w:szCs w:val="28"/>
        </w:rPr>
        <w:t xml:space="preserve"> с сетевой </w:t>
      </w:r>
      <w:r w:rsidR="0009656E" w:rsidRPr="00A64668">
        <w:rPr>
          <w:rFonts w:ascii="Times New Roman" w:hAnsi="Times New Roman" w:cs="Times New Roman"/>
          <w:sz w:val="24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8"/>
        </w:rPr>
        <w:t xml:space="preserve">договор </w:t>
      </w:r>
      <w:r w:rsidR="002D4C0C" w:rsidRPr="00A64668">
        <w:rPr>
          <w:rFonts w:ascii="Times New Roman" w:hAnsi="Times New Roman" w:cs="Times New Roman"/>
          <w:sz w:val="24"/>
          <w:szCs w:val="28"/>
        </w:rPr>
        <w:t>на оплату услуг по передаче</w:t>
      </w:r>
      <w:r w:rsidR="003F1F2D" w:rsidRPr="00A64668">
        <w:rPr>
          <w:rFonts w:ascii="Times New Roman" w:hAnsi="Times New Roman" w:cs="Times New Roman"/>
          <w:sz w:val="24"/>
          <w:szCs w:val="28"/>
        </w:rPr>
        <w:t>;</w:t>
      </w:r>
    </w:p>
    <w:p w:rsidR="002D4C0C" w:rsidRPr="00A64668" w:rsidRDefault="0009656E" w:rsidP="00176D6E">
      <w:pPr>
        <w:pStyle w:val="a5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>наличие договора купли-продажи (поставки) электрической энергии (мощности) с гарантирующим поставщиком</w:t>
      </w:r>
      <w:r w:rsidR="00975A3A" w:rsidRPr="00A64668">
        <w:rPr>
          <w:rFonts w:ascii="Times New Roman" w:hAnsi="Times New Roman" w:cs="Times New Roman"/>
          <w:sz w:val="24"/>
          <w:szCs w:val="28"/>
        </w:rPr>
        <w:t>.</w:t>
      </w:r>
    </w:p>
    <w:p w:rsidR="002D4C0C" w:rsidRPr="00A64668" w:rsidRDefault="002D4C0C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Также в </w:t>
      </w:r>
      <w:r w:rsidR="0009656E" w:rsidRPr="00A64668">
        <w:rPr>
          <w:rFonts w:ascii="Times New Roman" w:hAnsi="Times New Roman" w:cs="Times New Roman"/>
          <w:sz w:val="24"/>
          <w:szCs w:val="28"/>
        </w:rPr>
        <w:t xml:space="preserve">торговле на </w:t>
      </w:r>
      <w:r w:rsidRPr="00A64668">
        <w:rPr>
          <w:rFonts w:ascii="Times New Roman" w:hAnsi="Times New Roman" w:cs="Times New Roman"/>
          <w:sz w:val="24"/>
          <w:szCs w:val="28"/>
        </w:rPr>
        <w:t>оптовом рынке могут участвовать энергосбытовые организации, в отношении потребителей, каждый из которых соответствует перечисленным требованиям.</w:t>
      </w:r>
    </w:p>
    <w:p w:rsidR="007C2B56" w:rsidRPr="00A64668" w:rsidRDefault="007C2B56" w:rsidP="007C2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1769C3" w:rsidRPr="00A64668" w:rsidRDefault="001769C3" w:rsidP="002C7C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Договоры</w:t>
      </w:r>
      <w:r w:rsidR="002C7C46" w:rsidRPr="00A64668">
        <w:rPr>
          <w:rFonts w:ascii="Times New Roman" w:hAnsi="Times New Roman" w:cs="Times New Roman"/>
          <w:b/>
          <w:sz w:val="24"/>
          <w:szCs w:val="28"/>
        </w:rPr>
        <w:t>, обеспечивающие торговлю на оптовом рынке</w:t>
      </w:r>
    </w:p>
    <w:p w:rsidR="00AE3D3B" w:rsidRPr="00A64668" w:rsidRDefault="00455AAD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>П</w:t>
      </w:r>
      <w:r w:rsidR="000D4B5B" w:rsidRPr="00A64668">
        <w:rPr>
          <w:rFonts w:ascii="Times New Roman" w:hAnsi="Times New Roman" w:cs="Times New Roman"/>
          <w:sz w:val="24"/>
          <w:szCs w:val="28"/>
        </w:rPr>
        <w:t>отребители и энергосбытовые организации</w:t>
      </w:r>
      <w:r w:rsidR="00210479" w:rsidRPr="00A64668">
        <w:rPr>
          <w:rFonts w:ascii="Times New Roman" w:hAnsi="Times New Roman" w:cs="Times New Roman"/>
          <w:sz w:val="24"/>
          <w:szCs w:val="28"/>
        </w:rPr>
        <w:t xml:space="preserve">, участвующие в торговле на оптовом рынке по </w:t>
      </w:r>
      <w:r w:rsidR="00AA51E2">
        <w:rPr>
          <w:rFonts w:ascii="Times New Roman" w:hAnsi="Times New Roman" w:cs="Times New Roman"/>
          <w:sz w:val="24"/>
          <w:szCs w:val="28"/>
        </w:rPr>
        <w:t>Е</w:t>
      </w:r>
      <w:r w:rsidR="00210479" w:rsidRPr="00A64668">
        <w:rPr>
          <w:rFonts w:ascii="Times New Roman" w:hAnsi="Times New Roman" w:cs="Times New Roman"/>
          <w:sz w:val="24"/>
          <w:szCs w:val="28"/>
        </w:rPr>
        <w:t xml:space="preserve">ГТП </w:t>
      </w:r>
      <w:r w:rsidR="000D4B5B" w:rsidRPr="00A64668">
        <w:rPr>
          <w:rFonts w:ascii="Times New Roman" w:hAnsi="Times New Roman" w:cs="Times New Roman"/>
          <w:sz w:val="24"/>
          <w:szCs w:val="28"/>
        </w:rPr>
        <w:t xml:space="preserve">(далее – покупатели по </w:t>
      </w:r>
      <w:r w:rsidR="00AA51E2">
        <w:rPr>
          <w:rFonts w:ascii="Times New Roman" w:hAnsi="Times New Roman" w:cs="Times New Roman"/>
          <w:sz w:val="24"/>
          <w:szCs w:val="28"/>
        </w:rPr>
        <w:t>Е</w:t>
      </w:r>
      <w:r w:rsidR="000D4B5B" w:rsidRPr="00A64668">
        <w:rPr>
          <w:rFonts w:ascii="Times New Roman" w:hAnsi="Times New Roman" w:cs="Times New Roman"/>
          <w:sz w:val="24"/>
          <w:szCs w:val="28"/>
        </w:rPr>
        <w:t xml:space="preserve">ГТП) </w:t>
      </w:r>
      <w:r w:rsidR="00AA51E2">
        <w:rPr>
          <w:rFonts w:ascii="Times New Roman" w:hAnsi="Times New Roman" w:cs="Times New Roman"/>
          <w:sz w:val="24"/>
          <w:szCs w:val="28"/>
        </w:rPr>
        <w:t xml:space="preserve">вступают в члены Ассоциации «НП Совет рынка», </w:t>
      </w:r>
      <w:r w:rsidR="000D4B5B" w:rsidRPr="00A64668">
        <w:rPr>
          <w:rFonts w:ascii="Times New Roman" w:hAnsi="Times New Roman" w:cs="Times New Roman"/>
          <w:sz w:val="24"/>
          <w:szCs w:val="28"/>
        </w:rPr>
        <w:t xml:space="preserve">заключают </w:t>
      </w:r>
      <w:r w:rsidR="00AE3D3B" w:rsidRPr="00A64668">
        <w:rPr>
          <w:rFonts w:ascii="Times New Roman" w:hAnsi="Times New Roman" w:cs="Times New Roman"/>
          <w:sz w:val="24"/>
          <w:szCs w:val="28"/>
        </w:rPr>
        <w:t>с коммерческим оператором договоры</w:t>
      </w:r>
      <w:r w:rsidR="00AA51E2">
        <w:rPr>
          <w:rFonts w:ascii="Times New Roman" w:hAnsi="Times New Roman" w:cs="Times New Roman"/>
          <w:sz w:val="24"/>
          <w:szCs w:val="28"/>
        </w:rPr>
        <w:t xml:space="preserve"> и соглашения</w:t>
      </w:r>
      <w:r w:rsidR="00AE3D3B" w:rsidRPr="00A64668">
        <w:rPr>
          <w:rFonts w:ascii="Times New Roman" w:hAnsi="Times New Roman" w:cs="Times New Roman"/>
          <w:sz w:val="24"/>
          <w:szCs w:val="28"/>
        </w:rPr>
        <w:t>, необходимые для участия во всех механизмах торговли на оптовом рынке (</w:t>
      </w:r>
      <w:r w:rsidR="00210479" w:rsidRPr="00A64668">
        <w:rPr>
          <w:rFonts w:ascii="Times New Roman" w:hAnsi="Times New Roman" w:cs="Times New Roman"/>
          <w:sz w:val="24"/>
          <w:szCs w:val="28"/>
        </w:rPr>
        <w:t>на рынке на сутки вперед (</w:t>
      </w:r>
      <w:r w:rsidR="00AE3D3B" w:rsidRPr="00A64668">
        <w:rPr>
          <w:rFonts w:ascii="Times New Roman" w:hAnsi="Times New Roman" w:cs="Times New Roman"/>
          <w:sz w:val="24"/>
          <w:szCs w:val="28"/>
        </w:rPr>
        <w:t>РСВ</w:t>
      </w:r>
      <w:r w:rsidR="00210479" w:rsidRPr="00A64668">
        <w:rPr>
          <w:rFonts w:ascii="Times New Roman" w:hAnsi="Times New Roman" w:cs="Times New Roman"/>
          <w:sz w:val="24"/>
          <w:szCs w:val="28"/>
        </w:rPr>
        <w:t>)</w:t>
      </w:r>
      <w:r w:rsidR="00AE3D3B" w:rsidRPr="00A64668">
        <w:rPr>
          <w:rFonts w:ascii="Times New Roman" w:hAnsi="Times New Roman" w:cs="Times New Roman"/>
          <w:sz w:val="24"/>
          <w:szCs w:val="28"/>
        </w:rPr>
        <w:t>,</w:t>
      </w:r>
      <w:r w:rsidR="00210479" w:rsidRPr="00A64668">
        <w:rPr>
          <w:rFonts w:ascii="Times New Roman" w:hAnsi="Times New Roman" w:cs="Times New Roman"/>
          <w:sz w:val="24"/>
          <w:szCs w:val="28"/>
        </w:rPr>
        <w:t xml:space="preserve"> на балансирующем рынке</w:t>
      </w:r>
      <w:r w:rsidR="00AE3D3B"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210479" w:rsidRPr="00A64668">
        <w:rPr>
          <w:rFonts w:ascii="Times New Roman" w:hAnsi="Times New Roman" w:cs="Times New Roman"/>
          <w:sz w:val="24"/>
          <w:szCs w:val="28"/>
        </w:rPr>
        <w:t>(</w:t>
      </w:r>
      <w:r w:rsidR="00AE3D3B" w:rsidRPr="00A64668">
        <w:rPr>
          <w:rFonts w:ascii="Times New Roman" w:hAnsi="Times New Roman" w:cs="Times New Roman"/>
          <w:sz w:val="24"/>
          <w:szCs w:val="28"/>
        </w:rPr>
        <w:t>БР</w:t>
      </w:r>
      <w:r w:rsidR="00210479" w:rsidRPr="00A64668">
        <w:rPr>
          <w:rFonts w:ascii="Times New Roman" w:hAnsi="Times New Roman" w:cs="Times New Roman"/>
          <w:sz w:val="24"/>
          <w:szCs w:val="28"/>
        </w:rPr>
        <w:t>)</w:t>
      </w:r>
      <w:r w:rsidR="00AE3D3B" w:rsidRPr="00A64668">
        <w:rPr>
          <w:rFonts w:ascii="Times New Roman" w:hAnsi="Times New Roman" w:cs="Times New Roman"/>
          <w:sz w:val="24"/>
          <w:szCs w:val="28"/>
        </w:rPr>
        <w:t xml:space="preserve">, </w:t>
      </w:r>
      <w:r w:rsidR="00210479" w:rsidRPr="00A64668">
        <w:rPr>
          <w:rFonts w:ascii="Times New Roman" w:hAnsi="Times New Roman" w:cs="Times New Roman"/>
          <w:sz w:val="24"/>
          <w:szCs w:val="28"/>
        </w:rPr>
        <w:t>по итогам конкурентного отбора мощности (</w:t>
      </w:r>
      <w:r w:rsidR="00AE3D3B" w:rsidRPr="00A64668">
        <w:rPr>
          <w:rFonts w:ascii="Times New Roman" w:hAnsi="Times New Roman" w:cs="Times New Roman"/>
          <w:sz w:val="24"/>
          <w:szCs w:val="28"/>
        </w:rPr>
        <w:t>КОМ</w:t>
      </w:r>
      <w:r w:rsidR="00210479" w:rsidRPr="00A64668">
        <w:rPr>
          <w:rFonts w:ascii="Times New Roman" w:hAnsi="Times New Roman" w:cs="Times New Roman"/>
          <w:sz w:val="24"/>
          <w:szCs w:val="28"/>
        </w:rPr>
        <w:t>)</w:t>
      </w:r>
      <w:r w:rsidR="00AE3D3B" w:rsidRPr="00A64668">
        <w:rPr>
          <w:rFonts w:ascii="Times New Roman" w:hAnsi="Times New Roman" w:cs="Times New Roman"/>
          <w:sz w:val="24"/>
          <w:szCs w:val="28"/>
        </w:rPr>
        <w:t>,</w:t>
      </w:r>
      <w:r w:rsidR="00210479" w:rsidRPr="00A64668">
        <w:rPr>
          <w:rFonts w:ascii="Times New Roman" w:hAnsi="Times New Roman" w:cs="Times New Roman"/>
          <w:sz w:val="24"/>
          <w:szCs w:val="28"/>
        </w:rPr>
        <w:t xml:space="preserve"> для покупки мощности, поставляемой в вынужденном режиме</w:t>
      </w:r>
      <w:r w:rsidR="00AE3D3B" w:rsidRPr="00A64668">
        <w:rPr>
          <w:rFonts w:ascii="Times New Roman" w:hAnsi="Times New Roman" w:cs="Times New Roman"/>
          <w:sz w:val="24"/>
          <w:szCs w:val="28"/>
        </w:rPr>
        <w:t xml:space="preserve"> ВР)</w:t>
      </w:r>
      <w:r w:rsidR="00AA51E2">
        <w:rPr>
          <w:rFonts w:ascii="Times New Roman" w:hAnsi="Times New Roman" w:cs="Times New Roman"/>
          <w:sz w:val="24"/>
          <w:szCs w:val="28"/>
        </w:rPr>
        <w:t>, получают допуск к торговле на оптовом рынке по ЕГТП</w:t>
      </w:r>
      <w:r w:rsidR="00AE3D3B" w:rsidRPr="00A6466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E3D3B" w:rsidRPr="00A64668" w:rsidRDefault="00AE3D3B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В части покупки мощности по </w:t>
      </w:r>
      <w:r w:rsidR="002C7C46" w:rsidRPr="00A64668">
        <w:rPr>
          <w:rFonts w:ascii="Times New Roman" w:hAnsi="Times New Roman" w:cs="Times New Roman"/>
          <w:sz w:val="24"/>
          <w:szCs w:val="28"/>
        </w:rPr>
        <w:t>договорам о предоставлении мощности (</w:t>
      </w:r>
      <w:r w:rsidRPr="00A64668">
        <w:rPr>
          <w:rFonts w:ascii="Times New Roman" w:hAnsi="Times New Roman" w:cs="Times New Roman"/>
          <w:sz w:val="24"/>
          <w:szCs w:val="28"/>
        </w:rPr>
        <w:t>ДПМ</w:t>
      </w:r>
      <w:r w:rsidR="002C7C46" w:rsidRPr="00A64668">
        <w:rPr>
          <w:rFonts w:ascii="Times New Roman" w:hAnsi="Times New Roman" w:cs="Times New Roman"/>
          <w:sz w:val="24"/>
          <w:szCs w:val="28"/>
        </w:rPr>
        <w:t>)</w:t>
      </w:r>
      <w:r w:rsidRPr="00A64668">
        <w:rPr>
          <w:rFonts w:ascii="Times New Roman" w:hAnsi="Times New Roman" w:cs="Times New Roman"/>
          <w:sz w:val="24"/>
          <w:szCs w:val="28"/>
        </w:rPr>
        <w:t xml:space="preserve"> для покупателей по </w:t>
      </w:r>
      <w:r w:rsidR="00DC0513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>ГТП устанавливается следующая особенность</w:t>
      </w:r>
      <w:r w:rsidR="002C7C46" w:rsidRPr="00A64668">
        <w:rPr>
          <w:rFonts w:ascii="Times New Roman" w:hAnsi="Times New Roman" w:cs="Times New Roman"/>
          <w:sz w:val="24"/>
          <w:szCs w:val="28"/>
        </w:rPr>
        <w:t xml:space="preserve"> (здесь и далее в понятие </w:t>
      </w:r>
      <w:r w:rsidR="002C7C46" w:rsidRPr="00A64668">
        <w:rPr>
          <w:rFonts w:ascii="Times New Roman" w:hAnsi="Times New Roman" w:cs="Times New Roman"/>
          <w:sz w:val="24"/>
          <w:szCs w:val="28"/>
        </w:rPr>
        <w:lastRenderedPageBreak/>
        <w:t xml:space="preserve">ДПМ включаются также </w:t>
      </w:r>
      <w:r w:rsidR="003075DB" w:rsidRPr="00A64668">
        <w:rPr>
          <w:rFonts w:ascii="Times New Roman" w:hAnsi="Times New Roman" w:cs="Times New Roman"/>
          <w:sz w:val="24"/>
          <w:szCs w:val="28"/>
        </w:rPr>
        <w:t xml:space="preserve">ДПМ ВИЭ и </w:t>
      </w:r>
      <w:r w:rsidR="002C7C46" w:rsidRPr="00A64668">
        <w:rPr>
          <w:rFonts w:ascii="Times New Roman" w:hAnsi="Times New Roman" w:cs="Times New Roman"/>
          <w:sz w:val="24"/>
          <w:szCs w:val="28"/>
        </w:rPr>
        <w:t>договоры купли</w:t>
      </w:r>
      <w:r w:rsidR="0009656E" w:rsidRPr="00A64668">
        <w:rPr>
          <w:rFonts w:ascii="Times New Roman" w:hAnsi="Times New Roman" w:cs="Times New Roman"/>
          <w:sz w:val="24"/>
          <w:szCs w:val="28"/>
        </w:rPr>
        <w:t>-</w:t>
      </w:r>
      <w:r w:rsidR="002C7C46" w:rsidRPr="00A64668">
        <w:rPr>
          <w:rFonts w:ascii="Times New Roman" w:hAnsi="Times New Roman" w:cs="Times New Roman"/>
          <w:sz w:val="24"/>
          <w:szCs w:val="28"/>
        </w:rPr>
        <w:t>продажи мощности новых АЭС и ГЭС)</w:t>
      </w:r>
      <w:r w:rsidRPr="00A64668">
        <w:rPr>
          <w:rFonts w:ascii="Times New Roman" w:hAnsi="Times New Roman" w:cs="Times New Roman"/>
          <w:sz w:val="24"/>
          <w:szCs w:val="28"/>
        </w:rPr>
        <w:t xml:space="preserve">. Указанные покупатели </w:t>
      </w:r>
      <w:r w:rsidR="007D3A50" w:rsidRPr="00A64668">
        <w:rPr>
          <w:rFonts w:ascii="Times New Roman" w:hAnsi="Times New Roman" w:cs="Times New Roman"/>
          <w:sz w:val="24"/>
          <w:szCs w:val="28"/>
        </w:rPr>
        <w:t>осуществляют п</w:t>
      </w:r>
      <w:r w:rsidRPr="00A64668">
        <w:rPr>
          <w:rFonts w:ascii="Times New Roman" w:hAnsi="Times New Roman" w:cs="Times New Roman"/>
          <w:sz w:val="24"/>
          <w:szCs w:val="28"/>
        </w:rPr>
        <w:t>окупку мощности</w:t>
      </w:r>
      <w:r w:rsidR="003075DB" w:rsidRPr="00A64668">
        <w:rPr>
          <w:rFonts w:ascii="Times New Roman" w:hAnsi="Times New Roman" w:cs="Times New Roman"/>
          <w:sz w:val="24"/>
          <w:szCs w:val="28"/>
        </w:rPr>
        <w:t>,</w:t>
      </w:r>
      <w:r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3075DB" w:rsidRPr="00A64668">
        <w:rPr>
          <w:rFonts w:ascii="Times New Roman" w:hAnsi="Times New Roman" w:cs="Times New Roman"/>
          <w:sz w:val="24"/>
          <w:szCs w:val="28"/>
        </w:rPr>
        <w:t xml:space="preserve">поставляемой </w:t>
      </w:r>
      <w:r w:rsidRPr="00A64668">
        <w:rPr>
          <w:rFonts w:ascii="Times New Roman" w:hAnsi="Times New Roman" w:cs="Times New Roman"/>
          <w:sz w:val="24"/>
          <w:szCs w:val="28"/>
        </w:rPr>
        <w:t>по ДПМ</w:t>
      </w:r>
      <w:r w:rsidR="003075DB" w:rsidRPr="00A64668">
        <w:rPr>
          <w:rFonts w:ascii="Times New Roman" w:hAnsi="Times New Roman" w:cs="Times New Roman"/>
          <w:sz w:val="24"/>
          <w:szCs w:val="28"/>
        </w:rPr>
        <w:t>,</w:t>
      </w:r>
      <w:r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7D3A50" w:rsidRPr="00A64668">
        <w:rPr>
          <w:rFonts w:ascii="Times New Roman" w:hAnsi="Times New Roman" w:cs="Times New Roman"/>
          <w:sz w:val="24"/>
          <w:szCs w:val="28"/>
        </w:rPr>
        <w:t>по</w:t>
      </w:r>
      <w:r w:rsidR="003075DB" w:rsidRPr="00A64668">
        <w:rPr>
          <w:rFonts w:ascii="Times New Roman" w:hAnsi="Times New Roman" w:cs="Times New Roman"/>
          <w:sz w:val="24"/>
          <w:szCs w:val="28"/>
        </w:rPr>
        <w:t xml:space="preserve">средством заключения </w:t>
      </w:r>
      <w:r w:rsidR="007D3A50" w:rsidRPr="00A64668">
        <w:rPr>
          <w:rFonts w:ascii="Times New Roman" w:hAnsi="Times New Roman" w:cs="Times New Roman"/>
          <w:sz w:val="24"/>
          <w:szCs w:val="28"/>
        </w:rPr>
        <w:t>с гарантирующ</w:t>
      </w:r>
      <w:r w:rsidR="00E80ABE" w:rsidRPr="00A64668">
        <w:rPr>
          <w:rFonts w:ascii="Times New Roman" w:hAnsi="Times New Roman" w:cs="Times New Roman"/>
          <w:sz w:val="24"/>
          <w:szCs w:val="28"/>
        </w:rPr>
        <w:t>и</w:t>
      </w:r>
      <w:r w:rsidR="007D3A50" w:rsidRPr="00A64668">
        <w:rPr>
          <w:rFonts w:ascii="Times New Roman" w:hAnsi="Times New Roman" w:cs="Times New Roman"/>
          <w:sz w:val="24"/>
          <w:szCs w:val="28"/>
        </w:rPr>
        <w:t>м поставщиком</w:t>
      </w:r>
      <w:r w:rsidR="00BF126E"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3075DB" w:rsidRPr="00A64668">
        <w:rPr>
          <w:rFonts w:ascii="Times New Roman" w:hAnsi="Times New Roman" w:cs="Times New Roman"/>
          <w:sz w:val="24"/>
          <w:szCs w:val="28"/>
        </w:rPr>
        <w:t xml:space="preserve">агентского договора </w:t>
      </w:r>
      <w:r w:rsidR="007D3A50" w:rsidRPr="00A64668">
        <w:rPr>
          <w:rFonts w:ascii="Times New Roman" w:hAnsi="Times New Roman" w:cs="Times New Roman"/>
          <w:sz w:val="24"/>
          <w:szCs w:val="28"/>
        </w:rPr>
        <w:t>по схеме комиссии</w:t>
      </w:r>
      <w:r w:rsidR="00BF126E" w:rsidRPr="00A64668">
        <w:rPr>
          <w:rFonts w:ascii="Times New Roman" w:hAnsi="Times New Roman" w:cs="Times New Roman"/>
          <w:sz w:val="24"/>
          <w:szCs w:val="28"/>
        </w:rPr>
        <w:t xml:space="preserve"> (гарантирующий поставщик заключает ДПМ </w:t>
      </w:r>
      <w:r w:rsidR="00E33885" w:rsidRPr="00A64668">
        <w:rPr>
          <w:rFonts w:ascii="Times New Roman" w:hAnsi="Times New Roman" w:cs="Times New Roman"/>
          <w:sz w:val="24"/>
          <w:szCs w:val="28"/>
        </w:rPr>
        <w:t>в интересах указанных покупателей от своего имени</w:t>
      </w:r>
      <w:r w:rsidR="003075DB" w:rsidRPr="00A64668">
        <w:rPr>
          <w:rFonts w:ascii="Times New Roman" w:hAnsi="Times New Roman" w:cs="Times New Roman"/>
          <w:sz w:val="24"/>
          <w:szCs w:val="28"/>
        </w:rPr>
        <w:t xml:space="preserve"> и за счет покупателей</w:t>
      </w:r>
      <w:r w:rsidR="00BF126E" w:rsidRPr="00A64668">
        <w:rPr>
          <w:rFonts w:ascii="Times New Roman" w:hAnsi="Times New Roman" w:cs="Times New Roman"/>
          <w:sz w:val="24"/>
          <w:szCs w:val="28"/>
        </w:rPr>
        <w:t>)</w:t>
      </w:r>
      <w:r w:rsidRPr="00A64668">
        <w:rPr>
          <w:rFonts w:ascii="Times New Roman" w:hAnsi="Times New Roman" w:cs="Times New Roman"/>
          <w:sz w:val="24"/>
          <w:szCs w:val="28"/>
        </w:rPr>
        <w:t>.</w:t>
      </w:r>
      <w:r w:rsidR="002C7C46" w:rsidRPr="00A64668">
        <w:rPr>
          <w:rFonts w:ascii="Times New Roman" w:hAnsi="Times New Roman" w:cs="Times New Roman"/>
          <w:sz w:val="24"/>
          <w:szCs w:val="28"/>
        </w:rPr>
        <w:t xml:space="preserve"> Для этого вводится нов</w:t>
      </w:r>
      <w:r w:rsidR="00BF126E" w:rsidRPr="00A64668">
        <w:rPr>
          <w:rFonts w:ascii="Times New Roman" w:hAnsi="Times New Roman" w:cs="Times New Roman"/>
          <w:sz w:val="24"/>
          <w:szCs w:val="28"/>
        </w:rPr>
        <w:t xml:space="preserve">ое </w:t>
      </w:r>
      <w:r w:rsidR="002C7C46" w:rsidRPr="00A64668">
        <w:rPr>
          <w:rFonts w:ascii="Times New Roman" w:hAnsi="Times New Roman" w:cs="Times New Roman"/>
          <w:sz w:val="24"/>
          <w:szCs w:val="28"/>
        </w:rPr>
        <w:t>приложение к договору о присоединении к торговой системе оптового рынка</w:t>
      </w:r>
      <w:r w:rsidR="00BF126E" w:rsidRPr="00A64668">
        <w:rPr>
          <w:rFonts w:ascii="Times New Roman" w:hAnsi="Times New Roman" w:cs="Times New Roman"/>
          <w:sz w:val="24"/>
          <w:szCs w:val="28"/>
        </w:rPr>
        <w:t xml:space="preserve"> – стандартная форма агентского договора с гарантирующим поставщиком на покупку мощности по ДПМ для покупателей по </w:t>
      </w:r>
      <w:r w:rsidR="00DC0513">
        <w:rPr>
          <w:rFonts w:ascii="Times New Roman" w:hAnsi="Times New Roman" w:cs="Times New Roman"/>
          <w:sz w:val="24"/>
          <w:szCs w:val="28"/>
        </w:rPr>
        <w:t>Е</w:t>
      </w:r>
      <w:r w:rsidR="00BF126E" w:rsidRPr="00A64668">
        <w:rPr>
          <w:rFonts w:ascii="Times New Roman" w:hAnsi="Times New Roman" w:cs="Times New Roman"/>
          <w:sz w:val="24"/>
          <w:szCs w:val="28"/>
        </w:rPr>
        <w:t>ГТП</w:t>
      </w:r>
      <w:r w:rsidR="002C7C46" w:rsidRPr="00A6466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C2B56" w:rsidRPr="00A64668" w:rsidRDefault="007C2B56" w:rsidP="002520F0">
      <w:p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69C3" w:rsidRPr="00A64668" w:rsidRDefault="001769C3" w:rsidP="00975A3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Коммерческий учет</w:t>
      </w:r>
    </w:p>
    <w:p w:rsidR="00FC4246" w:rsidRPr="00A64668" w:rsidRDefault="00FC4246" w:rsidP="0008631E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Процесс обмена данными коммерческого учета</w:t>
      </w:r>
    </w:p>
    <w:p w:rsidR="004367DA" w:rsidRPr="00A64668" w:rsidRDefault="00AA51E2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</w:t>
      </w:r>
      <w:r w:rsidR="00FC4246" w:rsidRPr="00A64668">
        <w:rPr>
          <w:rFonts w:ascii="Times New Roman" w:hAnsi="Times New Roman" w:cs="Times New Roman"/>
          <w:sz w:val="24"/>
          <w:szCs w:val="28"/>
        </w:rPr>
        <w:t>2-го числа месяца</w:t>
      </w:r>
      <w:r>
        <w:rPr>
          <w:rFonts w:ascii="Times New Roman" w:hAnsi="Times New Roman" w:cs="Times New Roman"/>
          <w:sz w:val="24"/>
          <w:szCs w:val="28"/>
        </w:rPr>
        <w:t>, следующего за месяцем поставки, покупатели по ЕГТП передают коммерческому оператору данные коммерческого учета о своем потреблении</w:t>
      </w:r>
      <w:r w:rsidR="00FC4246" w:rsidRPr="00A64668">
        <w:rPr>
          <w:rFonts w:ascii="Times New Roman" w:hAnsi="Times New Roman" w:cs="Times New Roman"/>
          <w:sz w:val="24"/>
          <w:szCs w:val="28"/>
        </w:rPr>
        <w:t xml:space="preserve">. </w:t>
      </w:r>
      <w:r w:rsidR="00DC0513">
        <w:rPr>
          <w:rFonts w:ascii="Times New Roman" w:hAnsi="Times New Roman" w:cs="Times New Roman"/>
          <w:sz w:val="24"/>
          <w:szCs w:val="28"/>
        </w:rPr>
        <w:t>Э</w:t>
      </w:r>
      <w:r w:rsidR="00FC4246" w:rsidRPr="00A64668">
        <w:rPr>
          <w:rFonts w:ascii="Times New Roman" w:hAnsi="Times New Roman" w:cs="Times New Roman"/>
          <w:sz w:val="24"/>
          <w:szCs w:val="28"/>
        </w:rPr>
        <w:t>нергосбытовая организация</w:t>
      </w:r>
      <w:r w:rsidR="00DC0513">
        <w:rPr>
          <w:rFonts w:ascii="Times New Roman" w:hAnsi="Times New Roman" w:cs="Times New Roman"/>
          <w:sz w:val="24"/>
          <w:szCs w:val="28"/>
        </w:rPr>
        <w:t xml:space="preserve"> – покупатель по ЕГТП, поставляющая электроэнергию розничным потребителям,</w:t>
      </w:r>
      <w:r w:rsidR="00FC4246" w:rsidRPr="00A64668">
        <w:rPr>
          <w:rFonts w:ascii="Times New Roman" w:hAnsi="Times New Roman" w:cs="Times New Roman"/>
          <w:sz w:val="24"/>
          <w:szCs w:val="28"/>
        </w:rPr>
        <w:t xml:space="preserve"> получает данные коммерческого учета от потребителей и в указанный срок передает </w:t>
      </w:r>
      <w:r w:rsidR="00DC0513">
        <w:rPr>
          <w:rFonts w:ascii="Times New Roman" w:hAnsi="Times New Roman" w:cs="Times New Roman"/>
          <w:sz w:val="24"/>
          <w:szCs w:val="28"/>
        </w:rPr>
        <w:t xml:space="preserve">их </w:t>
      </w:r>
      <w:r w:rsidR="00FC4246" w:rsidRPr="00A64668">
        <w:rPr>
          <w:rFonts w:ascii="Times New Roman" w:hAnsi="Times New Roman" w:cs="Times New Roman"/>
          <w:sz w:val="24"/>
          <w:szCs w:val="28"/>
        </w:rPr>
        <w:t>коммерческ</w:t>
      </w:r>
      <w:r w:rsidR="00DC0513">
        <w:rPr>
          <w:rFonts w:ascii="Times New Roman" w:hAnsi="Times New Roman" w:cs="Times New Roman"/>
          <w:sz w:val="24"/>
          <w:szCs w:val="28"/>
        </w:rPr>
        <w:t>ому</w:t>
      </w:r>
      <w:r w:rsidR="00FC4246" w:rsidRPr="00A64668">
        <w:rPr>
          <w:rFonts w:ascii="Times New Roman" w:hAnsi="Times New Roman" w:cs="Times New Roman"/>
          <w:sz w:val="24"/>
          <w:szCs w:val="28"/>
        </w:rPr>
        <w:t xml:space="preserve"> оператор</w:t>
      </w:r>
      <w:r w:rsidR="00DC0513">
        <w:rPr>
          <w:rFonts w:ascii="Times New Roman" w:hAnsi="Times New Roman" w:cs="Times New Roman"/>
          <w:sz w:val="24"/>
          <w:szCs w:val="28"/>
        </w:rPr>
        <w:t>у</w:t>
      </w:r>
      <w:r w:rsidR="00FC4246"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DC0513">
        <w:rPr>
          <w:rFonts w:ascii="Times New Roman" w:hAnsi="Times New Roman" w:cs="Times New Roman"/>
          <w:sz w:val="24"/>
          <w:szCs w:val="28"/>
        </w:rPr>
        <w:t>в разбивке по потребителям</w:t>
      </w:r>
      <w:r w:rsidR="00FC4246" w:rsidRPr="00A64668">
        <w:rPr>
          <w:rFonts w:ascii="Times New Roman" w:hAnsi="Times New Roman" w:cs="Times New Roman"/>
          <w:sz w:val="24"/>
          <w:szCs w:val="28"/>
        </w:rPr>
        <w:t>.</w:t>
      </w:r>
      <w:r w:rsidR="000F6E2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06CF" w:rsidRPr="00A64668" w:rsidRDefault="008A7904" w:rsidP="008E0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>К</w:t>
      </w:r>
      <w:r w:rsidR="00C63479" w:rsidRPr="00A64668">
        <w:rPr>
          <w:rFonts w:ascii="Times New Roman" w:hAnsi="Times New Roman" w:cs="Times New Roman"/>
          <w:sz w:val="24"/>
          <w:szCs w:val="28"/>
        </w:rPr>
        <w:t xml:space="preserve">оммерческий оператор </w:t>
      </w:r>
      <w:r w:rsidR="00DC0513">
        <w:rPr>
          <w:rFonts w:ascii="Times New Roman" w:hAnsi="Times New Roman" w:cs="Times New Roman"/>
          <w:sz w:val="24"/>
          <w:szCs w:val="28"/>
        </w:rPr>
        <w:t>размещает</w:t>
      </w:r>
      <w:r w:rsidR="00DC0513"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C63479" w:rsidRPr="00A64668">
        <w:rPr>
          <w:rFonts w:ascii="Times New Roman" w:hAnsi="Times New Roman" w:cs="Times New Roman"/>
          <w:sz w:val="24"/>
          <w:szCs w:val="28"/>
        </w:rPr>
        <w:t xml:space="preserve">полученные от покупателей по </w:t>
      </w:r>
      <w:r w:rsidR="00DC0513">
        <w:rPr>
          <w:rFonts w:ascii="Times New Roman" w:hAnsi="Times New Roman" w:cs="Times New Roman"/>
          <w:sz w:val="24"/>
          <w:szCs w:val="28"/>
        </w:rPr>
        <w:t>Е</w:t>
      </w:r>
      <w:r w:rsidR="00C63479" w:rsidRPr="00A64668">
        <w:rPr>
          <w:rFonts w:ascii="Times New Roman" w:hAnsi="Times New Roman" w:cs="Times New Roman"/>
          <w:sz w:val="24"/>
          <w:szCs w:val="28"/>
        </w:rPr>
        <w:t xml:space="preserve">ГТП данные </w:t>
      </w:r>
      <w:r w:rsidR="00550F1A" w:rsidRPr="00A64668">
        <w:rPr>
          <w:rFonts w:ascii="Times New Roman" w:hAnsi="Times New Roman" w:cs="Times New Roman"/>
          <w:sz w:val="24"/>
          <w:szCs w:val="28"/>
        </w:rPr>
        <w:t xml:space="preserve">коммерческого учета </w:t>
      </w:r>
      <w:r w:rsidR="00C63479" w:rsidRPr="00A64668">
        <w:rPr>
          <w:rFonts w:ascii="Times New Roman" w:hAnsi="Times New Roman" w:cs="Times New Roman"/>
          <w:sz w:val="24"/>
          <w:szCs w:val="28"/>
        </w:rPr>
        <w:t xml:space="preserve">в доступе для </w:t>
      </w:r>
      <w:r w:rsidR="00DC0513">
        <w:rPr>
          <w:rFonts w:ascii="Times New Roman" w:hAnsi="Times New Roman" w:cs="Times New Roman"/>
          <w:sz w:val="24"/>
          <w:szCs w:val="28"/>
        </w:rPr>
        <w:t xml:space="preserve">соответствующего </w:t>
      </w:r>
      <w:r w:rsidR="00550F1A" w:rsidRPr="00A64668">
        <w:rPr>
          <w:rFonts w:ascii="Times New Roman" w:hAnsi="Times New Roman" w:cs="Times New Roman"/>
          <w:sz w:val="24"/>
          <w:szCs w:val="28"/>
        </w:rPr>
        <w:t xml:space="preserve">гарантирующего поставщика и </w:t>
      </w:r>
      <w:r w:rsidR="00C63479" w:rsidRPr="00A64668">
        <w:rPr>
          <w:rFonts w:ascii="Times New Roman" w:hAnsi="Times New Roman" w:cs="Times New Roman"/>
          <w:sz w:val="24"/>
          <w:szCs w:val="28"/>
        </w:rPr>
        <w:t xml:space="preserve">сетевых организаций. </w:t>
      </w:r>
      <w:r w:rsidR="00550F1A" w:rsidRPr="00A64668">
        <w:rPr>
          <w:rFonts w:ascii="Times New Roman" w:hAnsi="Times New Roman" w:cs="Times New Roman"/>
          <w:sz w:val="24"/>
          <w:szCs w:val="28"/>
        </w:rPr>
        <w:t>Гарантирующий поставщик использует указанные данные при определении объема потерь по территории, а также стоимости электроэнергии (мощности) для потребителей,</w:t>
      </w:r>
      <w:r w:rsidR="00DC0513">
        <w:rPr>
          <w:rFonts w:ascii="Times New Roman" w:hAnsi="Times New Roman" w:cs="Times New Roman"/>
          <w:sz w:val="24"/>
          <w:szCs w:val="28"/>
        </w:rPr>
        <w:t xml:space="preserve"> относящихся к 1-ой категории. </w:t>
      </w:r>
    </w:p>
    <w:p w:rsidR="00550F1A" w:rsidRPr="00A64668" w:rsidRDefault="00550F1A" w:rsidP="008E0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Сетевые организации </w:t>
      </w:r>
      <w:r w:rsidR="00DC0513">
        <w:rPr>
          <w:rFonts w:ascii="Times New Roman" w:hAnsi="Times New Roman" w:cs="Times New Roman"/>
          <w:sz w:val="24"/>
          <w:szCs w:val="28"/>
        </w:rPr>
        <w:t>могут произвести</w:t>
      </w:r>
      <w:r w:rsidRPr="00A64668">
        <w:rPr>
          <w:rFonts w:ascii="Times New Roman" w:hAnsi="Times New Roman" w:cs="Times New Roman"/>
          <w:sz w:val="24"/>
          <w:szCs w:val="28"/>
        </w:rPr>
        <w:t xml:space="preserve"> сравнение опубликованных коммерческим оператором данных коммерческого учета с данными</w:t>
      </w:r>
      <w:r w:rsidR="001F39F4" w:rsidRPr="00A64668">
        <w:rPr>
          <w:rFonts w:ascii="Times New Roman" w:hAnsi="Times New Roman" w:cs="Times New Roman"/>
          <w:sz w:val="24"/>
          <w:szCs w:val="28"/>
        </w:rPr>
        <w:t>,</w:t>
      </w:r>
      <w:r w:rsidRPr="00A64668">
        <w:rPr>
          <w:rFonts w:ascii="Times New Roman" w:hAnsi="Times New Roman" w:cs="Times New Roman"/>
          <w:sz w:val="24"/>
          <w:szCs w:val="28"/>
        </w:rPr>
        <w:t xml:space="preserve"> имеющимися в распоряжении соответствующих сетевых организаций. </w:t>
      </w:r>
    </w:p>
    <w:p w:rsidR="00F52F72" w:rsidRDefault="003B27C4" w:rsidP="00F5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204A3AE6" wp14:editId="5AC23CA8">
            <wp:extent cx="4745326" cy="2809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8588" cy="28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2D" w:rsidRPr="00A64668" w:rsidRDefault="008E06CF" w:rsidP="008E0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lastRenderedPageBreak/>
        <w:t xml:space="preserve">При выявлении </w:t>
      </w:r>
      <w:r w:rsidR="006A66B5">
        <w:rPr>
          <w:rFonts w:ascii="Times New Roman" w:hAnsi="Times New Roman" w:cs="Times New Roman"/>
          <w:sz w:val="24"/>
          <w:szCs w:val="28"/>
        </w:rPr>
        <w:t xml:space="preserve">значительной </w:t>
      </w:r>
      <w:r w:rsidRPr="00A64668">
        <w:rPr>
          <w:rFonts w:ascii="Times New Roman" w:hAnsi="Times New Roman" w:cs="Times New Roman"/>
          <w:sz w:val="24"/>
          <w:szCs w:val="28"/>
        </w:rPr>
        <w:t>некорректности данных коммерческого учета, переда</w:t>
      </w:r>
      <w:r w:rsidR="002D4C88" w:rsidRPr="00A64668">
        <w:rPr>
          <w:rFonts w:ascii="Times New Roman" w:hAnsi="Times New Roman" w:cs="Times New Roman"/>
          <w:sz w:val="24"/>
          <w:szCs w:val="28"/>
        </w:rPr>
        <w:t>нных коммерческому оператору</w:t>
      </w:r>
      <w:r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3F1F2D" w:rsidRPr="00A64668">
        <w:rPr>
          <w:rFonts w:ascii="Times New Roman" w:hAnsi="Times New Roman" w:cs="Times New Roman"/>
          <w:sz w:val="24"/>
          <w:szCs w:val="28"/>
        </w:rPr>
        <w:t>потребителем</w:t>
      </w:r>
      <w:r w:rsidR="002D4C88" w:rsidRPr="00A64668">
        <w:rPr>
          <w:rFonts w:ascii="Times New Roman" w:hAnsi="Times New Roman" w:cs="Times New Roman"/>
          <w:sz w:val="24"/>
          <w:szCs w:val="28"/>
        </w:rPr>
        <w:t xml:space="preserve"> – </w:t>
      </w:r>
      <w:r w:rsidRPr="00A64668">
        <w:rPr>
          <w:rFonts w:ascii="Times New Roman" w:hAnsi="Times New Roman" w:cs="Times New Roman"/>
          <w:sz w:val="24"/>
          <w:szCs w:val="28"/>
        </w:rPr>
        <w:t xml:space="preserve">покупателем по </w:t>
      </w:r>
      <w:r w:rsidR="00DC0513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>ГТП</w:t>
      </w:r>
      <w:r w:rsidR="00B03041">
        <w:rPr>
          <w:rFonts w:ascii="Times New Roman" w:hAnsi="Times New Roman" w:cs="Times New Roman"/>
          <w:sz w:val="24"/>
          <w:szCs w:val="28"/>
        </w:rPr>
        <w:t>,</w:t>
      </w:r>
      <w:r w:rsidR="003F1F2D" w:rsidRPr="00A64668">
        <w:rPr>
          <w:rFonts w:ascii="Times New Roman" w:hAnsi="Times New Roman" w:cs="Times New Roman"/>
          <w:sz w:val="24"/>
          <w:szCs w:val="28"/>
        </w:rPr>
        <w:t xml:space="preserve"> такой потребитель</w:t>
      </w:r>
      <w:r w:rsidRPr="00A64668">
        <w:rPr>
          <w:rFonts w:ascii="Times New Roman" w:hAnsi="Times New Roman" w:cs="Times New Roman"/>
          <w:sz w:val="24"/>
          <w:szCs w:val="28"/>
        </w:rPr>
        <w:t xml:space="preserve"> утрачива</w:t>
      </w:r>
      <w:r w:rsidR="003F1F2D" w:rsidRPr="00A64668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>т статус субъекта оптового рынка и переход</w:t>
      </w:r>
      <w:r w:rsidR="003F1F2D" w:rsidRPr="00A64668">
        <w:rPr>
          <w:rFonts w:ascii="Times New Roman" w:hAnsi="Times New Roman" w:cs="Times New Roman"/>
          <w:sz w:val="24"/>
          <w:szCs w:val="28"/>
        </w:rPr>
        <w:t>и</w:t>
      </w:r>
      <w:r w:rsidRPr="00A64668">
        <w:rPr>
          <w:rFonts w:ascii="Times New Roman" w:hAnsi="Times New Roman" w:cs="Times New Roman"/>
          <w:sz w:val="24"/>
          <w:szCs w:val="28"/>
        </w:rPr>
        <w:t>т на обслуживание к гарантирующему поставщику</w:t>
      </w:r>
      <w:r w:rsidR="003F1F2D" w:rsidRPr="00A64668">
        <w:rPr>
          <w:rFonts w:ascii="Times New Roman" w:hAnsi="Times New Roman" w:cs="Times New Roman"/>
          <w:sz w:val="24"/>
          <w:szCs w:val="28"/>
        </w:rPr>
        <w:t>.</w:t>
      </w:r>
      <w:r w:rsidR="00DC051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4675" w:rsidRPr="00A64668" w:rsidRDefault="00DC0513" w:rsidP="00DC0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некорректные данные были переданы </w:t>
      </w:r>
      <w:r w:rsidR="003F1F2D" w:rsidRPr="00A64668">
        <w:rPr>
          <w:rFonts w:ascii="Times New Roman" w:hAnsi="Times New Roman" w:cs="Times New Roman"/>
          <w:sz w:val="24"/>
          <w:szCs w:val="28"/>
        </w:rPr>
        <w:t>энергосбытовой организаци</w:t>
      </w:r>
      <w:r w:rsidR="002D4C88" w:rsidRPr="00A64668">
        <w:rPr>
          <w:rFonts w:ascii="Times New Roman" w:hAnsi="Times New Roman" w:cs="Times New Roman"/>
          <w:sz w:val="24"/>
          <w:szCs w:val="28"/>
        </w:rPr>
        <w:t xml:space="preserve">ей – </w:t>
      </w:r>
      <w:r w:rsidR="003F1F2D" w:rsidRPr="00A64668">
        <w:rPr>
          <w:rFonts w:ascii="Times New Roman" w:hAnsi="Times New Roman" w:cs="Times New Roman"/>
          <w:sz w:val="24"/>
          <w:szCs w:val="28"/>
        </w:rPr>
        <w:t xml:space="preserve">покупателем по </w:t>
      </w:r>
      <w:r>
        <w:rPr>
          <w:rFonts w:ascii="Times New Roman" w:hAnsi="Times New Roman" w:cs="Times New Roman"/>
          <w:sz w:val="24"/>
          <w:szCs w:val="28"/>
        </w:rPr>
        <w:t>Е</w:t>
      </w:r>
      <w:r w:rsidR="003F1F2D" w:rsidRPr="00A64668">
        <w:rPr>
          <w:rFonts w:ascii="Times New Roman" w:hAnsi="Times New Roman" w:cs="Times New Roman"/>
          <w:sz w:val="24"/>
          <w:szCs w:val="28"/>
        </w:rPr>
        <w:t xml:space="preserve">ГТП </w:t>
      </w:r>
      <w:r w:rsidR="002D4C88" w:rsidRPr="00A64668">
        <w:rPr>
          <w:rFonts w:ascii="Times New Roman" w:hAnsi="Times New Roman" w:cs="Times New Roman"/>
          <w:sz w:val="24"/>
          <w:szCs w:val="28"/>
        </w:rPr>
        <w:t xml:space="preserve">в отношении какого-либо из обслуживаемых ей потребителей, </w:t>
      </w:r>
      <w:r>
        <w:rPr>
          <w:rFonts w:ascii="Times New Roman" w:hAnsi="Times New Roman" w:cs="Times New Roman"/>
          <w:sz w:val="24"/>
          <w:szCs w:val="28"/>
        </w:rPr>
        <w:t>энерго</w:t>
      </w:r>
      <w:r w:rsidR="006A66B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бытовая компания останется на оптовом рынке (за исключением случая, когда некорректные данные переданы по всем потребителям этой энерго</w:t>
      </w:r>
      <w:r w:rsidR="006A66B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бытовой компании), а </w:t>
      </w:r>
      <w:r w:rsidR="00677BD1" w:rsidRPr="00A64668">
        <w:rPr>
          <w:rFonts w:ascii="Times New Roman" w:hAnsi="Times New Roman" w:cs="Times New Roman"/>
          <w:sz w:val="24"/>
          <w:szCs w:val="28"/>
        </w:rPr>
        <w:t>соответствующи</w:t>
      </w:r>
      <w:r w:rsidR="002D4C88" w:rsidRPr="00A64668">
        <w:rPr>
          <w:rFonts w:ascii="Times New Roman" w:hAnsi="Times New Roman" w:cs="Times New Roman"/>
          <w:sz w:val="24"/>
          <w:szCs w:val="28"/>
        </w:rPr>
        <w:t>й</w:t>
      </w:r>
      <w:r w:rsidR="00677BD1" w:rsidRPr="00A64668">
        <w:rPr>
          <w:rFonts w:ascii="Times New Roman" w:hAnsi="Times New Roman" w:cs="Times New Roman"/>
          <w:sz w:val="24"/>
          <w:szCs w:val="28"/>
        </w:rPr>
        <w:t xml:space="preserve"> потребител</w:t>
      </w:r>
      <w:r w:rsidR="002D4C88" w:rsidRPr="00A64668">
        <w:rPr>
          <w:rFonts w:ascii="Times New Roman" w:hAnsi="Times New Roman" w:cs="Times New Roman"/>
          <w:sz w:val="24"/>
          <w:szCs w:val="28"/>
        </w:rPr>
        <w:t>ь</w:t>
      </w:r>
      <w:r w:rsidR="00677BD1" w:rsidRPr="00A64668">
        <w:rPr>
          <w:rFonts w:ascii="Times New Roman" w:hAnsi="Times New Roman" w:cs="Times New Roman"/>
          <w:sz w:val="24"/>
          <w:szCs w:val="28"/>
        </w:rPr>
        <w:t xml:space="preserve"> переход</w:t>
      </w:r>
      <w:r w:rsidR="002D4C88" w:rsidRPr="00A64668">
        <w:rPr>
          <w:rFonts w:ascii="Times New Roman" w:hAnsi="Times New Roman" w:cs="Times New Roman"/>
          <w:sz w:val="24"/>
          <w:szCs w:val="28"/>
        </w:rPr>
        <w:t>и</w:t>
      </w:r>
      <w:r w:rsidR="00677BD1" w:rsidRPr="00A64668">
        <w:rPr>
          <w:rFonts w:ascii="Times New Roman" w:hAnsi="Times New Roman" w:cs="Times New Roman"/>
          <w:sz w:val="24"/>
          <w:szCs w:val="28"/>
        </w:rPr>
        <w:t>т на обслуживание к гарантирующему поставщику</w:t>
      </w:r>
      <w:r w:rsidR="002D4C88" w:rsidRPr="00A64668">
        <w:rPr>
          <w:rFonts w:ascii="Times New Roman" w:hAnsi="Times New Roman" w:cs="Times New Roman"/>
          <w:sz w:val="24"/>
          <w:szCs w:val="28"/>
        </w:rPr>
        <w:t xml:space="preserve"> и перестает учитываться на оптовом рынке</w:t>
      </w:r>
      <w:r w:rsidR="001F097B" w:rsidRPr="00A64668">
        <w:rPr>
          <w:rFonts w:ascii="Times New Roman" w:hAnsi="Times New Roman" w:cs="Times New Roman"/>
          <w:sz w:val="24"/>
          <w:szCs w:val="28"/>
        </w:rPr>
        <w:t xml:space="preserve"> в числе потребителей такой энергосбытовой организации</w:t>
      </w:r>
      <w:r w:rsidR="00677BD1" w:rsidRPr="00A64668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2FB8" w:rsidRPr="00A64668" w:rsidRDefault="00771B17" w:rsidP="008E0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Гарантирующий поставщик в </w:t>
      </w:r>
      <w:r w:rsidR="008E06CF" w:rsidRPr="00A64668">
        <w:rPr>
          <w:rFonts w:ascii="Times New Roman" w:hAnsi="Times New Roman" w:cs="Times New Roman"/>
          <w:sz w:val="24"/>
          <w:szCs w:val="28"/>
        </w:rPr>
        <w:t>расчетах</w:t>
      </w:r>
      <w:r w:rsidR="0076561C" w:rsidRPr="00A64668">
        <w:rPr>
          <w:rFonts w:ascii="Times New Roman" w:hAnsi="Times New Roman" w:cs="Times New Roman"/>
          <w:sz w:val="24"/>
          <w:szCs w:val="28"/>
        </w:rPr>
        <w:t xml:space="preserve"> за электроэнергию</w:t>
      </w:r>
      <w:r w:rsidR="008E06CF"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Pr="00A64668">
        <w:rPr>
          <w:rFonts w:ascii="Times New Roman" w:hAnsi="Times New Roman" w:cs="Times New Roman"/>
          <w:sz w:val="24"/>
          <w:szCs w:val="28"/>
        </w:rPr>
        <w:t>с потребителями, перешед</w:t>
      </w:r>
      <w:r w:rsidR="0076561C" w:rsidRPr="00A64668">
        <w:rPr>
          <w:rFonts w:ascii="Times New Roman" w:hAnsi="Times New Roman" w:cs="Times New Roman"/>
          <w:sz w:val="24"/>
          <w:szCs w:val="28"/>
        </w:rPr>
        <w:t>шими на обслуживание к гарантирующему поставщику в вышеуказанных случаях, учитывает несоответствие переда</w:t>
      </w:r>
      <w:r w:rsidR="001F097B" w:rsidRPr="00A64668">
        <w:rPr>
          <w:rFonts w:ascii="Times New Roman" w:hAnsi="Times New Roman" w:cs="Times New Roman"/>
          <w:sz w:val="24"/>
          <w:szCs w:val="28"/>
        </w:rPr>
        <w:t>нных</w:t>
      </w:r>
      <w:r w:rsidR="0076561C" w:rsidRPr="00A64668">
        <w:rPr>
          <w:rFonts w:ascii="Times New Roman" w:hAnsi="Times New Roman" w:cs="Times New Roman"/>
          <w:sz w:val="24"/>
          <w:szCs w:val="28"/>
        </w:rPr>
        <w:t xml:space="preserve"> коммерческому оператору данных коммерческого учета корректным значениям </w:t>
      </w:r>
      <w:r w:rsidR="008E06CF" w:rsidRPr="00A64668">
        <w:rPr>
          <w:rFonts w:ascii="Times New Roman" w:hAnsi="Times New Roman" w:cs="Times New Roman"/>
          <w:sz w:val="24"/>
          <w:szCs w:val="28"/>
        </w:rPr>
        <w:t>в последующи</w:t>
      </w:r>
      <w:r w:rsidR="0076561C" w:rsidRPr="00A64668">
        <w:rPr>
          <w:rFonts w:ascii="Times New Roman" w:hAnsi="Times New Roman" w:cs="Times New Roman"/>
          <w:sz w:val="24"/>
          <w:szCs w:val="28"/>
        </w:rPr>
        <w:t>х</w:t>
      </w:r>
      <w:r w:rsidR="008E06CF" w:rsidRPr="00A64668">
        <w:rPr>
          <w:rFonts w:ascii="Times New Roman" w:hAnsi="Times New Roman" w:cs="Times New Roman"/>
          <w:sz w:val="24"/>
          <w:szCs w:val="28"/>
        </w:rPr>
        <w:t xml:space="preserve"> расчетны</w:t>
      </w:r>
      <w:r w:rsidR="0076561C" w:rsidRPr="00A64668">
        <w:rPr>
          <w:rFonts w:ascii="Times New Roman" w:hAnsi="Times New Roman" w:cs="Times New Roman"/>
          <w:sz w:val="24"/>
          <w:szCs w:val="28"/>
        </w:rPr>
        <w:t>х</w:t>
      </w:r>
      <w:r w:rsidR="008E06CF" w:rsidRPr="00A64668">
        <w:rPr>
          <w:rFonts w:ascii="Times New Roman" w:hAnsi="Times New Roman" w:cs="Times New Roman"/>
          <w:sz w:val="24"/>
          <w:szCs w:val="28"/>
        </w:rPr>
        <w:t xml:space="preserve"> период</w:t>
      </w:r>
      <w:r w:rsidR="0076561C" w:rsidRPr="00A64668">
        <w:rPr>
          <w:rFonts w:ascii="Times New Roman" w:hAnsi="Times New Roman" w:cs="Times New Roman"/>
          <w:sz w:val="24"/>
          <w:szCs w:val="28"/>
        </w:rPr>
        <w:t>ах</w:t>
      </w:r>
      <w:r w:rsidR="006D421A">
        <w:rPr>
          <w:rFonts w:ascii="Times New Roman" w:hAnsi="Times New Roman" w:cs="Times New Roman"/>
          <w:sz w:val="24"/>
          <w:szCs w:val="28"/>
        </w:rPr>
        <w:t xml:space="preserve"> расчетным способом, </w:t>
      </w:r>
      <w:r w:rsidR="006D421A" w:rsidRPr="0008631E">
        <w:rPr>
          <w:rFonts w:ascii="Times New Roman" w:hAnsi="Times New Roman" w:cs="Times New Roman"/>
          <w:sz w:val="24"/>
          <w:szCs w:val="28"/>
        </w:rPr>
        <w:t xml:space="preserve">предусмотренным для случаев </w:t>
      </w:r>
      <w:proofErr w:type="spellStart"/>
      <w:r w:rsidR="006D421A" w:rsidRPr="0008631E">
        <w:rPr>
          <w:rFonts w:ascii="Times New Roman" w:hAnsi="Times New Roman" w:cs="Times New Roman"/>
          <w:sz w:val="24"/>
          <w:szCs w:val="28"/>
        </w:rPr>
        <w:t>безучетного</w:t>
      </w:r>
      <w:proofErr w:type="spellEnd"/>
      <w:r w:rsidR="006D421A" w:rsidRPr="0008631E">
        <w:rPr>
          <w:rFonts w:ascii="Times New Roman" w:hAnsi="Times New Roman" w:cs="Times New Roman"/>
          <w:sz w:val="24"/>
          <w:szCs w:val="28"/>
        </w:rPr>
        <w:t xml:space="preserve"> потребления в постановлении Правительства Российской Федерации </w:t>
      </w:r>
      <w:r w:rsidR="00385E2E" w:rsidRPr="0008631E">
        <w:rPr>
          <w:rFonts w:ascii="Times New Roman" w:hAnsi="Times New Roman" w:cs="Times New Roman"/>
          <w:sz w:val="24"/>
          <w:szCs w:val="28"/>
        </w:rPr>
        <w:t xml:space="preserve">от 4 мая 2012 г. </w:t>
      </w:r>
      <w:r w:rsidR="006D421A" w:rsidRPr="0008631E">
        <w:rPr>
          <w:rFonts w:ascii="Times New Roman" w:hAnsi="Times New Roman" w:cs="Times New Roman"/>
          <w:sz w:val="24"/>
          <w:szCs w:val="28"/>
        </w:rPr>
        <w:t>№ 442</w:t>
      </w:r>
      <w:r w:rsidR="0076561C" w:rsidRPr="0008631E">
        <w:rPr>
          <w:rFonts w:ascii="Times New Roman" w:hAnsi="Times New Roman" w:cs="Times New Roman"/>
          <w:sz w:val="24"/>
          <w:szCs w:val="28"/>
        </w:rPr>
        <w:t>.</w:t>
      </w:r>
      <w:r w:rsidR="008E06CF" w:rsidRPr="00A646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335E" w:rsidRDefault="0019335E" w:rsidP="00193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AB" w:rsidRPr="00A64668" w:rsidRDefault="00F620AB" w:rsidP="0008631E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Расчеты на розничном рынке между гарантирующим поставщиком и потребителем после уход</w:t>
      </w:r>
      <w:r w:rsidR="0012440B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потребителя с оптового рынка вследствие выявления некорректных данных коммерческого учета</w:t>
      </w:r>
    </w:p>
    <w:p w:rsidR="006D421A" w:rsidRDefault="00F620AB" w:rsidP="008E0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Передача потребителем, участвующ</w:t>
      </w:r>
      <w:r w:rsidR="00F534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м в торговле на оптовом рынке по </w:t>
      </w:r>
      <w:r w:rsidR="006D421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ГТП, некорректных данных коммерческого учета коммерческому оператору </w:t>
      </w:r>
      <w:r w:rsidR="006D421A">
        <w:rPr>
          <w:rFonts w:ascii="Times New Roman" w:hAnsi="Times New Roman" w:cs="Times New Roman"/>
          <w:sz w:val="24"/>
          <w:szCs w:val="28"/>
        </w:rPr>
        <w:t xml:space="preserve">приводит к </w:t>
      </w:r>
      <w:r>
        <w:rPr>
          <w:rFonts w:ascii="Times New Roman" w:hAnsi="Times New Roman" w:cs="Times New Roman"/>
          <w:sz w:val="24"/>
          <w:szCs w:val="28"/>
        </w:rPr>
        <w:t>искажени</w:t>
      </w:r>
      <w:r w:rsidR="006D421A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объемов и стоимости покупки электроэнергии и мощности на оптовом рынке гарантирующим поставщиком</w:t>
      </w:r>
      <w:r w:rsidR="006D421A">
        <w:rPr>
          <w:rFonts w:ascii="Times New Roman" w:hAnsi="Times New Roman" w:cs="Times New Roman"/>
          <w:sz w:val="24"/>
          <w:szCs w:val="28"/>
        </w:rPr>
        <w:t>, что</w:t>
      </w:r>
      <w:r>
        <w:rPr>
          <w:rFonts w:ascii="Times New Roman" w:hAnsi="Times New Roman" w:cs="Times New Roman"/>
          <w:sz w:val="24"/>
          <w:szCs w:val="28"/>
        </w:rPr>
        <w:t xml:space="preserve"> оказывает влияние на стоимость электроэнергии (мощности) для потребителей</w:t>
      </w:r>
      <w:r w:rsidR="006D421A">
        <w:rPr>
          <w:rFonts w:ascii="Times New Roman" w:hAnsi="Times New Roman" w:cs="Times New Roman"/>
          <w:sz w:val="24"/>
          <w:szCs w:val="28"/>
        </w:rPr>
        <w:t xml:space="preserve"> 1-ой ценовой категории</w:t>
      </w:r>
      <w:r>
        <w:rPr>
          <w:rFonts w:ascii="Times New Roman" w:hAnsi="Times New Roman" w:cs="Times New Roman"/>
          <w:sz w:val="24"/>
          <w:szCs w:val="28"/>
        </w:rPr>
        <w:t xml:space="preserve">, а также </w:t>
      </w:r>
      <w:r w:rsidR="006D421A">
        <w:rPr>
          <w:rFonts w:ascii="Times New Roman" w:hAnsi="Times New Roman" w:cs="Times New Roman"/>
          <w:sz w:val="24"/>
          <w:szCs w:val="28"/>
        </w:rPr>
        <w:t xml:space="preserve">на объем и стоимость электроэнергии, </w:t>
      </w:r>
      <w:r>
        <w:rPr>
          <w:rFonts w:ascii="Times New Roman" w:hAnsi="Times New Roman" w:cs="Times New Roman"/>
          <w:sz w:val="24"/>
          <w:szCs w:val="28"/>
        </w:rPr>
        <w:t>приобрета</w:t>
      </w:r>
      <w:r w:rsidR="006D421A">
        <w:rPr>
          <w:rFonts w:ascii="Times New Roman" w:hAnsi="Times New Roman" w:cs="Times New Roman"/>
          <w:sz w:val="24"/>
          <w:szCs w:val="28"/>
        </w:rPr>
        <w:t>емой сетевой организацией</w:t>
      </w:r>
      <w:r>
        <w:rPr>
          <w:rFonts w:ascii="Times New Roman" w:hAnsi="Times New Roman" w:cs="Times New Roman"/>
          <w:sz w:val="24"/>
          <w:szCs w:val="28"/>
        </w:rPr>
        <w:t xml:space="preserve"> у гарантирующего поставщика в целях компенсации потерь.</w:t>
      </w:r>
    </w:p>
    <w:p w:rsidR="00F620AB" w:rsidRDefault="00F620AB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 изложенным, в случае выявления некорректных данных коммерческого учета для потребителя по </w:t>
      </w:r>
      <w:r w:rsidR="006D421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ГТП, необходимо в следующих расчетных периодах реализовать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дорасчеты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(корректировку стоимости) между таким потребителем, гарантирующим поставщиком и сетевой организацией. </w:t>
      </w:r>
    </w:p>
    <w:p w:rsidR="00F620AB" w:rsidRDefault="00F620AB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620AB">
        <w:rPr>
          <w:rFonts w:ascii="Times New Roman" w:hAnsi="Times New Roman" w:cs="Times New Roman"/>
          <w:b/>
          <w:i/>
          <w:sz w:val="24"/>
          <w:szCs w:val="28"/>
        </w:rPr>
        <w:t xml:space="preserve">Примеры к разделу </w:t>
      </w:r>
      <w:r w:rsidR="00BF0B58">
        <w:rPr>
          <w:rFonts w:ascii="Times New Roman" w:hAnsi="Times New Roman" w:cs="Times New Roman"/>
          <w:b/>
          <w:i/>
          <w:sz w:val="24"/>
          <w:szCs w:val="28"/>
        </w:rPr>
        <w:t>2</w:t>
      </w:r>
      <w:r w:rsidRPr="00F620AB">
        <w:rPr>
          <w:rFonts w:ascii="Times New Roman" w:hAnsi="Times New Roman" w:cs="Times New Roman"/>
          <w:b/>
          <w:i/>
          <w:sz w:val="24"/>
          <w:szCs w:val="28"/>
        </w:rPr>
        <w:t>.3.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8197"/>
        <w:gridCol w:w="632"/>
      </w:tblGrid>
      <w:tr w:rsidR="00196397" w:rsidRPr="00F620AB" w:rsidTr="00D46710">
        <w:tc>
          <w:tcPr>
            <w:tcW w:w="516" w:type="dxa"/>
          </w:tcPr>
          <w:p w:rsidR="00196397" w:rsidRPr="00196397" w:rsidRDefault="00196397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П.</w:t>
            </w:r>
          </w:p>
        </w:tc>
        <w:tc>
          <w:tcPr>
            <w:tcW w:w="8197" w:type="dxa"/>
          </w:tcPr>
          <w:p w:rsidR="00196397" w:rsidRPr="00196397" w:rsidRDefault="00196397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9639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Исходные данные</w:t>
            </w:r>
          </w:p>
        </w:tc>
        <w:tc>
          <w:tcPr>
            <w:tcW w:w="632" w:type="dxa"/>
          </w:tcPr>
          <w:p w:rsidR="00196397" w:rsidRPr="00F620AB" w:rsidRDefault="00196397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96397" w:rsidRPr="00F620AB" w:rsidTr="00D46710">
        <w:tc>
          <w:tcPr>
            <w:tcW w:w="516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1.</w:t>
            </w:r>
          </w:p>
        </w:tc>
        <w:tc>
          <w:tcPr>
            <w:tcW w:w="8197" w:type="dxa"/>
          </w:tcPr>
          <w:p w:rsidR="00196397" w:rsidRPr="00F620AB" w:rsidRDefault="00196397" w:rsidP="006D42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Факт потребления в целом по </w:t>
            </w:r>
            <w:r w:rsidR="006D421A">
              <w:rPr>
                <w:rFonts w:ascii="Times New Roman" w:hAnsi="Times New Roman" w:cs="Times New Roman"/>
                <w:i/>
                <w:sz w:val="24"/>
                <w:szCs w:val="28"/>
              </w:rPr>
              <w:t>ЕГТП</w:t>
            </w:r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 «оптовому» </w:t>
            </w:r>
            <w:proofErr w:type="spellStart"/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>ком.учету</w:t>
            </w:r>
            <w:proofErr w:type="spellEnd"/>
          </w:p>
        </w:tc>
        <w:tc>
          <w:tcPr>
            <w:tcW w:w="632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2.</w:t>
            </w:r>
          </w:p>
        </w:tc>
        <w:tc>
          <w:tcPr>
            <w:tcW w:w="8197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Факт потребления потребителя – участника ОРЭМ, переданный в КО</w:t>
            </w:r>
          </w:p>
        </w:tc>
        <w:tc>
          <w:tcPr>
            <w:tcW w:w="632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3.</w:t>
            </w:r>
          </w:p>
        </w:tc>
        <w:tc>
          <w:tcPr>
            <w:tcW w:w="8197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Корректный факт потребления потребителя – участника ОРЭМ</w:t>
            </w:r>
          </w:p>
        </w:tc>
        <w:tc>
          <w:tcPr>
            <w:tcW w:w="632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25</w:t>
            </w: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4.</w:t>
            </w:r>
          </w:p>
        </w:tc>
        <w:tc>
          <w:tcPr>
            <w:tcW w:w="8197" w:type="dxa"/>
          </w:tcPr>
          <w:p w:rsid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Совокупный факт потребления розничных потребителей, покупающих у ГП</w:t>
            </w:r>
          </w:p>
        </w:tc>
        <w:tc>
          <w:tcPr>
            <w:tcW w:w="632" w:type="dxa"/>
          </w:tcPr>
          <w:p w:rsid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70</w:t>
            </w: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197" w:type="dxa"/>
          </w:tcPr>
          <w:p w:rsidR="00196397" w:rsidRP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Расчетные величины на основании данных КУ, переданных потребителем</w:t>
            </w:r>
          </w:p>
        </w:tc>
        <w:tc>
          <w:tcPr>
            <w:tcW w:w="632" w:type="dxa"/>
          </w:tcPr>
          <w:p w:rsidR="00196397" w:rsidRPr="00F620AB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5.</w:t>
            </w:r>
          </w:p>
        </w:tc>
        <w:tc>
          <w:tcPr>
            <w:tcW w:w="8197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Фактический объем ГП, п.1 – п.2</w:t>
            </w:r>
          </w:p>
        </w:tc>
        <w:tc>
          <w:tcPr>
            <w:tcW w:w="632" w:type="dxa"/>
          </w:tcPr>
          <w:p w:rsidR="00196397" w:rsidRPr="00F620AB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80</w:t>
            </w: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6.</w:t>
            </w:r>
          </w:p>
        </w:tc>
        <w:tc>
          <w:tcPr>
            <w:tcW w:w="8197" w:type="dxa"/>
          </w:tcPr>
          <w:p w:rsidR="00196397" w:rsidRPr="00F620AB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Объем потерь на территории ГП, п.5 – п.4</w:t>
            </w:r>
          </w:p>
        </w:tc>
        <w:tc>
          <w:tcPr>
            <w:tcW w:w="632" w:type="dxa"/>
          </w:tcPr>
          <w:p w:rsidR="00196397" w:rsidRPr="00F620AB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</w:tc>
      </w:tr>
      <w:tr w:rsidR="00D46710" w:rsidRPr="00F620AB" w:rsidTr="00D46710">
        <w:tc>
          <w:tcPr>
            <w:tcW w:w="516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197" w:type="dxa"/>
          </w:tcPr>
          <w:p w:rsidR="00196397" w:rsidRP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Расчетные величины, если бы были переданы корректные данные</w:t>
            </w:r>
          </w:p>
        </w:tc>
        <w:tc>
          <w:tcPr>
            <w:tcW w:w="632" w:type="dxa"/>
          </w:tcPr>
          <w:p w:rsidR="00196397" w:rsidRPr="00F620AB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7.</w:t>
            </w:r>
          </w:p>
        </w:tc>
        <w:tc>
          <w:tcPr>
            <w:tcW w:w="8197" w:type="dxa"/>
          </w:tcPr>
          <w:p w:rsidR="00196397" w:rsidRPr="00F620AB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Фактический объем ГП, п.1 – п.3</w:t>
            </w:r>
          </w:p>
        </w:tc>
        <w:tc>
          <w:tcPr>
            <w:tcW w:w="632" w:type="dxa"/>
          </w:tcPr>
          <w:p w:rsidR="00196397" w:rsidRPr="00F620AB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75</w:t>
            </w:r>
          </w:p>
        </w:tc>
      </w:tr>
      <w:tr w:rsidR="00196397" w:rsidRPr="00F620AB" w:rsidTr="00D46710">
        <w:tc>
          <w:tcPr>
            <w:tcW w:w="516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8.</w:t>
            </w:r>
          </w:p>
        </w:tc>
        <w:tc>
          <w:tcPr>
            <w:tcW w:w="8197" w:type="dxa"/>
          </w:tcPr>
          <w:p w:rsidR="00196397" w:rsidRDefault="00196397" w:rsidP="00196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Объем потерь на территории ГП, п.7 – п.4</w:t>
            </w:r>
          </w:p>
        </w:tc>
        <w:tc>
          <w:tcPr>
            <w:tcW w:w="632" w:type="dxa"/>
          </w:tcPr>
          <w:p w:rsidR="00196397" w:rsidRDefault="00196397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</w:tr>
      <w:tr w:rsidR="00D46710" w:rsidRPr="00F620AB" w:rsidTr="00D46710">
        <w:tc>
          <w:tcPr>
            <w:tcW w:w="516" w:type="dxa"/>
          </w:tcPr>
          <w:p w:rsidR="00D46710" w:rsidRDefault="00D46710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197" w:type="dxa"/>
          </w:tcPr>
          <w:p w:rsidR="00D46710" w:rsidRPr="00196397" w:rsidRDefault="00D46710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Последствия передачи некорректных данных КУ</w:t>
            </w:r>
          </w:p>
        </w:tc>
        <w:tc>
          <w:tcPr>
            <w:tcW w:w="632" w:type="dxa"/>
          </w:tcPr>
          <w:p w:rsidR="00D46710" w:rsidRPr="00F620AB" w:rsidRDefault="00D46710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46710" w:rsidRPr="00F620AB" w:rsidTr="00D46710">
        <w:tc>
          <w:tcPr>
            <w:tcW w:w="516" w:type="dxa"/>
          </w:tcPr>
          <w:p w:rsidR="00D46710" w:rsidRDefault="00D46710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9.</w:t>
            </w:r>
          </w:p>
        </w:tc>
        <w:tc>
          <w:tcPr>
            <w:tcW w:w="8197" w:type="dxa"/>
          </w:tcPr>
          <w:p w:rsidR="00D46710" w:rsidRDefault="00D46710" w:rsidP="00D467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Излишне оплаченный сетевой организацией объем потерь, п.6 – п.8 </w:t>
            </w:r>
          </w:p>
        </w:tc>
        <w:tc>
          <w:tcPr>
            <w:tcW w:w="632" w:type="dxa"/>
          </w:tcPr>
          <w:p w:rsidR="00D46710" w:rsidRDefault="00D46710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</w:tr>
      <w:tr w:rsidR="00D46710" w:rsidRPr="00F620AB" w:rsidTr="00D46710">
        <w:tc>
          <w:tcPr>
            <w:tcW w:w="516" w:type="dxa"/>
          </w:tcPr>
          <w:p w:rsidR="00D46710" w:rsidRDefault="00D46710" w:rsidP="00D467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10.</w:t>
            </w:r>
          </w:p>
        </w:tc>
        <w:tc>
          <w:tcPr>
            <w:tcW w:w="8829" w:type="dxa"/>
            <w:gridSpan w:val="2"/>
          </w:tcPr>
          <w:p w:rsidR="00D46710" w:rsidRDefault="00D46710" w:rsidP="00FE2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Разница объемов мощности, учитываемых в стоимости для одноставочных потребителей, зависит от профиля некорректности данных КУ</w:t>
            </w:r>
          </w:p>
        </w:tc>
      </w:tr>
    </w:tbl>
    <w:p w:rsidR="00F620AB" w:rsidRPr="00F620AB" w:rsidRDefault="00F620AB" w:rsidP="00F62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620AB" w:rsidRDefault="00F620AB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 обнаружении некорректности данных «розничного» ком</w:t>
      </w:r>
      <w:r w:rsidR="00A8432A">
        <w:rPr>
          <w:rFonts w:ascii="Times New Roman" w:hAnsi="Times New Roman" w:cs="Times New Roman"/>
          <w:i/>
          <w:sz w:val="24"/>
          <w:szCs w:val="28"/>
        </w:rPr>
        <w:t xml:space="preserve">мерческого </w:t>
      </w:r>
      <w:r>
        <w:rPr>
          <w:rFonts w:ascii="Times New Roman" w:hAnsi="Times New Roman" w:cs="Times New Roman"/>
          <w:i/>
          <w:sz w:val="24"/>
          <w:szCs w:val="28"/>
        </w:rPr>
        <w:t xml:space="preserve">учета </w:t>
      </w:r>
      <w:r w:rsidR="00A8432A">
        <w:rPr>
          <w:rFonts w:ascii="Times New Roman" w:hAnsi="Times New Roman" w:cs="Times New Roman"/>
          <w:i/>
          <w:sz w:val="24"/>
          <w:szCs w:val="28"/>
        </w:rPr>
        <w:t>помимо обычных расчетов за электроэнергию (мощность) в соответствующих расчетных периодах в расчеты</w:t>
      </w:r>
      <w:r>
        <w:rPr>
          <w:rFonts w:ascii="Times New Roman" w:hAnsi="Times New Roman" w:cs="Times New Roman"/>
          <w:i/>
          <w:sz w:val="24"/>
          <w:szCs w:val="28"/>
        </w:rPr>
        <w:t xml:space="preserve"> между ГП, потребителем и сетевой организацией буд</w:t>
      </w:r>
      <w:r w:rsidR="00A8432A">
        <w:rPr>
          <w:rFonts w:ascii="Times New Roman" w:hAnsi="Times New Roman" w:cs="Times New Roman"/>
          <w:i/>
          <w:sz w:val="24"/>
          <w:szCs w:val="28"/>
        </w:rPr>
        <w:t>ут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8432A">
        <w:rPr>
          <w:rFonts w:ascii="Times New Roman" w:hAnsi="Times New Roman" w:cs="Times New Roman"/>
          <w:i/>
          <w:sz w:val="24"/>
          <w:szCs w:val="28"/>
        </w:rPr>
        <w:t xml:space="preserve">включены объемы и стоимости электрической энергии (мощности), направленные </w:t>
      </w:r>
      <w:r>
        <w:rPr>
          <w:rFonts w:ascii="Times New Roman" w:hAnsi="Times New Roman" w:cs="Times New Roman"/>
          <w:i/>
          <w:sz w:val="24"/>
          <w:szCs w:val="28"/>
        </w:rPr>
        <w:t>на приведение финансовых результатов работы этих организаций в периоды, когда данные «розничного» ком</w:t>
      </w:r>
      <w:r w:rsidR="00A8432A">
        <w:rPr>
          <w:rFonts w:ascii="Times New Roman" w:hAnsi="Times New Roman" w:cs="Times New Roman"/>
          <w:i/>
          <w:sz w:val="24"/>
          <w:szCs w:val="28"/>
        </w:rPr>
        <w:t xml:space="preserve">мерческого </w:t>
      </w:r>
      <w:r>
        <w:rPr>
          <w:rFonts w:ascii="Times New Roman" w:hAnsi="Times New Roman" w:cs="Times New Roman"/>
          <w:i/>
          <w:sz w:val="24"/>
          <w:szCs w:val="28"/>
        </w:rPr>
        <w:t xml:space="preserve">учета были некорректны, к финансовым результатам, которые сформировались бы при корректных данных. </w:t>
      </w:r>
    </w:p>
    <w:p w:rsidR="00F620AB" w:rsidRPr="00F620AB" w:rsidRDefault="00F620AB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Для этого при выявлении некорректных данных, переданных КО, </w:t>
      </w:r>
      <w:r w:rsidR="00A8432A">
        <w:rPr>
          <w:rFonts w:ascii="Times New Roman" w:hAnsi="Times New Roman" w:cs="Times New Roman"/>
          <w:i/>
          <w:sz w:val="24"/>
          <w:szCs w:val="28"/>
        </w:rPr>
        <w:t xml:space="preserve">с </w:t>
      </w:r>
      <w:r>
        <w:rPr>
          <w:rFonts w:ascii="Times New Roman" w:hAnsi="Times New Roman" w:cs="Times New Roman"/>
          <w:i/>
          <w:sz w:val="24"/>
          <w:szCs w:val="28"/>
        </w:rPr>
        <w:t>потребител</w:t>
      </w:r>
      <w:r w:rsidR="00A8432A">
        <w:rPr>
          <w:rFonts w:ascii="Times New Roman" w:hAnsi="Times New Roman" w:cs="Times New Roman"/>
          <w:i/>
          <w:sz w:val="24"/>
          <w:szCs w:val="28"/>
        </w:rPr>
        <w:t>ем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8432A">
        <w:rPr>
          <w:rFonts w:ascii="Times New Roman" w:hAnsi="Times New Roman" w:cs="Times New Roman"/>
          <w:i/>
          <w:sz w:val="24"/>
          <w:szCs w:val="28"/>
        </w:rPr>
        <w:t xml:space="preserve">прекращаются взаимоотношения на оптовом рынке, </w:t>
      </w:r>
      <w:r>
        <w:rPr>
          <w:rFonts w:ascii="Times New Roman" w:hAnsi="Times New Roman" w:cs="Times New Roman"/>
          <w:i/>
          <w:sz w:val="24"/>
          <w:szCs w:val="28"/>
        </w:rPr>
        <w:t xml:space="preserve">и </w:t>
      </w:r>
      <w:r w:rsidR="00A8432A">
        <w:rPr>
          <w:rFonts w:ascii="Times New Roman" w:hAnsi="Times New Roman" w:cs="Times New Roman"/>
          <w:i/>
          <w:sz w:val="24"/>
          <w:szCs w:val="28"/>
        </w:rPr>
        <w:t xml:space="preserve">соответствующий потребитель </w:t>
      </w:r>
      <w:r>
        <w:rPr>
          <w:rFonts w:ascii="Times New Roman" w:hAnsi="Times New Roman" w:cs="Times New Roman"/>
          <w:i/>
          <w:sz w:val="24"/>
          <w:szCs w:val="28"/>
        </w:rPr>
        <w:t xml:space="preserve">начинает покупать электроэнергию (мощность) у ГП на розничном рынке. При этом стоимость электроэнергии (мощности) для него в первые расчетные периоды такой покупки будет скорректирована таким образом, чтобы скомпенсировать ГП соответствующие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дорасчеты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с сетевой организацией (компенсация излишне оплаченного объема потерь 10 – 5 = 5) и с потребителями-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одноставочниками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в части компенсации изменения стоимости электроэнергии (мощности), вызванного некорректными данными. </w:t>
      </w:r>
    </w:p>
    <w:p w:rsidR="00A8432A" w:rsidRPr="00A64668" w:rsidRDefault="00A8432A" w:rsidP="002520F0">
      <w:p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0D4E" w:rsidRDefault="00670D4E" w:rsidP="00A87CA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Сбытовая надбавка гарантирующего поставщика</w:t>
      </w:r>
    </w:p>
    <w:p w:rsidR="003672C7" w:rsidRPr="00F77B7E" w:rsidRDefault="003672C7" w:rsidP="00086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7B7E">
        <w:rPr>
          <w:rFonts w:ascii="Times New Roman" w:hAnsi="Times New Roman" w:cs="Times New Roman"/>
          <w:sz w:val="24"/>
          <w:szCs w:val="28"/>
        </w:rPr>
        <w:lastRenderedPageBreak/>
        <w:t xml:space="preserve">Потребители, участвующие в торговле на оптовом рынке по ЕГТП, </w:t>
      </w:r>
      <w:r>
        <w:rPr>
          <w:rFonts w:ascii="Times New Roman" w:hAnsi="Times New Roman" w:cs="Times New Roman"/>
          <w:sz w:val="24"/>
          <w:szCs w:val="28"/>
        </w:rPr>
        <w:t xml:space="preserve">не покупают электрическую энергию (мощность) у ГП и, соответственно, </w:t>
      </w:r>
      <w:r w:rsidRPr="00F77B7E">
        <w:rPr>
          <w:rFonts w:ascii="Times New Roman" w:hAnsi="Times New Roman" w:cs="Times New Roman"/>
          <w:sz w:val="24"/>
          <w:szCs w:val="28"/>
        </w:rPr>
        <w:t>не платят ГП сбытовую надбавку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70D4E" w:rsidRDefault="00670D4E" w:rsidP="0067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введении возможности для розничных потребителей участвовать самостоятельно или через энергосбытовые организации в торговле на оптовом рынке по </w:t>
      </w:r>
      <w:r w:rsidR="00F77B7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ГТП многие потребители могут воспользоваться этой возможностью, и объем </w:t>
      </w:r>
      <w:r w:rsidR="003672C7">
        <w:rPr>
          <w:rFonts w:ascii="Times New Roman" w:hAnsi="Times New Roman" w:cs="Times New Roman"/>
          <w:sz w:val="24"/>
          <w:szCs w:val="28"/>
        </w:rPr>
        <w:t>продажи электрической энергии (мощности)</w:t>
      </w:r>
      <w:r>
        <w:rPr>
          <w:rFonts w:ascii="Times New Roman" w:hAnsi="Times New Roman" w:cs="Times New Roman"/>
          <w:sz w:val="24"/>
          <w:szCs w:val="28"/>
        </w:rPr>
        <w:t xml:space="preserve"> гарантирующ</w:t>
      </w:r>
      <w:r w:rsidR="003672C7">
        <w:rPr>
          <w:rFonts w:ascii="Times New Roman" w:hAnsi="Times New Roman" w:cs="Times New Roman"/>
          <w:sz w:val="24"/>
          <w:szCs w:val="28"/>
        </w:rPr>
        <w:t>им</w:t>
      </w:r>
      <w:r>
        <w:rPr>
          <w:rFonts w:ascii="Times New Roman" w:hAnsi="Times New Roman" w:cs="Times New Roman"/>
          <w:sz w:val="24"/>
          <w:szCs w:val="28"/>
        </w:rPr>
        <w:t xml:space="preserve"> поставщик</w:t>
      </w:r>
      <w:r w:rsidR="003672C7">
        <w:rPr>
          <w:rFonts w:ascii="Times New Roman" w:hAnsi="Times New Roman" w:cs="Times New Roman"/>
          <w:sz w:val="24"/>
          <w:szCs w:val="28"/>
        </w:rPr>
        <w:t>ом</w:t>
      </w:r>
      <w:r>
        <w:rPr>
          <w:rFonts w:ascii="Times New Roman" w:hAnsi="Times New Roman" w:cs="Times New Roman"/>
          <w:sz w:val="24"/>
          <w:szCs w:val="28"/>
        </w:rPr>
        <w:t xml:space="preserve"> может существенно сократиться.</w:t>
      </w:r>
      <w:r w:rsidR="00F77B7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77B7E" w:rsidRDefault="003672C7" w:rsidP="000863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 как п</w:t>
      </w:r>
      <w:r w:rsidR="00F77B7E" w:rsidRPr="00F77B7E">
        <w:rPr>
          <w:rFonts w:ascii="Times New Roman" w:hAnsi="Times New Roman" w:cs="Times New Roman"/>
          <w:sz w:val="24"/>
          <w:szCs w:val="28"/>
        </w:rPr>
        <w:t>ри возвращении потребителей к ГП</w:t>
      </w:r>
      <w:r>
        <w:rPr>
          <w:rFonts w:ascii="Times New Roman" w:hAnsi="Times New Roman" w:cs="Times New Roman"/>
          <w:sz w:val="24"/>
          <w:szCs w:val="28"/>
        </w:rPr>
        <w:t xml:space="preserve"> необходимо оперативно обеспечить расчеты в отношении указанного потребителя, то </w:t>
      </w:r>
      <w:r w:rsidR="00F77B7E" w:rsidRPr="00F77B7E">
        <w:rPr>
          <w:rFonts w:ascii="Times New Roman" w:hAnsi="Times New Roman" w:cs="Times New Roman"/>
          <w:sz w:val="24"/>
          <w:szCs w:val="28"/>
        </w:rPr>
        <w:t xml:space="preserve">в течение определенного периода </w:t>
      </w:r>
      <w:r>
        <w:rPr>
          <w:rFonts w:ascii="Times New Roman" w:hAnsi="Times New Roman" w:cs="Times New Roman"/>
          <w:sz w:val="24"/>
          <w:szCs w:val="28"/>
        </w:rPr>
        <w:t xml:space="preserve">к потребителю, который ранее не обслуживался гарантирующим поставщиком, </w:t>
      </w:r>
      <w:r w:rsidR="00F77B7E" w:rsidRPr="00F77B7E">
        <w:rPr>
          <w:rFonts w:ascii="Times New Roman" w:hAnsi="Times New Roman" w:cs="Times New Roman"/>
          <w:sz w:val="24"/>
          <w:szCs w:val="28"/>
        </w:rPr>
        <w:t>применяется повышенное значение сбытовой надбавки</w:t>
      </w:r>
      <w:r w:rsidR="00F77B7E">
        <w:rPr>
          <w:rFonts w:ascii="Times New Roman" w:hAnsi="Times New Roman" w:cs="Times New Roman"/>
          <w:sz w:val="24"/>
          <w:szCs w:val="28"/>
        </w:rPr>
        <w:t>.</w:t>
      </w:r>
    </w:p>
    <w:p w:rsidR="00E9792C" w:rsidRPr="00670D4E" w:rsidRDefault="00E9792C" w:rsidP="0067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7CA8" w:rsidRPr="00A64668" w:rsidRDefault="00670D4E" w:rsidP="00A87CA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025C" w:rsidRPr="00A64668">
        <w:rPr>
          <w:rFonts w:ascii="Times New Roman" w:hAnsi="Times New Roman" w:cs="Times New Roman"/>
          <w:b/>
          <w:sz w:val="24"/>
          <w:szCs w:val="28"/>
        </w:rPr>
        <w:t>Е</w:t>
      </w:r>
      <w:r w:rsidR="00A87CA8" w:rsidRPr="00A64668">
        <w:rPr>
          <w:rFonts w:ascii="Times New Roman" w:hAnsi="Times New Roman" w:cs="Times New Roman"/>
          <w:b/>
          <w:sz w:val="24"/>
          <w:szCs w:val="28"/>
        </w:rPr>
        <w:t>диная база данных</w:t>
      </w:r>
      <w:r w:rsidR="0083025C" w:rsidRPr="00A646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7CA8" w:rsidRPr="00A64668" w:rsidRDefault="00A87CA8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Коммерческим оператором будет сформирована единая база данных розничных потребителей, участвующих в торговле на оптовом рынке, с целью их регистрации и </w:t>
      </w:r>
      <w:r w:rsidR="007C2B56" w:rsidRPr="00A64668">
        <w:rPr>
          <w:rFonts w:ascii="Times New Roman" w:hAnsi="Times New Roman" w:cs="Times New Roman"/>
          <w:sz w:val="24"/>
          <w:szCs w:val="28"/>
        </w:rPr>
        <w:t>раскрытия</w:t>
      </w:r>
      <w:r w:rsidRPr="00A64668">
        <w:rPr>
          <w:rFonts w:ascii="Times New Roman" w:hAnsi="Times New Roman" w:cs="Times New Roman"/>
          <w:sz w:val="24"/>
          <w:szCs w:val="28"/>
        </w:rPr>
        <w:t xml:space="preserve"> информации </w:t>
      </w:r>
      <w:r w:rsidR="007C2B56" w:rsidRPr="00A64668">
        <w:rPr>
          <w:rFonts w:ascii="Times New Roman" w:hAnsi="Times New Roman" w:cs="Times New Roman"/>
          <w:sz w:val="24"/>
          <w:szCs w:val="28"/>
        </w:rPr>
        <w:t xml:space="preserve">по </w:t>
      </w:r>
      <w:r w:rsidRPr="00A64668">
        <w:rPr>
          <w:rFonts w:ascii="Times New Roman" w:hAnsi="Times New Roman" w:cs="Times New Roman"/>
          <w:sz w:val="24"/>
          <w:szCs w:val="28"/>
        </w:rPr>
        <w:t xml:space="preserve">коммерческому </w:t>
      </w:r>
      <w:r w:rsidR="007C2B56" w:rsidRPr="00A64668">
        <w:rPr>
          <w:rFonts w:ascii="Times New Roman" w:hAnsi="Times New Roman" w:cs="Times New Roman"/>
          <w:sz w:val="24"/>
          <w:szCs w:val="28"/>
        </w:rPr>
        <w:t>учету</w:t>
      </w:r>
      <w:r w:rsidRPr="00A64668">
        <w:rPr>
          <w:rFonts w:ascii="Times New Roman" w:hAnsi="Times New Roman" w:cs="Times New Roman"/>
          <w:sz w:val="24"/>
          <w:szCs w:val="28"/>
        </w:rPr>
        <w:t xml:space="preserve">. </w:t>
      </w:r>
      <w:r w:rsidR="007C2B56" w:rsidRPr="00A64668">
        <w:rPr>
          <w:rFonts w:ascii="Times New Roman" w:hAnsi="Times New Roman" w:cs="Times New Roman"/>
          <w:sz w:val="24"/>
          <w:szCs w:val="28"/>
        </w:rPr>
        <w:t>В единой</w:t>
      </w:r>
      <w:r w:rsidRPr="00A64668">
        <w:rPr>
          <w:rFonts w:ascii="Times New Roman" w:hAnsi="Times New Roman" w:cs="Times New Roman"/>
          <w:sz w:val="24"/>
          <w:szCs w:val="28"/>
        </w:rPr>
        <w:t xml:space="preserve"> базе данных будет обеспечено хранение данных о почасовых объемах потребления таких потребителей. Создание </w:t>
      </w:r>
      <w:r w:rsidR="007C2B56" w:rsidRPr="00A64668">
        <w:rPr>
          <w:rFonts w:ascii="Times New Roman" w:hAnsi="Times New Roman" w:cs="Times New Roman"/>
          <w:sz w:val="24"/>
          <w:szCs w:val="28"/>
        </w:rPr>
        <w:t>единой</w:t>
      </w:r>
      <w:r w:rsidRPr="00A64668">
        <w:rPr>
          <w:rFonts w:ascii="Times New Roman" w:hAnsi="Times New Roman" w:cs="Times New Roman"/>
          <w:sz w:val="24"/>
          <w:szCs w:val="28"/>
        </w:rPr>
        <w:t xml:space="preserve"> базы данных направлено на повышение прозрачности</w:t>
      </w:r>
      <w:r w:rsidR="0083025C" w:rsidRPr="00A64668">
        <w:rPr>
          <w:rFonts w:ascii="Times New Roman" w:hAnsi="Times New Roman" w:cs="Times New Roman"/>
          <w:sz w:val="24"/>
          <w:szCs w:val="28"/>
        </w:rPr>
        <w:t xml:space="preserve"> правоотношений на оптовом и розничных рынках</w:t>
      </w:r>
      <w:r w:rsidR="007C2B56" w:rsidRPr="00A64668">
        <w:rPr>
          <w:rFonts w:ascii="Times New Roman" w:hAnsi="Times New Roman" w:cs="Times New Roman"/>
          <w:sz w:val="24"/>
          <w:szCs w:val="28"/>
        </w:rPr>
        <w:t>, обеспечение использования единых данных о «розничном» коммерческом учете в расчетах между различными организациями</w:t>
      </w:r>
      <w:r w:rsidRPr="00A64668">
        <w:rPr>
          <w:rFonts w:ascii="Times New Roman" w:hAnsi="Times New Roman" w:cs="Times New Roman"/>
          <w:sz w:val="24"/>
          <w:szCs w:val="28"/>
        </w:rPr>
        <w:t xml:space="preserve"> и упрощения процедуры смены розничными потребителями поставщика электрической энергии на розничном рынке.</w:t>
      </w:r>
    </w:p>
    <w:p w:rsidR="007C2B56" w:rsidRPr="00A64668" w:rsidRDefault="007C2B56" w:rsidP="007C2B56">
      <w:p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69C3" w:rsidRPr="00A64668" w:rsidRDefault="001769C3" w:rsidP="00975A3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Участие в торговле электроэнергией</w:t>
      </w:r>
      <w:r w:rsidR="007C2B56" w:rsidRPr="00A64668">
        <w:rPr>
          <w:rFonts w:ascii="Times New Roman" w:hAnsi="Times New Roman" w:cs="Times New Roman"/>
          <w:b/>
          <w:sz w:val="24"/>
          <w:szCs w:val="28"/>
        </w:rPr>
        <w:t xml:space="preserve"> на оптовом рынке</w:t>
      </w:r>
    </w:p>
    <w:p w:rsidR="001769C3" w:rsidRPr="00A64668" w:rsidRDefault="001769C3" w:rsidP="00975A3A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>РСВ</w:t>
      </w:r>
      <w:r w:rsidR="00210479" w:rsidRPr="00A64668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A646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10479" w:rsidRPr="00A64668">
        <w:rPr>
          <w:rFonts w:ascii="Times New Roman" w:hAnsi="Times New Roman" w:cs="Times New Roman"/>
          <w:b/>
          <w:sz w:val="24"/>
          <w:szCs w:val="28"/>
        </w:rPr>
        <w:t>свободные договоры купли-продажи электроэнергии</w:t>
      </w:r>
    </w:p>
    <w:p w:rsidR="005C6B09" w:rsidRDefault="005C6B09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Гарантирующий поставщик и покупатели по ЕГТП подают заявки для участия в конкурентном отборе на рынке на сутки вперед.</w:t>
      </w:r>
    </w:p>
    <w:p w:rsidR="005C6B09" w:rsidRPr="00A64668" w:rsidRDefault="005C6B09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Гарантирующий поставщик указывает в заявке планируемый совокупный объем потребления всех покупателей в ЕГТП. Покупатели по ЕГТП указывают в заявке планируемые объемы собственного потребления (или потребления обслуживаемых потребителей в случае энергосбытовой организации).  </w:t>
      </w:r>
    </w:p>
    <w:p w:rsidR="005C6B09" w:rsidRDefault="005C6B09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проведении конкурентного отбора на рынке на сутки вперед используется заявка гарантирующего поставщика с полным объемом потребления в ЕГТП. </w:t>
      </w:r>
    </w:p>
    <w:p w:rsidR="00C6427A" w:rsidRPr="00A64668" w:rsidRDefault="00A62DDE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о</w:t>
      </w:r>
      <w:r w:rsidR="00C6427A" w:rsidRPr="00A64668">
        <w:rPr>
          <w:rFonts w:ascii="Times New Roman" w:hAnsi="Times New Roman" w:cs="Times New Roman"/>
          <w:sz w:val="24"/>
          <w:szCs w:val="28"/>
        </w:rPr>
        <w:t>пределени</w:t>
      </w:r>
      <w:r>
        <w:rPr>
          <w:rFonts w:ascii="Times New Roman" w:hAnsi="Times New Roman" w:cs="Times New Roman"/>
          <w:sz w:val="24"/>
          <w:szCs w:val="28"/>
        </w:rPr>
        <w:t>и</w:t>
      </w:r>
      <w:r w:rsidR="00C6427A" w:rsidRPr="00A64668">
        <w:rPr>
          <w:rFonts w:ascii="Times New Roman" w:hAnsi="Times New Roman" w:cs="Times New Roman"/>
          <w:sz w:val="24"/>
          <w:szCs w:val="28"/>
        </w:rPr>
        <w:t xml:space="preserve"> объемов покупки электроэнергии по договорам РСВ и финансовых обязательств по этим договорам для каждого из покупателей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="00C6427A" w:rsidRPr="00A64668">
        <w:rPr>
          <w:rFonts w:ascii="Times New Roman" w:hAnsi="Times New Roman" w:cs="Times New Roman"/>
          <w:sz w:val="24"/>
          <w:szCs w:val="28"/>
        </w:rPr>
        <w:t>ГТП и для самого гарантирующего поставщика используются объемы из заявок покупател</w:t>
      </w:r>
      <w:r w:rsidR="005C6B09">
        <w:rPr>
          <w:rFonts w:ascii="Times New Roman" w:hAnsi="Times New Roman" w:cs="Times New Roman"/>
          <w:sz w:val="24"/>
          <w:szCs w:val="28"/>
        </w:rPr>
        <w:t>ей</w:t>
      </w:r>
      <w:r w:rsidR="00C6427A" w:rsidRPr="00A64668">
        <w:rPr>
          <w:rFonts w:ascii="Times New Roman" w:hAnsi="Times New Roman" w:cs="Times New Roman"/>
          <w:sz w:val="24"/>
          <w:szCs w:val="28"/>
        </w:rPr>
        <w:t>.</w:t>
      </w:r>
      <w:r w:rsidR="005C6B09">
        <w:rPr>
          <w:rFonts w:ascii="Times New Roman" w:hAnsi="Times New Roman" w:cs="Times New Roman"/>
          <w:sz w:val="24"/>
          <w:szCs w:val="28"/>
        </w:rPr>
        <w:t xml:space="preserve"> </w:t>
      </w:r>
      <w:r w:rsidR="00C6427A" w:rsidRPr="00A64668">
        <w:rPr>
          <w:rFonts w:ascii="Times New Roman" w:hAnsi="Times New Roman" w:cs="Times New Roman"/>
          <w:sz w:val="24"/>
          <w:szCs w:val="28"/>
        </w:rPr>
        <w:t xml:space="preserve">Плановое </w:t>
      </w:r>
      <w:r w:rsidR="00C6427A" w:rsidRPr="00A64668">
        <w:rPr>
          <w:rFonts w:ascii="Times New Roman" w:hAnsi="Times New Roman" w:cs="Times New Roman"/>
          <w:sz w:val="24"/>
          <w:szCs w:val="28"/>
        </w:rPr>
        <w:lastRenderedPageBreak/>
        <w:t xml:space="preserve">почасовое потребление покупателя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="00C6427A" w:rsidRPr="00A64668">
        <w:rPr>
          <w:rFonts w:ascii="Times New Roman" w:hAnsi="Times New Roman" w:cs="Times New Roman"/>
          <w:sz w:val="24"/>
          <w:szCs w:val="28"/>
        </w:rPr>
        <w:t>ГТП соответствует объему</w:t>
      </w:r>
      <w:r w:rsidR="005C6B09">
        <w:rPr>
          <w:rFonts w:ascii="Times New Roman" w:hAnsi="Times New Roman" w:cs="Times New Roman"/>
          <w:sz w:val="24"/>
          <w:szCs w:val="28"/>
        </w:rPr>
        <w:t>, указанному таким покупателем в заявке</w:t>
      </w:r>
      <w:r w:rsidR="00C6427A" w:rsidRPr="00A64668">
        <w:rPr>
          <w:rFonts w:ascii="Times New Roman" w:hAnsi="Times New Roman" w:cs="Times New Roman"/>
          <w:sz w:val="24"/>
          <w:szCs w:val="28"/>
        </w:rPr>
        <w:t xml:space="preserve">. Плановое почасовое потребление гарантирующего поставщика определяется как разница объема совокупного планового почасового потребления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="00C6427A" w:rsidRPr="00A64668">
        <w:rPr>
          <w:rFonts w:ascii="Times New Roman" w:hAnsi="Times New Roman" w:cs="Times New Roman"/>
          <w:sz w:val="24"/>
          <w:szCs w:val="28"/>
        </w:rPr>
        <w:t>ГТП и суммы объемов</w:t>
      </w:r>
      <w:r w:rsidR="005C6B09">
        <w:rPr>
          <w:rFonts w:ascii="Times New Roman" w:hAnsi="Times New Roman" w:cs="Times New Roman"/>
          <w:sz w:val="24"/>
          <w:szCs w:val="28"/>
        </w:rPr>
        <w:t>, указанных</w:t>
      </w:r>
      <w:r w:rsidR="00C6427A" w:rsidRPr="00A64668">
        <w:rPr>
          <w:rFonts w:ascii="Times New Roman" w:hAnsi="Times New Roman" w:cs="Times New Roman"/>
          <w:sz w:val="24"/>
          <w:szCs w:val="28"/>
        </w:rPr>
        <w:t xml:space="preserve"> в заявках покупателей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="00C6427A" w:rsidRPr="00A64668">
        <w:rPr>
          <w:rFonts w:ascii="Times New Roman" w:hAnsi="Times New Roman" w:cs="Times New Roman"/>
          <w:sz w:val="24"/>
          <w:szCs w:val="28"/>
        </w:rPr>
        <w:t>ГТП.</w:t>
      </w:r>
    </w:p>
    <w:p w:rsidR="00975A3A" w:rsidRPr="00A64668" w:rsidRDefault="00C6427A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Покупатели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 могут заключать свободные договоры купли-продажи электроэнергии (СДЭ) с поставщиками – участниками оптового рынка. В качестве ГТП покупателя в таких договорах используется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ГТП. </w:t>
      </w:r>
    </w:p>
    <w:p w:rsidR="00C6427A" w:rsidRDefault="00C6427A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>Договорная конструкция и формирование обязательств и требований по договорам РСВ с учетом наличия СДЭ</w:t>
      </w:r>
      <w:r w:rsidR="002332A4" w:rsidRPr="00A64668">
        <w:rPr>
          <w:rFonts w:ascii="Times New Roman" w:hAnsi="Times New Roman" w:cs="Times New Roman"/>
          <w:sz w:val="24"/>
          <w:szCs w:val="28"/>
        </w:rPr>
        <w:t xml:space="preserve"> для покупателей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="002332A4" w:rsidRPr="00A64668">
        <w:rPr>
          <w:rFonts w:ascii="Times New Roman" w:hAnsi="Times New Roman" w:cs="Times New Roman"/>
          <w:sz w:val="24"/>
          <w:szCs w:val="28"/>
        </w:rPr>
        <w:t xml:space="preserve">ГТП </w:t>
      </w:r>
      <w:r w:rsidR="00455E37" w:rsidRPr="00A64668">
        <w:rPr>
          <w:rFonts w:ascii="Times New Roman" w:hAnsi="Times New Roman" w:cs="Times New Roman"/>
          <w:sz w:val="24"/>
          <w:szCs w:val="28"/>
        </w:rPr>
        <w:t xml:space="preserve">реализуется в том же порядке, как и для прочих </w:t>
      </w:r>
      <w:r w:rsidR="002332A4" w:rsidRPr="00A64668">
        <w:rPr>
          <w:rFonts w:ascii="Times New Roman" w:hAnsi="Times New Roman" w:cs="Times New Roman"/>
          <w:sz w:val="24"/>
          <w:szCs w:val="28"/>
        </w:rPr>
        <w:t>участников оптового рынка.</w:t>
      </w:r>
    </w:p>
    <w:p w:rsidR="005C6B09" w:rsidRPr="00A64668" w:rsidRDefault="005C6B09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69C3" w:rsidRPr="00A64668" w:rsidRDefault="001769C3" w:rsidP="00975A3A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t xml:space="preserve">БР </w:t>
      </w:r>
    </w:p>
    <w:p w:rsidR="00975A3A" w:rsidRPr="00A64668" w:rsidRDefault="002332A4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Объемы покупки и продажи электроэнергии на балансирующем рынке определяются для покупателей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 и для самого гарантирующего поставщика исходя из объемов планового почасового потребления, определенных для указанных покупателей, из данных коммерческого учета об объеме потребления по </w:t>
      </w:r>
      <w:r w:rsidR="005C6B09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 («оптовый» коммерческий учет) и из данных коммерческого учета об объемах потребления </w:t>
      </w:r>
      <w:r w:rsidR="007B195A">
        <w:rPr>
          <w:rFonts w:ascii="Times New Roman" w:hAnsi="Times New Roman" w:cs="Times New Roman"/>
          <w:sz w:val="24"/>
          <w:szCs w:val="28"/>
        </w:rPr>
        <w:t>покупателей по ЕГТП</w:t>
      </w:r>
      <w:r w:rsidRPr="00A64668">
        <w:rPr>
          <w:rFonts w:ascii="Times New Roman" w:hAnsi="Times New Roman" w:cs="Times New Roman"/>
          <w:sz w:val="24"/>
          <w:szCs w:val="28"/>
        </w:rPr>
        <w:t xml:space="preserve"> </w:t>
      </w:r>
      <w:r w:rsidR="00121A58" w:rsidRPr="00A64668">
        <w:rPr>
          <w:rFonts w:ascii="Times New Roman" w:hAnsi="Times New Roman" w:cs="Times New Roman"/>
          <w:sz w:val="24"/>
          <w:szCs w:val="28"/>
        </w:rPr>
        <w:t>(«розничный» коммерческий учет).</w:t>
      </w:r>
    </w:p>
    <w:p w:rsidR="009840C6" w:rsidRPr="00A64668" w:rsidRDefault="009840C6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Объемы покупки и продажи отклонений для потребителя, самостоятельно участвующего в оптовом рынке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>ГТП, определяются как разница планового почасового потребления и объема фактического потребления такого потребителя, определенного по данным «розничного» коммерческого учета.</w:t>
      </w:r>
    </w:p>
    <w:p w:rsidR="009840C6" w:rsidRPr="00A64668" w:rsidRDefault="009840C6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Объемы покупки и продажи отклонений для энергосбытовой организации, участвующей в оптовом рынке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 и представляющей интересы нескольких потребителей на соответствующей территории, определяются как разница планового почасового потребления, заявленного такой энергосбытовой организацией (отражает плановое совокупное потребление потребителей этой энергосбытовой </w:t>
      </w:r>
      <w:r w:rsidR="00455E37" w:rsidRPr="00A64668">
        <w:rPr>
          <w:rFonts w:ascii="Times New Roman" w:hAnsi="Times New Roman" w:cs="Times New Roman"/>
          <w:sz w:val="24"/>
          <w:szCs w:val="28"/>
        </w:rPr>
        <w:t>организации</w:t>
      </w:r>
      <w:r w:rsidRPr="00A64668">
        <w:rPr>
          <w:rFonts w:ascii="Times New Roman" w:hAnsi="Times New Roman" w:cs="Times New Roman"/>
          <w:sz w:val="24"/>
          <w:szCs w:val="28"/>
        </w:rPr>
        <w:t>), и суммы объемов фактического потребления таких потребителей по данным «розничного» коммерческого учета.</w:t>
      </w:r>
    </w:p>
    <w:p w:rsidR="00670D4E" w:rsidRPr="00A64668" w:rsidRDefault="00670D4E" w:rsidP="0067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Описанные принципы формирования объемов отклонений на балансирующем рынке для розничных потребителей, представленных на оптовом рынке одной энергосбытовой организацией, участвующей в оптовом рыке по </w:t>
      </w:r>
      <w:r w:rsidR="001E7B0B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ГТП, позволяют реализовать </w:t>
      </w:r>
      <w:proofErr w:type="spellStart"/>
      <w:r w:rsidRPr="00A64668">
        <w:rPr>
          <w:rFonts w:ascii="Times New Roman" w:hAnsi="Times New Roman" w:cs="Times New Roman"/>
          <w:sz w:val="24"/>
          <w:szCs w:val="28"/>
        </w:rPr>
        <w:t>сальдирование</w:t>
      </w:r>
      <w:proofErr w:type="spellEnd"/>
      <w:r w:rsidRPr="00A64668">
        <w:rPr>
          <w:rFonts w:ascii="Times New Roman" w:hAnsi="Times New Roman" w:cs="Times New Roman"/>
          <w:sz w:val="24"/>
          <w:szCs w:val="28"/>
        </w:rPr>
        <w:t xml:space="preserve"> отклонений соответствующих розничных потребителей, что вследствие наличия разнонаправленных отклонений в среднем дает эффект снижения стоимости электроэнергии, приобретаемой для потребителей.</w:t>
      </w:r>
    </w:p>
    <w:p w:rsidR="008E06CF" w:rsidRDefault="008E06CF" w:rsidP="008E06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lastRenderedPageBreak/>
        <w:t>Объемы покупки и продажи отклонений гарантирующего поставщика определяются как разница планового почасового потребления</w:t>
      </w:r>
      <w:r w:rsidR="00670D4E">
        <w:rPr>
          <w:rFonts w:ascii="Times New Roman" w:hAnsi="Times New Roman" w:cs="Times New Roman"/>
          <w:sz w:val="24"/>
          <w:szCs w:val="28"/>
        </w:rPr>
        <w:t xml:space="preserve"> </w:t>
      </w:r>
      <w:r w:rsidRPr="00A64668">
        <w:rPr>
          <w:rFonts w:ascii="Times New Roman" w:hAnsi="Times New Roman" w:cs="Times New Roman"/>
          <w:sz w:val="24"/>
          <w:szCs w:val="28"/>
        </w:rPr>
        <w:t xml:space="preserve">гарантирующего поставщика </w:t>
      </w:r>
      <w:r w:rsidR="00670D4E">
        <w:rPr>
          <w:rFonts w:ascii="Times New Roman" w:hAnsi="Times New Roman" w:cs="Times New Roman"/>
          <w:sz w:val="24"/>
          <w:szCs w:val="28"/>
        </w:rPr>
        <w:t>(за</w:t>
      </w:r>
      <w:r w:rsidR="00E801C1">
        <w:rPr>
          <w:rFonts w:ascii="Times New Roman" w:hAnsi="Times New Roman" w:cs="Times New Roman"/>
          <w:sz w:val="24"/>
          <w:szCs w:val="28"/>
        </w:rPr>
        <w:t>я</w:t>
      </w:r>
      <w:r w:rsidR="00670D4E">
        <w:rPr>
          <w:rFonts w:ascii="Times New Roman" w:hAnsi="Times New Roman" w:cs="Times New Roman"/>
          <w:sz w:val="24"/>
          <w:szCs w:val="28"/>
        </w:rPr>
        <w:t xml:space="preserve">вленный план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="00670D4E">
        <w:rPr>
          <w:rFonts w:ascii="Times New Roman" w:hAnsi="Times New Roman" w:cs="Times New Roman"/>
          <w:sz w:val="24"/>
          <w:szCs w:val="28"/>
        </w:rPr>
        <w:t xml:space="preserve">ГТП, уменьшенный на суммарный план покупателей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="00670D4E">
        <w:rPr>
          <w:rFonts w:ascii="Times New Roman" w:hAnsi="Times New Roman" w:cs="Times New Roman"/>
          <w:sz w:val="24"/>
          <w:szCs w:val="28"/>
        </w:rPr>
        <w:t xml:space="preserve">ГТП) </w:t>
      </w:r>
      <w:r w:rsidRPr="00A64668">
        <w:rPr>
          <w:rFonts w:ascii="Times New Roman" w:hAnsi="Times New Roman" w:cs="Times New Roman"/>
          <w:sz w:val="24"/>
          <w:szCs w:val="28"/>
        </w:rPr>
        <w:t>и фактического потребления гарантирующего поставщика (</w:t>
      </w:r>
      <w:r w:rsidR="00670D4E">
        <w:rPr>
          <w:rFonts w:ascii="Times New Roman" w:hAnsi="Times New Roman" w:cs="Times New Roman"/>
          <w:sz w:val="24"/>
          <w:szCs w:val="28"/>
        </w:rPr>
        <w:t xml:space="preserve">факт </w:t>
      </w:r>
      <w:r w:rsidRPr="00A64668">
        <w:rPr>
          <w:rFonts w:ascii="Times New Roman" w:hAnsi="Times New Roman" w:cs="Times New Roman"/>
          <w:sz w:val="24"/>
          <w:szCs w:val="28"/>
        </w:rPr>
        <w:t>по данным «оптового» коммерческого учета</w:t>
      </w:r>
      <w:r w:rsidR="00670D4E">
        <w:rPr>
          <w:rFonts w:ascii="Times New Roman" w:hAnsi="Times New Roman" w:cs="Times New Roman"/>
          <w:sz w:val="24"/>
          <w:szCs w:val="28"/>
        </w:rPr>
        <w:t xml:space="preserve">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="00670D4E">
        <w:rPr>
          <w:rFonts w:ascii="Times New Roman" w:hAnsi="Times New Roman" w:cs="Times New Roman"/>
          <w:sz w:val="24"/>
          <w:szCs w:val="28"/>
        </w:rPr>
        <w:t xml:space="preserve">ГТП, уменьшенный на суммарный факт покупателей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="00670D4E">
        <w:rPr>
          <w:rFonts w:ascii="Times New Roman" w:hAnsi="Times New Roman" w:cs="Times New Roman"/>
          <w:sz w:val="24"/>
          <w:szCs w:val="28"/>
        </w:rPr>
        <w:t>ГТП</w:t>
      </w:r>
      <w:r w:rsidRPr="00A64668">
        <w:rPr>
          <w:rFonts w:ascii="Times New Roman" w:hAnsi="Times New Roman" w:cs="Times New Roman"/>
          <w:sz w:val="24"/>
          <w:szCs w:val="28"/>
        </w:rPr>
        <w:t xml:space="preserve">). </w:t>
      </w:r>
      <w:r w:rsidR="00670D4E">
        <w:rPr>
          <w:rFonts w:ascii="Times New Roman" w:hAnsi="Times New Roman" w:cs="Times New Roman"/>
          <w:sz w:val="24"/>
          <w:szCs w:val="28"/>
        </w:rPr>
        <w:t xml:space="preserve">При этом стоимость оплаты отклонений для гарантирующего поставщика рассчитывается исходя из применения к части объема отклонения, обусловленной отклонением покупателей по </w:t>
      </w:r>
      <w:r w:rsidR="007B195A">
        <w:rPr>
          <w:rFonts w:ascii="Times New Roman" w:hAnsi="Times New Roman" w:cs="Times New Roman"/>
          <w:sz w:val="24"/>
          <w:szCs w:val="28"/>
        </w:rPr>
        <w:t>Е</w:t>
      </w:r>
      <w:r w:rsidR="00670D4E">
        <w:rPr>
          <w:rFonts w:ascii="Times New Roman" w:hAnsi="Times New Roman" w:cs="Times New Roman"/>
          <w:sz w:val="24"/>
          <w:szCs w:val="28"/>
        </w:rPr>
        <w:t>ГТП, цены равной цене РСВ, и к оставшейся части отклонения – цены, равной цене балансирующего рынка.</w:t>
      </w:r>
    </w:p>
    <w:p w:rsidR="00670D4E" w:rsidRPr="00A64668" w:rsidRDefault="00E801C1" w:rsidP="00086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val="en-US" w:eastAsia="ru-RU"/>
        </w:rPr>
        <w:drawing>
          <wp:inline distT="0" distB="0" distL="0" distR="0" wp14:anchorId="6DF31A3A" wp14:editId="224209E0">
            <wp:extent cx="6120130" cy="17437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04" w:rsidRDefault="00F12204" w:rsidP="00F122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DE" w:rsidRDefault="00A62DDE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62DDE" w:rsidRDefault="00A62DDE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F620AB" w:rsidRDefault="00F620AB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Примеры к разделу </w:t>
      </w:r>
      <w:r w:rsidR="00E801C1">
        <w:rPr>
          <w:rFonts w:ascii="Times New Roman" w:hAnsi="Times New Roman" w:cs="Times New Roman"/>
          <w:b/>
          <w:i/>
          <w:sz w:val="24"/>
          <w:szCs w:val="28"/>
        </w:rPr>
        <w:t>2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7B195A">
        <w:rPr>
          <w:rFonts w:ascii="Times New Roman" w:hAnsi="Times New Roman" w:cs="Times New Roman"/>
          <w:b/>
          <w:i/>
          <w:sz w:val="24"/>
          <w:szCs w:val="28"/>
        </w:rPr>
        <w:t>6</w:t>
      </w:r>
      <w:r w:rsidRPr="00F620AB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670D4E" w:rsidRPr="00670D4E" w:rsidRDefault="00670D4E" w:rsidP="00F62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0D4E">
        <w:rPr>
          <w:rFonts w:ascii="Times New Roman" w:hAnsi="Times New Roman" w:cs="Times New Roman"/>
          <w:i/>
          <w:sz w:val="24"/>
          <w:szCs w:val="28"/>
        </w:rPr>
        <w:t>(в с</w:t>
      </w:r>
      <w:r w:rsidR="00A62DDE">
        <w:rPr>
          <w:rFonts w:ascii="Times New Roman" w:hAnsi="Times New Roman" w:cs="Times New Roman"/>
          <w:i/>
          <w:sz w:val="24"/>
          <w:szCs w:val="28"/>
        </w:rPr>
        <w:t>т</w:t>
      </w:r>
      <w:r w:rsidRPr="00670D4E">
        <w:rPr>
          <w:rFonts w:ascii="Times New Roman" w:hAnsi="Times New Roman" w:cs="Times New Roman"/>
          <w:i/>
          <w:sz w:val="24"/>
          <w:szCs w:val="28"/>
        </w:rPr>
        <w:t>роке «отклонение ГП»</w:t>
      </w:r>
      <w:r>
        <w:rPr>
          <w:rFonts w:ascii="Times New Roman" w:hAnsi="Times New Roman" w:cs="Times New Roman"/>
          <w:i/>
          <w:sz w:val="24"/>
          <w:szCs w:val="28"/>
        </w:rPr>
        <w:t xml:space="preserve"> красным цветом обозначен объем отклонения, оплачиваемый по цене БР, а зеленым – по цене РСВ)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31"/>
        <w:gridCol w:w="935"/>
        <w:gridCol w:w="993"/>
        <w:gridCol w:w="986"/>
      </w:tblGrid>
      <w:tr w:rsidR="00F620AB" w:rsidRPr="00F620AB" w:rsidTr="00F620AB">
        <w:tc>
          <w:tcPr>
            <w:tcW w:w="6431" w:type="dxa"/>
          </w:tcPr>
          <w:p w:rsidR="00F620AB" w:rsidRPr="00F620AB" w:rsidRDefault="00F620AB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620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Исходные величины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Pr="00F620AB" w:rsidRDefault="00F620AB" w:rsidP="005C6B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Вар.1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Вар.2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Вар.3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План</w:t>
            </w:r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потребления в целом по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ГТП ГП, заявленный ГП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План потребления, заявленный потребителем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Факт в целом по ГТП ГП по «оптовому» </w:t>
            </w:r>
            <w:proofErr w:type="spellStart"/>
            <w:r w:rsidRPr="00F620AB">
              <w:rPr>
                <w:rFonts w:ascii="Times New Roman" w:hAnsi="Times New Roman" w:cs="Times New Roman"/>
                <w:i/>
                <w:sz w:val="24"/>
                <w:szCs w:val="28"/>
              </w:rPr>
              <w:t>ком.учету</w:t>
            </w:r>
            <w:proofErr w:type="spellEnd"/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110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Факт потребителя – участника ОРЭМ, переданный в КО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Расчетные величины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F620AB" w:rsidRPr="00F620AB" w:rsidTr="00F620AB">
        <w:tc>
          <w:tcPr>
            <w:tcW w:w="6431" w:type="dxa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ППП потребителя – участника ОРЭМ (покупка на РСВ)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ППП ГП (покупка на РСВ)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80</w:t>
            </w:r>
          </w:p>
        </w:tc>
      </w:tr>
      <w:tr w:rsidR="00670D4E" w:rsidRPr="00F620AB" w:rsidTr="00F620AB">
        <w:tc>
          <w:tcPr>
            <w:tcW w:w="6431" w:type="dxa"/>
          </w:tcPr>
          <w:p w:rsidR="00670D4E" w:rsidRDefault="00670D4E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Факт ГП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670D4E" w:rsidRDefault="00670D4E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670D4E" w:rsidRDefault="00670D4E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670D4E" w:rsidRDefault="00670D4E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95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Отклонение потребителя («+» покупка/ «-» продажа на БР)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+10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-5</w:t>
            </w:r>
          </w:p>
        </w:tc>
      </w:tr>
      <w:tr w:rsidR="00F620AB" w:rsidRPr="00F620AB" w:rsidTr="00F620AB">
        <w:tc>
          <w:tcPr>
            <w:tcW w:w="6431" w:type="dxa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Отклонение ГП («+» покупка/ «-» продажа на БР)</w:t>
            </w:r>
          </w:p>
        </w:tc>
        <w:tc>
          <w:tcPr>
            <w:tcW w:w="935" w:type="dxa"/>
            <w:shd w:val="clear" w:color="auto" w:fill="FBE4D5" w:themeFill="accent2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620AB" w:rsidRPr="00F620AB" w:rsidRDefault="00F620AB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70D4E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+10</w:t>
            </w:r>
          </w:p>
        </w:tc>
        <w:tc>
          <w:tcPr>
            <w:tcW w:w="986" w:type="dxa"/>
            <w:shd w:val="clear" w:color="auto" w:fill="FFF2CC" w:themeFill="accent4" w:themeFillTint="33"/>
          </w:tcPr>
          <w:p w:rsidR="00F620AB" w:rsidRPr="00F620AB" w:rsidRDefault="00670D4E" w:rsidP="00F62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70D4E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+10</w:t>
            </w:r>
            <w:r w:rsidRPr="00670D4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+5</w:t>
            </w:r>
          </w:p>
        </w:tc>
      </w:tr>
    </w:tbl>
    <w:p w:rsidR="00E9792C" w:rsidRDefault="00F620AB" w:rsidP="00F62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AB">
        <w:rPr>
          <w:rFonts w:ascii="Times New Roman" w:hAnsi="Times New Roman" w:cs="Times New Roman"/>
          <w:sz w:val="24"/>
          <w:szCs w:val="28"/>
        </w:rPr>
        <w:tab/>
      </w:r>
    </w:p>
    <w:p w:rsidR="001769C3" w:rsidRPr="00A64668" w:rsidRDefault="001769C3" w:rsidP="00975A3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4668">
        <w:rPr>
          <w:rFonts w:ascii="Times New Roman" w:hAnsi="Times New Roman" w:cs="Times New Roman"/>
          <w:b/>
          <w:sz w:val="24"/>
          <w:szCs w:val="28"/>
        </w:rPr>
        <w:lastRenderedPageBreak/>
        <w:t>Участие в торговле мощностью</w:t>
      </w:r>
      <w:r w:rsidR="007C2B56" w:rsidRPr="00A64668">
        <w:rPr>
          <w:rFonts w:ascii="Times New Roman" w:hAnsi="Times New Roman" w:cs="Times New Roman"/>
          <w:b/>
          <w:sz w:val="24"/>
          <w:szCs w:val="28"/>
        </w:rPr>
        <w:t xml:space="preserve"> на оптовом рынке</w:t>
      </w:r>
    </w:p>
    <w:p w:rsidR="00EC287D" w:rsidRPr="00A64668" w:rsidRDefault="00F2612D" w:rsidP="00EC2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Обязательства по покупке мощности по различным механизмам формируются для покупателей по </w:t>
      </w:r>
      <w:r w:rsidR="00EC287D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 xml:space="preserve">ГТП на основании объемов их фактического пикового потребления по принципам, действующим сегодня для покупателей оптового </w:t>
      </w:r>
      <w:proofErr w:type="spellStart"/>
      <w:r w:rsidRPr="00A64668">
        <w:rPr>
          <w:rFonts w:ascii="Times New Roman" w:hAnsi="Times New Roman" w:cs="Times New Roman"/>
          <w:sz w:val="24"/>
          <w:szCs w:val="28"/>
        </w:rPr>
        <w:t>рынка.Покупка</w:t>
      </w:r>
      <w:proofErr w:type="spellEnd"/>
      <w:r w:rsidRPr="00A64668">
        <w:rPr>
          <w:rFonts w:ascii="Times New Roman" w:hAnsi="Times New Roman" w:cs="Times New Roman"/>
          <w:sz w:val="24"/>
          <w:szCs w:val="28"/>
        </w:rPr>
        <w:t xml:space="preserve"> мощности по итогам КОМ и мощности, поставляемой в вынужденном режиме осуществляется на общих основаниях.</w:t>
      </w:r>
      <w:r w:rsidR="00EC287D" w:rsidRPr="00EC287D">
        <w:rPr>
          <w:rFonts w:ascii="Times New Roman" w:hAnsi="Times New Roman" w:cs="Times New Roman"/>
          <w:sz w:val="24"/>
          <w:szCs w:val="28"/>
        </w:rPr>
        <w:t xml:space="preserve"> </w:t>
      </w:r>
      <w:r w:rsidR="00EC287D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EC287D" w:rsidRPr="00A64668">
        <w:rPr>
          <w:rFonts w:ascii="Times New Roman" w:hAnsi="Times New Roman" w:cs="Times New Roman"/>
          <w:sz w:val="24"/>
          <w:szCs w:val="28"/>
        </w:rPr>
        <w:t>предусмотрена возможность заключения свободных договоров купли-продажи мощности (СДМ) в соответствии с общими принципами.</w:t>
      </w:r>
    </w:p>
    <w:p w:rsidR="009F55C7" w:rsidRDefault="009F55C7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668">
        <w:rPr>
          <w:rFonts w:ascii="Times New Roman" w:hAnsi="Times New Roman" w:cs="Times New Roman"/>
          <w:sz w:val="24"/>
          <w:szCs w:val="28"/>
        </w:rPr>
        <w:t xml:space="preserve">Покупка мощности по ДПМ покупателями по </w:t>
      </w:r>
      <w:r w:rsidR="001E7B0B">
        <w:rPr>
          <w:rFonts w:ascii="Times New Roman" w:hAnsi="Times New Roman" w:cs="Times New Roman"/>
          <w:sz w:val="24"/>
          <w:szCs w:val="28"/>
        </w:rPr>
        <w:t>Е</w:t>
      </w:r>
      <w:r w:rsidRPr="00A64668">
        <w:rPr>
          <w:rFonts w:ascii="Times New Roman" w:hAnsi="Times New Roman" w:cs="Times New Roman"/>
          <w:sz w:val="24"/>
          <w:szCs w:val="28"/>
        </w:rPr>
        <w:t>ГТП производится</w:t>
      </w:r>
      <w:r w:rsidR="00347C73" w:rsidRPr="00A64668">
        <w:rPr>
          <w:rFonts w:ascii="Times New Roman" w:hAnsi="Times New Roman" w:cs="Times New Roman"/>
          <w:sz w:val="24"/>
          <w:szCs w:val="28"/>
        </w:rPr>
        <w:t xml:space="preserve"> по агентскому договору с </w:t>
      </w:r>
      <w:r w:rsidR="008A7904" w:rsidRPr="00A64668">
        <w:rPr>
          <w:rFonts w:ascii="Times New Roman" w:hAnsi="Times New Roman" w:cs="Times New Roman"/>
          <w:sz w:val="24"/>
          <w:szCs w:val="28"/>
        </w:rPr>
        <w:t>гарантирующим поставщиком</w:t>
      </w:r>
      <w:r w:rsidR="00347C73" w:rsidRPr="00A64668">
        <w:rPr>
          <w:rFonts w:ascii="Times New Roman" w:hAnsi="Times New Roman" w:cs="Times New Roman"/>
          <w:sz w:val="24"/>
          <w:szCs w:val="28"/>
        </w:rPr>
        <w:t xml:space="preserve"> по схеме комиссии</w:t>
      </w:r>
      <w:r w:rsidRPr="00A6466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E2B57" w:rsidRDefault="000E2B57" w:rsidP="00176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48F0" w:rsidRDefault="00BC1F8C" w:rsidP="00E148F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Дополнительные</w:t>
      </w:r>
      <w:r w:rsidR="00E148F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изменения</w:t>
      </w:r>
    </w:p>
    <w:p w:rsidR="00BC1F8C" w:rsidRPr="001E7B0B" w:rsidRDefault="00BC1F8C" w:rsidP="001E7B0B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7B0B">
        <w:rPr>
          <w:rFonts w:ascii="Times New Roman" w:hAnsi="Times New Roman" w:cs="Times New Roman"/>
          <w:b/>
          <w:sz w:val="24"/>
          <w:szCs w:val="28"/>
        </w:rPr>
        <w:t>Сертификаты на электрическую энергию (мощность)</w:t>
      </w:r>
    </w:p>
    <w:p w:rsidR="00E148F0" w:rsidRPr="001E7B0B" w:rsidRDefault="00E148F0" w:rsidP="001E7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E7B0B">
        <w:rPr>
          <w:rFonts w:ascii="Times New Roman" w:hAnsi="Times New Roman" w:cs="Times New Roman"/>
          <w:sz w:val="24"/>
          <w:szCs w:val="28"/>
        </w:rPr>
        <w:t xml:space="preserve">При реализации предложенной модели возникнет спрос на усовершенствование инфраструктуры, обеспечивающей поиск контрагентов и заключение свободных договоров, будут организованы соответствующие биржевые площадки. </w:t>
      </w:r>
    </w:p>
    <w:p w:rsidR="00E148F0" w:rsidRDefault="00E148F0" w:rsidP="00E14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возможности торговли на биржевых площадках появится необходимость появления стандартных контрактов на покупку электрической энергии и мощности (сертификатов на покупку электрической энергии и мощности).</w:t>
      </w:r>
    </w:p>
    <w:p w:rsidR="00BC1F8C" w:rsidRDefault="00BC1F8C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Объемы покупки электрической энергии по стандартному договору подтверждаются сертификатом, который имеет следующие стандартные </w:t>
      </w:r>
      <w:r w:rsidR="000E4E9D">
        <w:rPr>
          <w:rFonts w:ascii="Times New Roman" w:hAnsi="Times New Roman" w:cs="Times New Roman"/>
          <w:sz w:val="24"/>
          <w:szCs w:val="28"/>
        </w:rPr>
        <w:t>условия:</w:t>
      </w:r>
    </w:p>
    <w:p w:rsidR="000E4E9D" w:rsidRDefault="004D2EB3" w:rsidP="001E7B0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0E4E9D">
        <w:rPr>
          <w:rFonts w:ascii="Times New Roman" w:hAnsi="Times New Roman" w:cs="Times New Roman"/>
          <w:sz w:val="24"/>
          <w:szCs w:val="28"/>
        </w:rPr>
        <w:t>од ГТП генерации (может быть любая ГТП генерации на оптовом рынке);</w:t>
      </w:r>
    </w:p>
    <w:p w:rsidR="000E4E9D" w:rsidRDefault="004D2EB3" w:rsidP="001E7B0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0E4E9D">
        <w:rPr>
          <w:rFonts w:ascii="Times New Roman" w:hAnsi="Times New Roman" w:cs="Times New Roman"/>
          <w:sz w:val="24"/>
          <w:szCs w:val="28"/>
        </w:rPr>
        <w:t>ата начала поставки электрической энергии (может быть выбрана любая дата в будущем);</w:t>
      </w:r>
    </w:p>
    <w:p w:rsidR="000E4E9D" w:rsidRDefault="004D2EB3" w:rsidP="001E7B0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0E4E9D">
        <w:rPr>
          <w:rFonts w:ascii="Times New Roman" w:hAnsi="Times New Roman" w:cs="Times New Roman"/>
          <w:sz w:val="24"/>
          <w:szCs w:val="28"/>
        </w:rPr>
        <w:t>рок поставки электрической энергии (от 1 месяца до любого срока);</w:t>
      </w:r>
    </w:p>
    <w:p w:rsidR="000E4E9D" w:rsidRDefault="004D2EB3" w:rsidP="001E7B0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0E4E9D">
        <w:rPr>
          <w:rFonts w:ascii="Times New Roman" w:hAnsi="Times New Roman" w:cs="Times New Roman"/>
          <w:sz w:val="24"/>
          <w:szCs w:val="28"/>
        </w:rPr>
        <w:t>бъем электрической энергии в час;</w:t>
      </w:r>
    </w:p>
    <w:p w:rsidR="000E4E9D" w:rsidRPr="009B4EA1" w:rsidRDefault="004D2EB3" w:rsidP="001E7B0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0E4E9D">
        <w:rPr>
          <w:rFonts w:ascii="Times New Roman" w:hAnsi="Times New Roman" w:cs="Times New Roman"/>
          <w:sz w:val="24"/>
          <w:szCs w:val="28"/>
        </w:rPr>
        <w:t>ип графика поставки (пиковый – поставка электрической энергии только в пиковые часы; полупиковый – поставка электрической энергии в пиковые и полупиковые часы; базовый – поставка электрической энергии в каждый час суток равномерно).</w:t>
      </w:r>
    </w:p>
    <w:p w:rsidR="001E7B0B" w:rsidRDefault="001E7B0B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Сертификаты выпускаются поставщиками и подлежат обязательной регистрации. Распространение сертификатов может производиться как самими поставщиками, так и трейдерами.</w:t>
      </w:r>
    </w:p>
    <w:p w:rsidR="001E7B0B" w:rsidRDefault="001E7B0B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Сертификат подтверждает получение прав собственности на соответствующий объем электрической энергии и мощности в будущем</w:t>
      </w:r>
      <w:r w:rsidR="00A62DDE">
        <w:rPr>
          <w:rFonts w:ascii="Times New Roman" w:hAnsi="Times New Roman" w:cs="Times New Roman"/>
          <w:sz w:val="24"/>
          <w:szCs w:val="28"/>
        </w:rPr>
        <w:t xml:space="preserve"> (аналог фьючерсного контракта)</w:t>
      </w:r>
      <w:r>
        <w:rPr>
          <w:rFonts w:ascii="Times New Roman" w:hAnsi="Times New Roman" w:cs="Times New Roman"/>
          <w:sz w:val="24"/>
          <w:szCs w:val="28"/>
        </w:rPr>
        <w:t xml:space="preserve">. Покупка сертификата означает покупку электрической энергии и мощности у поставщика на оптовом </w:t>
      </w:r>
      <w:r>
        <w:rPr>
          <w:rFonts w:ascii="Times New Roman" w:hAnsi="Times New Roman" w:cs="Times New Roman"/>
          <w:sz w:val="24"/>
          <w:szCs w:val="28"/>
        </w:rPr>
        <w:lastRenderedPageBreak/>
        <w:t>рынке и, соответственно, для потребителя на розничном рынке соответствующим образом сокращается объем покупки электроэнергии (мощности) у гарантирующего поставщика. Таким образом</w:t>
      </w:r>
      <w:r w:rsidRPr="00EB4C7A">
        <w:rPr>
          <w:rFonts w:ascii="Times New Roman" w:hAnsi="Times New Roman" w:cs="Times New Roman"/>
          <w:sz w:val="24"/>
          <w:szCs w:val="28"/>
        </w:rPr>
        <w:t xml:space="preserve">, у потребителя появляется возможность не полностью </w:t>
      </w:r>
      <w:r>
        <w:rPr>
          <w:rFonts w:ascii="Times New Roman" w:hAnsi="Times New Roman" w:cs="Times New Roman"/>
          <w:sz w:val="24"/>
          <w:szCs w:val="28"/>
        </w:rPr>
        <w:t>исключить свои взаимоотношения с гарантирующим поставщиком</w:t>
      </w:r>
      <w:r w:rsidRPr="00EB4C7A">
        <w:rPr>
          <w:rFonts w:ascii="Times New Roman" w:hAnsi="Times New Roman" w:cs="Times New Roman"/>
          <w:sz w:val="24"/>
          <w:szCs w:val="28"/>
        </w:rPr>
        <w:t xml:space="preserve">, а только </w:t>
      </w:r>
      <w:r>
        <w:rPr>
          <w:rFonts w:ascii="Times New Roman" w:hAnsi="Times New Roman" w:cs="Times New Roman"/>
          <w:sz w:val="24"/>
          <w:szCs w:val="28"/>
        </w:rPr>
        <w:t>снизить объем покупки за счет</w:t>
      </w:r>
      <w:r w:rsidRPr="00EB4C7A">
        <w:rPr>
          <w:rFonts w:ascii="Times New Roman" w:hAnsi="Times New Roman" w:cs="Times New Roman"/>
          <w:sz w:val="24"/>
          <w:szCs w:val="28"/>
        </w:rPr>
        <w:t xml:space="preserve"> объемов, которые </w:t>
      </w:r>
      <w:r>
        <w:rPr>
          <w:rFonts w:ascii="Times New Roman" w:hAnsi="Times New Roman" w:cs="Times New Roman"/>
          <w:sz w:val="24"/>
          <w:szCs w:val="28"/>
        </w:rPr>
        <w:t xml:space="preserve">потребитель (энергосбытовая компания) </w:t>
      </w:r>
      <w:r w:rsidRPr="00EB4C7A">
        <w:rPr>
          <w:rFonts w:ascii="Times New Roman" w:hAnsi="Times New Roman" w:cs="Times New Roman"/>
          <w:sz w:val="24"/>
          <w:szCs w:val="28"/>
        </w:rPr>
        <w:t xml:space="preserve">сможет купить у оптовой генерации по </w:t>
      </w:r>
      <w:r>
        <w:rPr>
          <w:rFonts w:ascii="Times New Roman" w:hAnsi="Times New Roman" w:cs="Times New Roman"/>
          <w:sz w:val="24"/>
          <w:szCs w:val="28"/>
        </w:rPr>
        <w:t>сертификатам</w:t>
      </w:r>
      <w:r w:rsidRPr="00EB4C7A">
        <w:rPr>
          <w:rFonts w:ascii="Times New Roman" w:hAnsi="Times New Roman" w:cs="Times New Roman"/>
          <w:sz w:val="24"/>
          <w:szCs w:val="28"/>
        </w:rPr>
        <w:t>.</w:t>
      </w:r>
    </w:p>
    <w:p w:rsidR="001E7B0B" w:rsidRDefault="001E7B0B" w:rsidP="0060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069CB" w:rsidRPr="0008631E" w:rsidRDefault="006069CB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31E">
        <w:rPr>
          <w:rFonts w:ascii="Times New Roman" w:hAnsi="Times New Roman" w:cs="Times New Roman"/>
          <w:b/>
          <w:sz w:val="24"/>
          <w:szCs w:val="28"/>
        </w:rPr>
        <w:t>Пример</w:t>
      </w:r>
    </w:p>
    <w:p w:rsidR="000E4E9D" w:rsidRPr="0008631E" w:rsidRDefault="006069CB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31E">
        <w:rPr>
          <w:rFonts w:ascii="Times New Roman" w:hAnsi="Times New Roman" w:cs="Times New Roman"/>
          <w:i/>
          <w:sz w:val="24"/>
          <w:szCs w:val="28"/>
        </w:rPr>
        <w:t>Розничный потребитель купил 100 сертификатов (объем каждого 1 МВт в час) с базовым графиком поставки.</w:t>
      </w:r>
    </w:p>
    <w:p w:rsidR="006069CB" w:rsidRPr="0008631E" w:rsidRDefault="006069CB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31E">
        <w:rPr>
          <w:rFonts w:ascii="Times New Roman" w:hAnsi="Times New Roman" w:cs="Times New Roman"/>
          <w:i/>
          <w:sz w:val="24"/>
          <w:szCs w:val="28"/>
        </w:rPr>
        <w:t>Потребление в ночные часы - 100 МВт в час</w:t>
      </w:r>
    </w:p>
    <w:p w:rsidR="006069CB" w:rsidRPr="0008631E" w:rsidRDefault="006069CB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31E">
        <w:rPr>
          <w:rFonts w:ascii="Times New Roman" w:hAnsi="Times New Roman" w:cs="Times New Roman"/>
          <w:i/>
          <w:sz w:val="24"/>
          <w:szCs w:val="28"/>
        </w:rPr>
        <w:t>Потребление в полупиковые часы – 110 МВт в час</w:t>
      </w:r>
    </w:p>
    <w:p w:rsidR="006069CB" w:rsidRPr="0008631E" w:rsidRDefault="006069CB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31E">
        <w:rPr>
          <w:rFonts w:ascii="Times New Roman" w:hAnsi="Times New Roman" w:cs="Times New Roman"/>
          <w:i/>
          <w:sz w:val="24"/>
          <w:szCs w:val="28"/>
        </w:rPr>
        <w:t>Потребление в пиковые часы – 120 МВт в час</w:t>
      </w:r>
    </w:p>
    <w:p w:rsidR="006069CB" w:rsidRDefault="006069CB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31E">
        <w:rPr>
          <w:rFonts w:ascii="Times New Roman" w:hAnsi="Times New Roman" w:cs="Times New Roman"/>
          <w:i/>
          <w:sz w:val="24"/>
          <w:szCs w:val="28"/>
        </w:rPr>
        <w:t>Итого покупка на розничном рынке у Гарантирующего Поставщика возникнет в объеме 10 МВт в час в полупиковые часы и 20 МВт в час в пиковые часы.</w:t>
      </w:r>
    </w:p>
    <w:p w:rsidR="009B4EA1" w:rsidRDefault="009B4EA1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62DDE" w:rsidRDefault="00A62DDE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62DDE" w:rsidRPr="0008631E" w:rsidRDefault="00A62DDE" w:rsidP="00086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069CB" w:rsidRDefault="006069CB" w:rsidP="006069CB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Аукционы </w:t>
      </w:r>
      <w:r w:rsidR="009B4EA1">
        <w:rPr>
          <w:rFonts w:ascii="Times New Roman" w:hAnsi="Times New Roman" w:cs="Times New Roman"/>
          <w:b/>
          <w:sz w:val="24"/>
          <w:szCs w:val="28"/>
        </w:rPr>
        <w:t>для гарантирующих поставщиков</w:t>
      </w:r>
    </w:p>
    <w:p w:rsidR="006069CB" w:rsidRDefault="00F117D8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целях повышения конкуренции и снижения стоимости электрической энергии и мощности для потребителей возможно внедрить систему при которой гарантирующие поставщики обязаны покупать электрическую энергию через закупочные торги (аукционы).</w:t>
      </w:r>
    </w:p>
    <w:p w:rsidR="00110696" w:rsidRDefault="00F117D8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Закупочные торги для гарантирующих поставщиков представляют </w:t>
      </w:r>
      <w:r w:rsidR="004D2EB3">
        <w:rPr>
          <w:rFonts w:ascii="Times New Roman" w:hAnsi="Times New Roman" w:cs="Times New Roman"/>
          <w:sz w:val="24"/>
          <w:szCs w:val="28"/>
        </w:rPr>
        <w:t xml:space="preserve">собой </w:t>
      </w:r>
      <w:r>
        <w:rPr>
          <w:rFonts w:ascii="Times New Roman" w:hAnsi="Times New Roman" w:cs="Times New Roman"/>
          <w:sz w:val="24"/>
          <w:szCs w:val="28"/>
        </w:rPr>
        <w:t>централизованный аукцион, проводимый организацией коммерческой инфраструктуры оптового рынка.</w:t>
      </w:r>
      <w:r w:rsidR="00110696">
        <w:rPr>
          <w:rFonts w:ascii="Times New Roman" w:hAnsi="Times New Roman" w:cs="Times New Roman"/>
          <w:sz w:val="24"/>
          <w:szCs w:val="28"/>
        </w:rPr>
        <w:t xml:space="preserve"> </w:t>
      </w:r>
      <w:r w:rsidR="004D2EB3">
        <w:rPr>
          <w:rFonts w:ascii="Times New Roman" w:hAnsi="Times New Roman" w:cs="Times New Roman"/>
          <w:sz w:val="24"/>
          <w:szCs w:val="28"/>
        </w:rPr>
        <w:t xml:space="preserve">В связи с отсутствием прямой заинтересованности гарантирующего поставщика в снижении цены покупки электроэнергии и мощности на </w:t>
      </w:r>
      <w:r w:rsidR="005520D2">
        <w:rPr>
          <w:rFonts w:ascii="Times New Roman" w:hAnsi="Times New Roman" w:cs="Times New Roman"/>
          <w:sz w:val="24"/>
          <w:szCs w:val="28"/>
        </w:rPr>
        <w:t>оптовом</w:t>
      </w:r>
      <w:r w:rsidR="004D2EB3">
        <w:rPr>
          <w:rFonts w:ascii="Times New Roman" w:hAnsi="Times New Roman" w:cs="Times New Roman"/>
          <w:sz w:val="24"/>
          <w:szCs w:val="28"/>
        </w:rPr>
        <w:t xml:space="preserve"> рынке гарантирующий поставщик не является активным покупателем в этом аукционе и не может повлиять на цену, поэтому о</w:t>
      </w:r>
      <w:r w:rsidR="00110696">
        <w:rPr>
          <w:rFonts w:ascii="Times New Roman" w:hAnsi="Times New Roman" w:cs="Times New Roman"/>
          <w:sz w:val="24"/>
          <w:szCs w:val="28"/>
        </w:rPr>
        <w:t xml:space="preserve">сновная конкуренция происходит между поставщиками внутри торговых сессий. </w:t>
      </w:r>
    </w:p>
    <w:p w:rsidR="00F117D8" w:rsidRDefault="00110696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Аукцион проводится </w:t>
      </w:r>
      <w:r w:rsidR="004D2EB3">
        <w:rPr>
          <w:rFonts w:ascii="Times New Roman" w:hAnsi="Times New Roman" w:cs="Times New Roman"/>
          <w:sz w:val="24"/>
          <w:szCs w:val="28"/>
        </w:rPr>
        <w:t xml:space="preserve">перед началом года поставки (25% от планового объема потребления) и перед началом месяца поставки (25% от планового объема потребления) </w:t>
      </w:r>
      <w:r>
        <w:rPr>
          <w:rFonts w:ascii="Times New Roman" w:hAnsi="Times New Roman" w:cs="Times New Roman"/>
          <w:sz w:val="24"/>
          <w:szCs w:val="28"/>
        </w:rPr>
        <w:t>по правилам на понижение цены.</w:t>
      </w:r>
    </w:p>
    <w:p w:rsidR="00110696" w:rsidRDefault="00110696" w:rsidP="001E7B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Проведение аукционов позволит:</w:t>
      </w:r>
    </w:p>
    <w:p w:rsidR="00110696" w:rsidRDefault="004D2EB3" w:rsidP="001E7B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10696">
        <w:rPr>
          <w:rFonts w:ascii="Times New Roman" w:hAnsi="Times New Roman" w:cs="Times New Roman"/>
          <w:sz w:val="24"/>
          <w:szCs w:val="28"/>
        </w:rPr>
        <w:t xml:space="preserve">низить цену покупки электрической энергии и мощности для гарантирующих поставщиков и, соответственно для розничных потребителей. Снижение цены </w:t>
      </w:r>
      <w:r w:rsidR="00110696">
        <w:rPr>
          <w:rFonts w:ascii="Times New Roman" w:hAnsi="Times New Roman" w:cs="Times New Roman"/>
          <w:sz w:val="24"/>
          <w:szCs w:val="28"/>
        </w:rPr>
        <w:lastRenderedPageBreak/>
        <w:t>должно произойти из-за необходимости поставщиков хеджировать риски возможного снижения рыночной цены</w:t>
      </w:r>
      <w:r w:rsidR="00877FDD">
        <w:rPr>
          <w:rFonts w:ascii="Times New Roman" w:hAnsi="Times New Roman" w:cs="Times New Roman"/>
          <w:sz w:val="24"/>
          <w:szCs w:val="28"/>
        </w:rPr>
        <w:t xml:space="preserve"> в будущем</w:t>
      </w:r>
      <w:r w:rsidR="00110696">
        <w:rPr>
          <w:rFonts w:ascii="Times New Roman" w:hAnsi="Times New Roman" w:cs="Times New Roman"/>
          <w:sz w:val="24"/>
          <w:szCs w:val="28"/>
        </w:rPr>
        <w:t>;</w:t>
      </w:r>
    </w:p>
    <w:p w:rsidR="00110696" w:rsidRDefault="004D2EB3" w:rsidP="001E7B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10696">
        <w:rPr>
          <w:rFonts w:ascii="Times New Roman" w:hAnsi="Times New Roman" w:cs="Times New Roman"/>
          <w:sz w:val="24"/>
          <w:szCs w:val="28"/>
        </w:rPr>
        <w:t xml:space="preserve">овысить конкуренцию на оптовом рынке в силу снижения зависимости </w:t>
      </w:r>
      <w:r w:rsidR="00BD4AF4">
        <w:rPr>
          <w:rFonts w:ascii="Times New Roman" w:hAnsi="Times New Roman" w:cs="Times New Roman"/>
          <w:sz w:val="24"/>
          <w:szCs w:val="28"/>
        </w:rPr>
        <w:t>финансовых</w:t>
      </w:r>
      <w:r w:rsidR="00110696">
        <w:rPr>
          <w:rFonts w:ascii="Times New Roman" w:hAnsi="Times New Roman" w:cs="Times New Roman"/>
          <w:sz w:val="24"/>
          <w:szCs w:val="28"/>
        </w:rPr>
        <w:t xml:space="preserve"> </w:t>
      </w:r>
      <w:r w:rsidR="00BD4AF4">
        <w:rPr>
          <w:rFonts w:ascii="Times New Roman" w:hAnsi="Times New Roman" w:cs="Times New Roman"/>
          <w:sz w:val="24"/>
          <w:szCs w:val="28"/>
        </w:rPr>
        <w:t>результатов</w:t>
      </w:r>
      <w:r w:rsidR="00110696">
        <w:rPr>
          <w:rFonts w:ascii="Times New Roman" w:hAnsi="Times New Roman" w:cs="Times New Roman"/>
          <w:sz w:val="24"/>
          <w:szCs w:val="28"/>
        </w:rPr>
        <w:t xml:space="preserve"> поставщиков от результатов РСВ</w:t>
      </w:r>
      <w:r w:rsidR="00BD4AF4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 xml:space="preserve">более того, </w:t>
      </w:r>
      <w:r w:rsidR="00BD4AF4">
        <w:rPr>
          <w:rFonts w:ascii="Times New Roman" w:hAnsi="Times New Roman" w:cs="Times New Roman"/>
          <w:sz w:val="24"/>
          <w:szCs w:val="28"/>
        </w:rPr>
        <w:t>поставщик, который реализует всю электроэнергию на аукционе будет заинтересован в снижении цены РСВ для того чтобы покупать необходимый объем электроэнергии на РСВ)</w:t>
      </w:r>
      <w:r w:rsidR="00D734C3">
        <w:rPr>
          <w:rFonts w:ascii="Times New Roman" w:hAnsi="Times New Roman" w:cs="Times New Roman"/>
          <w:sz w:val="24"/>
          <w:szCs w:val="28"/>
        </w:rPr>
        <w:t>;</w:t>
      </w:r>
    </w:p>
    <w:p w:rsidR="00D734C3" w:rsidRDefault="004D2EB3" w:rsidP="001E7B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D734C3">
        <w:rPr>
          <w:rFonts w:ascii="Times New Roman" w:hAnsi="Times New Roman" w:cs="Times New Roman"/>
          <w:sz w:val="24"/>
          <w:szCs w:val="28"/>
        </w:rPr>
        <w:t xml:space="preserve">низить </w:t>
      </w:r>
      <w:r w:rsidR="00FE1D41">
        <w:rPr>
          <w:rFonts w:ascii="Times New Roman" w:hAnsi="Times New Roman" w:cs="Times New Roman"/>
          <w:sz w:val="24"/>
          <w:szCs w:val="28"/>
        </w:rPr>
        <w:t>влияние</w:t>
      </w:r>
      <w:r w:rsidR="00D734C3">
        <w:rPr>
          <w:rFonts w:ascii="Times New Roman" w:hAnsi="Times New Roman" w:cs="Times New Roman"/>
          <w:sz w:val="24"/>
          <w:szCs w:val="28"/>
        </w:rPr>
        <w:t xml:space="preserve"> </w:t>
      </w:r>
      <w:r w:rsidR="00FE1D41">
        <w:rPr>
          <w:rFonts w:ascii="Times New Roman" w:hAnsi="Times New Roman" w:cs="Times New Roman"/>
          <w:sz w:val="24"/>
          <w:szCs w:val="28"/>
        </w:rPr>
        <w:t>гарантирующих</w:t>
      </w:r>
      <w:r w:rsidR="00D734C3">
        <w:rPr>
          <w:rFonts w:ascii="Times New Roman" w:hAnsi="Times New Roman" w:cs="Times New Roman"/>
          <w:sz w:val="24"/>
          <w:szCs w:val="28"/>
        </w:rPr>
        <w:t xml:space="preserve"> поставщиков на результаты РСВ</w:t>
      </w:r>
      <w:r w:rsidR="00FE1D41">
        <w:rPr>
          <w:rFonts w:ascii="Times New Roman" w:hAnsi="Times New Roman" w:cs="Times New Roman"/>
          <w:sz w:val="24"/>
          <w:szCs w:val="28"/>
        </w:rPr>
        <w:t>.</w:t>
      </w:r>
    </w:p>
    <w:p w:rsidR="001368E3" w:rsidRDefault="001368E3" w:rsidP="001E7B0B">
      <w:pPr>
        <w:pStyle w:val="a5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E7B0B" w:rsidRPr="001E7B0B" w:rsidRDefault="001E7B0B" w:rsidP="001E7B0B">
      <w:pPr>
        <w:pStyle w:val="a5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8"/>
        </w:rPr>
      </w:pPr>
    </w:p>
    <w:p w:rsidR="00E9792C" w:rsidRDefault="00E9792C" w:rsidP="00E979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Последствия реализации</w:t>
      </w:r>
      <w:r w:rsidRPr="00A64668">
        <w:rPr>
          <w:rFonts w:ascii="Times New Roman" w:hAnsi="Times New Roman" w:cs="Times New Roman"/>
          <w:b/>
          <w:sz w:val="24"/>
          <w:szCs w:val="28"/>
        </w:rPr>
        <w:t xml:space="preserve"> предлагаемых изменений</w:t>
      </w:r>
    </w:p>
    <w:p w:rsidR="001368E3" w:rsidRPr="00A64668" w:rsidRDefault="001368E3" w:rsidP="0008631E">
      <w:pPr>
        <w:pStyle w:val="a5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2174C" w:rsidRDefault="001E18F4" w:rsidP="0072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Возможность участия розничных потребителей в оптовом рынке по </w:t>
      </w:r>
      <w:r w:rsidR="001E7B0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ГТП откроет для них доступ к новым конкурентным механизмам, </w:t>
      </w:r>
      <w:r w:rsidR="0072174C">
        <w:rPr>
          <w:rFonts w:ascii="Times New Roman" w:hAnsi="Times New Roman" w:cs="Times New Roman"/>
          <w:sz w:val="24"/>
          <w:szCs w:val="28"/>
        </w:rPr>
        <w:t xml:space="preserve">к </w:t>
      </w:r>
      <w:r w:rsidR="0072174C" w:rsidRPr="00554355">
        <w:rPr>
          <w:rFonts w:ascii="Times New Roman" w:hAnsi="Times New Roman" w:cs="Times New Roman"/>
          <w:sz w:val="24"/>
          <w:szCs w:val="28"/>
        </w:rPr>
        <w:t xml:space="preserve">расширению сферы применения современных инструментов биржевой торговли, в том числе </w:t>
      </w:r>
      <w:r w:rsidR="001300BA">
        <w:rPr>
          <w:rFonts w:ascii="Times New Roman" w:hAnsi="Times New Roman" w:cs="Times New Roman"/>
          <w:sz w:val="24"/>
          <w:szCs w:val="28"/>
        </w:rPr>
        <w:t>на</w:t>
      </w:r>
      <w:r w:rsidR="0072174C" w:rsidRPr="00554355">
        <w:rPr>
          <w:rFonts w:ascii="Times New Roman" w:hAnsi="Times New Roman" w:cs="Times New Roman"/>
          <w:sz w:val="24"/>
          <w:szCs w:val="28"/>
        </w:rPr>
        <w:t xml:space="preserve"> розничных потребителей.</w:t>
      </w:r>
      <w:r w:rsidR="00BF2A21">
        <w:rPr>
          <w:rFonts w:ascii="Times New Roman" w:hAnsi="Times New Roman" w:cs="Times New Roman"/>
          <w:sz w:val="24"/>
          <w:szCs w:val="28"/>
        </w:rPr>
        <w:t xml:space="preserve"> Будут возникать как региональные биржи для выбора потребителями энергосбытовой компании, через которую будет производиться покупка электрической энергии и мощности на оптовом рынке, так и федеральные биржевые площадки на которых будут предлагать свои условия (цены) крупные энергосбытовые компании и Поставщики оптового рынка. </w:t>
      </w:r>
    </w:p>
    <w:p w:rsidR="00D457A4" w:rsidRDefault="00BF2A21" w:rsidP="0072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настоящее время на оптовом рынке </w:t>
      </w:r>
      <w:r w:rsidR="00D457A4">
        <w:rPr>
          <w:rFonts w:ascii="Times New Roman" w:hAnsi="Times New Roman" w:cs="Times New Roman"/>
          <w:sz w:val="24"/>
          <w:szCs w:val="28"/>
        </w:rPr>
        <w:t>доля покупателей</w:t>
      </w:r>
      <w:r w:rsidR="00B5686A">
        <w:rPr>
          <w:rFonts w:ascii="Times New Roman" w:hAnsi="Times New Roman" w:cs="Times New Roman"/>
          <w:sz w:val="24"/>
          <w:szCs w:val="28"/>
        </w:rPr>
        <w:t>,</w:t>
      </w:r>
      <w:r w:rsidR="00D457A4">
        <w:rPr>
          <w:rFonts w:ascii="Times New Roman" w:hAnsi="Times New Roman" w:cs="Times New Roman"/>
          <w:sz w:val="24"/>
          <w:szCs w:val="28"/>
        </w:rPr>
        <w:t xml:space="preserve"> </w:t>
      </w:r>
      <w:r w:rsidR="00B5686A">
        <w:rPr>
          <w:rFonts w:ascii="Times New Roman" w:hAnsi="Times New Roman" w:cs="Times New Roman"/>
          <w:sz w:val="24"/>
          <w:szCs w:val="28"/>
        </w:rPr>
        <w:t xml:space="preserve">не относящихся к населению, </w:t>
      </w:r>
      <w:r w:rsidR="00D457A4">
        <w:rPr>
          <w:rFonts w:ascii="Times New Roman" w:hAnsi="Times New Roman" w:cs="Times New Roman"/>
          <w:sz w:val="24"/>
          <w:szCs w:val="28"/>
        </w:rPr>
        <w:t>в общем объеме потребления, составляет порядка 41% (при этом в основном это крупные потребители: ОК РУСАЛ, РЖД)</w:t>
      </w:r>
      <w:r w:rsidR="00416C99">
        <w:rPr>
          <w:rFonts w:ascii="Times New Roman" w:hAnsi="Times New Roman" w:cs="Times New Roman"/>
          <w:sz w:val="24"/>
          <w:szCs w:val="28"/>
        </w:rPr>
        <w:t>, при этом 59% поставляется гарантирующим</w:t>
      </w:r>
      <w:r w:rsidR="00B5686A">
        <w:rPr>
          <w:rFonts w:ascii="Times New Roman" w:hAnsi="Times New Roman" w:cs="Times New Roman"/>
          <w:sz w:val="24"/>
          <w:szCs w:val="28"/>
        </w:rPr>
        <w:t>и</w:t>
      </w:r>
      <w:r w:rsidR="00416C99">
        <w:rPr>
          <w:rFonts w:ascii="Times New Roman" w:hAnsi="Times New Roman" w:cs="Times New Roman"/>
          <w:sz w:val="24"/>
          <w:szCs w:val="28"/>
        </w:rPr>
        <w:t xml:space="preserve"> поставщиками</w:t>
      </w:r>
      <w:r w:rsidR="00B5686A">
        <w:rPr>
          <w:rFonts w:ascii="Times New Roman" w:hAnsi="Times New Roman" w:cs="Times New Roman"/>
          <w:sz w:val="24"/>
          <w:szCs w:val="28"/>
        </w:rPr>
        <w:t>. По итогам реализации предложенных мероприятий</w:t>
      </w:r>
      <w:r w:rsidR="00D457A4">
        <w:rPr>
          <w:rFonts w:ascii="Times New Roman" w:hAnsi="Times New Roman" w:cs="Times New Roman"/>
          <w:sz w:val="24"/>
          <w:szCs w:val="28"/>
        </w:rPr>
        <w:t xml:space="preserve"> планируется увеличение прямой покупки на оптовом рынке </w:t>
      </w:r>
      <w:r w:rsidR="00B5686A">
        <w:rPr>
          <w:rFonts w:ascii="Times New Roman" w:hAnsi="Times New Roman" w:cs="Times New Roman"/>
          <w:sz w:val="24"/>
          <w:szCs w:val="28"/>
        </w:rPr>
        <w:t xml:space="preserve">розничными потребителями </w:t>
      </w:r>
      <w:r w:rsidR="00D457A4">
        <w:rPr>
          <w:rFonts w:ascii="Times New Roman" w:hAnsi="Times New Roman" w:cs="Times New Roman"/>
          <w:sz w:val="24"/>
          <w:szCs w:val="28"/>
        </w:rPr>
        <w:t xml:space="preserve">до 70%. При этом количество участников (не гарантирующих поставщиков) на оптовом рынке в настоящее время составляет 143, </w:t>
      </w:r>
      <w:r w:rsidR="00B5686A">
        <w:rPr>
          <w:rFonts w:ascii="Times New Roman" w:hAnsi="Times New Roman" w:cs="Times New Roman"/>
          <w:sz w:val="24"/>
          <w:szCs w:val="28"/>
        </w:rPr>
        <w:t xml:space="preserve">что </w:t>
      </w:r>
      <w:r w:rsidR="00D457A4">
        <w:rPr>
          <w:rFonts w:ascii="Times New Roman" w:hAnsi="Times New Roman" w:cs="Times New Roman"/>
          <w:sz w:val="24"/>
          <w:szCs w:val="28"/>
        </w:rPr>
        <w:t xml:space="preserve">при реализации </w:t>
      </w:r>
      <w:r w:rsidR="00B5686A">
        <w:rPr>
          <w:rFonts w:ascii="Times New Roman" w:hAnsi="Times New Roman" w:cs="Times New Roman"/>
          <w:sz w:val="24"/>
          <w:szCs w:val="28"/>
        </w:rPr>
        <w:t>предложенной</w:t>
      </w:r>
      <w:r w:rsidR="00D457A4">
        <w:rPr>
          <w:rFonts w:ascii="Times New Roman" w:hAnsi="Times New Roman" w:cs="Times New Roman"/>
          <w:sz w:val="24"/>
          <w:szCs w:val="28"/>
        </w:rPr>
        <w:t xml:space="preserve"> мод</w:t>
      </w:r>
      <w:r w:rsidR="00416C99">
        <w:rPr>
          <w:rFonts w:ascii="Times New Roman" w:hAnsi="Times New Roman" w:cs="Times New Roman"/>
          <w:sz w:val="24"/>
          <w:szCs w:val="28"/>
        </w:rPr>
        <w:t xml:space="preserve">ели может </w:t>
      </w:r>
      <w:r w:rsidR="00B5686A">
        <w:rPr>
          <w:rFonts w:ascii="Times New Roman" w:hAnsi="Times New Roman" w:cs="Times New Roman"/>
          <w:sz w:val="24"/>
          <w:szCs w:val="28"/>
        </w:rPr>
        <w:t>увеличиться</w:t>
      </w:r>
      <w:r w:rsidR="00416C99">
        <w:rPr>
          <w:rFonts w:ascii="Times New Roman" w:hAnsi="Times New Roman" w:cs="Times New Roman"/>
          <w:sz w:val="24"/>
          <w:szCs w:val="28"/>
        </w:rPr>
        <w:t xml:space="preserve"> </w:t>
      </w:r>
      <w:r w:rsidR="00F578C1">
        <w:rPr>
          <w:rFonts w:ascii="Times New Roman" w:hAnsi="Times New Roman" w:cs="Times New Roman"/>
          <w:sz w:val="24"/>
          <w:szCs w:val="28"/>
        </w:rPr>
        <w:t xml:space="preserve">до </w:t>
      </w:r>
      <w:r w:rsidR="00416C99">
        <w:rPr>
          <w:rFonts w:ascii="Times New Roman" w:hAnsi="Times New Roman" w:cs="Times New Roman"/>
          <w:sz w:val="24"/>
          <w:szCs w:val="28"/>
        </w:rPr>
        <w:t>100 тыс</w:t>
      </w:r>
      <w:r w:rsidR="00B5686A">
        <w:rPr>
          <w:rFonts w:ascii="Times New Roman" w:hAnsi="Times New Roman" w:cs="Times New Roman"/>
          <w:sz w:val="24"/>
          <w:szCs w:val="28"/>
        </w:rPr>
        <w:t>яч</w:t>
      </w:r>
      <w:r w:rsidR="00416C99">
        <w:rPr>
          <w:rFonts w:ascii="Times New Roman" w:hAnsi="Times New Roman" w:cs="Times New Roman"/>
          <w:sz w:val="24"/>
          <w:szCs w:val="28"/>
        </w:rPr>
        <w:t>.</w:t>
      </w:r>
    </w:p>
    <w:p w:rsidR="0072174C" w:rsidRDefault="0072174C" w:rsidP="0072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 увеличением количества заинтересованных в снижении цены </w:t>
      </w:r>
      <w:r w:rsidR="00D457A4">
        <w:rPr>
          <w:rFonts w:ascii="Times New Roman" w:hAnsi="Times New Roman" w:cs="Times New Roman"/>
          <w:sz w:val="24"/>
          <w:szCs w:val="28"/>
        </w:rPr>
        <w:t>потребителей</w:t>
      </w:r>
      <w:r>
        <w:rPr>
          <w:rFonts w:ascii="Times New Roman" w:hAnsi="Times New Roman" w:cs="Times New Roman"/>
          <w:sz w:val="24"/>
          <w:szCs w:val="28"/>
        </w:rPr>
        <w:t xml:space="preserve"> повысится интерес к такому механизму торговли, как свободные договоры</w:t>
      </w:r>
      <w:r w:rsidRPr="0072174C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Появится спрос на усовершенствование инфраструктуры, обеспечивающей поиск контрагентов и заключение </w:t>
      </w:r>
      <w:r w:rsidR="001300BA">
        <w:rPr>
          <w:rFonts w:ascii="Times New Roman" w:hAnsi="Times New Roman" w:cs="Times New Roman"/>
          <w:sz w:val="24"/>
          <w:szCs w:val="28"/>
        </w:rPr>
        <w:t xml:space="preserve">свободных </w:t>
      </w:r>
      <w:r>
        <w:rPr>
          <w:rFonts w:ascii="Times New Roman" w:hAnsi="Times New Roman" w:cs="Times New Roman"/>
          <w:sz w:val="24"/>
          <w:szCs w:val="28"/>
        </w:rPr>
        <w:t>договоров</w:t>
      </w:r>
      <w:r w:rsidR="001E18F4">
        <w:rPr>
          <w:rFonts w:ascii="Times New Roman" w:hAnsi="Times New Roman" w:cs="Times New Roman"/>
          <w:sz w:val="24"/>
          <w:szCs w:val="28"/>
        </w:rPr>
        <w:t>, будут организованы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300BA">
        <w:rPr>
          <w:rFonts w:ascii="Times New Roman" w:hAnsi="Times New Roman" w:cs="Times New Roman"/>
          <w:sz w:val="24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8"/>
        </w:rPr>
        <w:t>биржевые площадки</w:t>
      </w:r>
      <w:r w:rsidR="001E18F4">
        <w:rPr>
          <w:rFonts w:ascii="Times New Roman" w:hAnsi="Times New Roman" w:cs="Times New Roman"/>
          <w:sz w:val="24"/>
          <w:szCs w:val="28"/>
        </w:rPr>
        <w:t>. Развитие механизма свободных договоров существенно улучшит конкурентную ситуацию на оптовом рынке.</w:t>
      </w:r>
    </w:p>
    <w:p w:rsidR="004418DC" w:rsidRDefault="004418DC" w:rsidP="0072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участия потребителей в торговле на оптовом рынке приведет к проведению значительной доли платежей за купленную электроэнергию и мощность на оптовом рынке не через </w:t>
      </w:r>
      <w:r w:rsidR="001E7B0B">
        <w:rPr>
          <w:rFonts w:ascii="Times New Roman" w:hAnsi="Times New Roman" w:cs="Times New Roman"/>
          <w:sz w:val="24"/>
          <w:szCs w:val="28"/>
        </w:rPr>
        <w:t>перепродавца</w:t>
      </w:r>
      <w:r>
        <w:rPr>
          <w:rFonts w:ascii="Times New Roman" w:hAnsi="Times New Roman" w:cs="Times New Roman"/>
          <w:sz w:val="24"/>
          <w:szCs w:val="28"/>
        </w:rPr>
        <w:t xml:space="preserve">, а напрямую от покупателя. Учитывая, что на сегодняшний день в ряде случаев нарушения платежной дисциплины на оптовом рынке обусловлены недобросовестными действиями </w:t>
      </w:r>
      <w:r w:rsidR="001E7B0B">
        <w:rPr>
          <w:rFonts w:ascii="Times New Roman" w:hAnsi="Times New Roman" w:cs="Times New Roman"/>
          <w:sz w:val="24"/>
          <w:szCs w:val="28"/>
        </w:rPr>
        <w:t>перепродавцов</w:t>
      </w:r>
      <w:r>
        <w:rPr>
          <w:rFonts w:ascii="Times New Roman" w:hAnsi="Times New Roman" w:cs="Times New Roman"/>
          <w:sz w:val="24"/>
          <w:szCs w:val="28"/>
        </w:rPr>
        <w:t>, реализация предлагаемых изменений приведет к улучшению платежной дисциплины</w:t>
      </w:r>
      <w:r w:rsidR="001300BA">
        <w:rPr>
          <w:rFonts w:ascii="Times New Roman" w:hAnsi="Times New Roman" w:cs="Times New Roman"/>
          <w:sz w:val="24"/>
          <w:szCs w:val="28"/>
        </w:rPr>
        <w:t>.</w:t>
      </w:r>
    </w:p>
    <w:p w:rsidR="0072174C" w:rsidRPr="0072174C" w:rsidRDefault="0072174C" w:rsidP="00721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B37" w:rsidRDefault="00AC0B37" w:rsidP="00EA4310">
      <w:pPr>
        <w:rPr>
          <w:sz w:val="20"/>
        </w:rPr>
      </w:pPr>
    </w:p>
    <w:p w:rsidR="0072174C" w:rsidRDefault="0072174C" w:rsidP="00EA4310">
      <w:pPr>
        <w:rPr>
          <w:sz w:val="20"/>
        </w:rPr>
      </w:pPr>
    </w:p>
    <w:p w:rsidR="0072174C" w:rsidRPr="00A64668" w:rsidRDefault="0072174C" w:rsidP="00EA4310">
      <w:pPr>
        <w:rPr>
          <w:sz w:val="20"/>
        </w:rPr>
      </w:pPr>
    </w:p>
    <w:sectPr w:rsidR="0072174C" w:rsidRPr="00A64668" w:rsidSect="00572D33">
      <w:headerReference w:type="defaul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65" w:rsidRDefault="00516D65">
      <w:pPr>
        <w:spacing w:after="0" w:line="240" w:lineRule="auto"/>
      </w:pPr>
      <w:r>
        <w:separator/>
      </w:r>
    </w:p>
  </w:endnote>
  <w:endnote w:type="continuationSeparator" w:id="0">
    <w:p w:rsidR="00516D65" w:rsidRDefault="0051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65" w:rsidRDefault="00516D65">
      <w:pPr>
        <w:spacing w:after="0" w:line="240" w:lineRule="auto"/>
      </w:pPr>
      <w:r>
        <w:separator/>
      </w:r>
    </w:p>
  </w:footnote>
  <w:footnote w:type="continuationSeparator" w:id="0">
    <w:p w:rsidR="00516D65" w:rsidRDefault="0051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1749"/>
      <w:docPartObj>
        <w:docPartGallery w:val="Page Numbers (Top of Page)"/>
        <w:docPartUnique/>
      </w:docPartObj>
    </w:sdtPr>
    <w:sdtEndPr/>
    <w:sdtContent>
      <w:p w:rsidR="005C6B09" w:rsidRDefault="005C6B09">
        <w:pPr>
          <w:pStyle w:val="a3"/>
          <w:jc w:val="center"/>
        </w:pPr>
        <w:r w:rsidRPr="00F442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42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42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0EC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F442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77E"/>
    <w:multiLevelType w:val="hybridMultilevel"/>
    <w:tmpl w:val="6B228B6C"/>
    <w:lvl w:ilvl="0" w:tplc="19D6A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2E016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FF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4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8F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087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27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8D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C21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77AEF"/>
    <w:multiLevelType w:val="hybridMultilevel"/>
    <w:tmpl w:val="CBA29542"/>
    <w:lvl w:ilvl="0" w:tplc="1D8E5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E65A8"/>
    <w:multiLevelType w:val="hybridMultilevel"/>
    <w:tmpl w:val="6572299A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04A1222"/>
    <w:multiLevelType w:val="hybridMultilevel"/>
    <w:tmpl w:val="367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C7B"/>
    <w:multiLevelType w:val="multilevel"/>
    <w:tmpl w:val="8F9CE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E093DCE"/>
    <w:multiLevelType w:val="hybridMultilevel"/>
    <w:tmpl w:val="A41097A2"/>
    <w:lvl w:ilvl="0" w:tplc="0E482C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B3F08"/>
    <w:multiLevelType w:val="hybridMultilevel"/>
    <w:tmpl w:val="B7200034"/>
    <w:lvl w:ilvl="0" w:tplc="1D8E5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DB4BA8"/>
    <w:multiLevelType w:val="hybridMultilevel"/>
    <w:tmpl w:val="7DA6A518"/>
    <w:lvl w:ilvl="0" w:tplc="2E0CE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204FA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E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E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22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1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E0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3972B8"/>
    <w:multiLevelType w:val="hybridMultilevel"/>
    <w:tmpl w:val="8C3417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B0714"/>
    <w:multiLevelType w:val="hybridMultilevel"/>
    <w:tmpl w:val="781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426373"/>
    <w:multiLevelType w:val="hybridMultilevel"/>
    <w:tmpl w:val="E218655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246577E"/>
    <w:multiLevelType w:val="hybridMultilevel"/>
    <w:tmpl w:val="9C62FA1E"/>
    <w:lvl w:ilvl="0" w:tplc="0E482C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041D9D"/>
    <w:multiLevelType w:val="hybridMultilevel"/>
    <w:tmpl w:val="95CE7A0A"/>
    <w:lvl w:ilvl="0" w:tplc="1D8E562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3B36B31"/>
    <w:multiLevelType w:val="hybridMultilevel"/>
    <w:tmpl w:val="01D2177A"/>
    <w:lvl w:ilvl="0" w:tplc="EE90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4B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E2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A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6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FB07AC"/>
    <w:multiLevelType w:val="hybridMultilevel"/>
    <w:tmpl w:val="11A2BEE0"/>
    <w:lvl w:ilvl="0" w:tplc="041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767E188E"/>
    <w:multiLevelType w:val="hybridMultilevel"/>
    <w:tmpl w:val="647A340C"/>
    <w:lvl w:ilvl="0" w:tplc="0936D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49DC">
      <w:start w:val="5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E36C6434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A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9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E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0"/>
    <w:rsid w:val="000067A1"/>
    <w:rsid w:val="00023D3F"/>
    <w:rsid w:val="000546AC"/>
    <w:rsid w:val="0005691A"/>
    <w:rsid w:val="00074D8D"/>
    <w:rsid w:val="0008631E"/>
    <w:rsid w:val="00086AF8"/>
    <w:rsid w:val="0009656E"/>
    <w:rsid w:val="000D4B5B"/>
    <w:rsid w:val="000E2B57"/>
    <w:rsid w:val="000E4E9D"/>
    <w:rsid w:val="000F6E2B"/>
    <w:rsid w:val="000F79FD"/>
    <w:rsid w:val="00110696"/>
    <w:rsid w:val="0011609D"/>
    <w:rsid w:val="00121A58"/>
    <w:rsid w:val="0012440B"/>
    <w:rsid w:val="00125DAE"/>
    <w:rsid w:val="00127CD2"/>
    <w:rsid w:val="001300BA"/>
    <w:rsid w:val="00133280"/>
    <w:rsid w:val="001368E3"/>
    <w:rsid w:val="001451E0"/>
    <w:rsid w:val="001510EC"/>
    <w:rsid w:val="001769C3"/>
    <w:rsid w:val="00176D6E"/>
    <w:rsid w:val="0019335E"/>
    <w:rsid w:val="00196397"/>
    <w:rsid w:val="001A4DE1"/>
    <w:rsid w:val="001E18C7"/>
    <w:rsid w:val="001E18F4"/>
    <w:rsid w:val="001E7B0B"/>
    <w:rsid w:val="001F097B"/>
    <w:rsid w:val="001F39F4"/>
    <w:rsid w:val="001F5429"/>
    <w:rsid w:val="00200F1F"/>
    <w:rsid w:val="00210479"/>
    <w:rsid w:val="00224CAB"/>
    <w:rsid w:val="00225545"/>
    <w:rsid w:val="002332A4"/>
    <w:rsid w:val="002332B2"/>
    <w:rsid w:val="00233F8E"/>
    <w:rsid w:val="00246610"/>
    <w:rsid w:val="002520F0"/>
    <w:rsid w:val="00266AA4"/>
    <w:rsid w:val="002A6344"/>
    <w:rsid w:val="002C7C46"/>
    <w:rsid w:val="002D4C0C"/>
    <w:rsid w:val="002D4C88"/>
    <w:rsid w:val="003075DB"/>
    <w:rsid w:val="00321E9C"/>
    <w:rsid w:val="00337523"/>
    <w:rsid w:val="00341E24"/>
    <w:rsid w:val="00346C3F"/>
    <w:rsid w:val="00347C73"/>
    <w:rsid w:val="00353197"/>
    <w:rsid w:val="00367018"/>
    <w:rsid w:val="003672C7"/>
    <w:rsid w:val="00382229"/>
    <w:rsid w:val="00385E2E"/>
    <w:rsid w:val="003944A8"/>
    <w:rsid w:val="00397A1C"/>
    <w:rsid w:val="003B27C4"/>
    <w:rsid w:val="003D6A11"/>
    <w:rsid w:val="003E537F"/>
    <w:rsid w:val="003F1F2D"/>
    <w:rsid w:val="00416C99"/>
    <w:rsid w:val="00424A0D"/>
    <w:rsid w:val="004367DA"/>
    <w:rsid w:val="004418DC"/>
    <w:rsid w:val="00455AAD"/>
    <w:rsid w:val="00455E37"/>
    <w:rsid w:val="004C2B12"/>
    <w:rsid w:val="004C2C12"/>
    <w:rsid w:val="004D2EB3"/>
    <w:rsid w:val="00516D65"/>
    <w:rsid w:val="00520F11"/>
    <w:rsid w:val="00521428"/>
    <w:rsid w:val="00550F1A"/>
    <w:rsid w:val="005520D2"/>
    <w:rsid w:val="005729F3"/>
    <w:rsid w:val="00572D33"/>
    <w:rsid w:val="005839F2"/>
    <w:rsid w:val="0059095E"/>
    <w:rsid w:val="005919E9"/>
    <w:rsid w:val="00591BCE"/>
    <w:rsid w:val="005A0F14"/>
    <w:rsid w:val="005B2992"/>
    <w:rsid w:val="005C6B09"/>
    <w:rsid w:val="005E7DEC"/>
    <w:rsid w:val="005F6057"/>
    <w:rsid w:val="00601859"/>
    <w:rsid w:val="00606803"/>
    <w:rsid w:val="006069CB"/>
    <w:rsid w:val="006226D7"/>
    <w:rsid w:val="00642FB8"/>
    <w:rsid w:val="00663919"/>
    <w:rsid w:val="00670D4E"/>
    <w:rsid w:val="006714F3"/>
    <w:rsid w:val="00677BD1"/>
    <w:rsid w:val="006A0D25"/>
    <w:rsid w:val="006A47F9"/>
    <w:rsid w:val="006A66B5"/>
    <w:rsid w:val="006B2AFF"/>
    <w:rsid w:val="006B78B9"/>
    <w:rsid w:val="006D421A"/>
    <w:rsid w:val="00704EF7"/>
    <w:rsid w:val="007066B4"/>
    <w:rsid w:val="0072174C"/>
    <w:rsid w:val="00721D57"/>
    <w:rsid w:val="00723FA7"/>
    <w:rsid w:val="0073176F"/>
    <w:rsid w:val="007554AD"/>
    <w:rsid w:val="007565E0"/>
    <w:rsid w:val="0076561C"/>
    <w:rsid w:val="0077140C"/>
    <w:rsid w:val="00771B17"/>
    <w:rsid w:val="007A57CE"/>
    <w:rsid w:val="007B195A"/>
    <w:rsid w:val="007C1596"/>
    <w:rsid w:val="007C2B56"/>
    <w:rsid w:val="007D3A50"/>
    <w:rsid w:val="007E0502"/>
    <w:rsid w:val="007E179A"/>
    <w:rsid w:val="007F03DF"/>
    <w:rsid w:val="007F15E1"/>
    <w:rsid w:val="007F61EE"/>
    <w:rsid w:val="00815BDF"/>
    <w:rsid w:val="0083025C"/>
    <w:rsid w:val="00833693"/>
    <w:rsid w:val="0083699F"/>
    <w:rsid w:val="008773A9"/>
    <w:rsid w:val="00877FDD"/>
    <w:rsid w:val="00885343"/>
    <w:rsid w:val="008855A1"/>
    <w:rsid w:val="008A7904"/>
    <w:rsid w:val="008A7F74"/>
    <w:rsid w:val="008E06CF"/>
    <w:rsid w:val="008E404B"/>
    <w:rsid w:val="00907336"/>
    <w:rsid w:val="009104EB"/>
    <w:rsid w:val="00961F97"/>
    <w:rsid w:val="0097393A"/>
    <w:rsid w:val="0097549E"/>
    <w:rsid w:val="00975A3A"/>
    <w:rsid w:val="00976EA6"/>
    <w:rsid w:val="0098069C"/>
    <w:rsid w:val="00982153"/>
    <w:rsid w:val="009840C6"/>
    <w:rsid w:val="00996733"/>
    <w:rsid w:val="009B1D0E"/>
    <w:rsid w:val="009B4EA1"/>
    <w:rsid w:val="009C6EBF"/>
    <w:rsid w:val="009D5150"/>
    <w:rsid w:val="009F0A01"/>
    <w:rsid w:val="009F55C7"/>
    <w:rsid w:val="00A54235"/>
    <w:rsid w:val="00A56A24"/>
    <w:rsid w:val="00A62DDE"/>
    <w:rsid w:val="00A64668"/>
    <w:rsid w:val="00A72A34"/>
    <w:rsid w:val="00A8432A"/>
    <w:rsid w:val="00A87CA8"/>
    <w:rsid w:val="00AA326F"/>
    <w:rsid w:val="00AA51E2"/>
    <w:rsid w:val="00AC0B37"/>
    <w:rsid w:val="00AE3D3B"/>
    <w:rsid w:val="00B03041"/>
    <w:rsid w:val="00B0316D"/>
    <w:rsid w:val="00B117A1"/>
    <w:rsid w:val="00B221CF"/>
    <w:rsid w:val="00B3055B"/>
    <w:rsid w:val="00B5686A"/>
    <w:rsid w:val="00B66384"/>
    <w:rsid w:val="00B67FFB"/>
    <w:rsid w:val="00BB26DA"/>
    <w:rsid w:val="00BC1F8C"/>
    <w:rsid w:val="00BC7318"/>
    <w:rsid w:val="00BD4AF4"/>
    <w:rsid w:val="00BF0B58"/>
    <w:rsid w:val="00BF126E"/>
    <w:rsid w:val="00BF2A21"/>
    <w:rsid w:val="00BF7342"/>
    <w:rsid w:val="00C13A56"/>
    <w:rsid w:val="00C1512F"/>
    <w:rsid w:val="00C17855"/>
    <w:rsid w:val="00C21EB5"/>
    <w:rsid w:val="00C2718C"/>
    <w:rsid w:val="00C41701"/>
    <w:rsid w:val="00C44675"/>
    <w:rsid w:val="00C63479"/>
    <w:rsid w:val="00C6427A"/>
    <w:rsid w:val="00C745B8"/>
    <w:rsid w:val="00C7601E"/>
    <w:rsid w:val="00C87C6A"/>
    <w:rsid w:val="00C92BD9"/>
    <w:rsid w:val="00CC5C14"/>
    <w:rsid w:val="00D021B5"/>
    <w:rsid w:val="00D06D7C"/>
    <w:rsid w:val="00D1162B"/>
    <w:rsid w:val="00D25A07"/>
    <w:rsid w:val="00D457A4"/>
    <w:rsid w:val="00D46710"/>
    <w:rsid w:val="00D70031"/>
    <w:rsid w:val="00D734C3"/>
    <w:rsid w:val="00D91347"/>
    <w:rsid w:val="00D95A40"/>
    <w:rsid w:val="00DA415B"/>
    <w:rsid w:val="00DC0513"/>
    <w:rsid w:val="00DC22F8"/>
    <w:rsid w:val="00DE3E2F"/>
    <w:rsid w:val="00E148F0"/>
    <w:rsid w:val="00E14DB2"/>
    <w:rsid w:val="00E23665"/>
    <w:rsid w:val="00E33885"/>
    <w:rsid w:val="00E57727"/>
    <w:rsid w:val="00E75BA1"/>
    <w:rsid w:val="00E801C1"/>
    <w:rsid w:val="00E80ABE"/>
    <w:rsid w:val="00E9792C"/>
    <w:rsid w:val="00EA4310"/>
    <w:rsid w:val="00EB1AC6"/>
    <w:rsid w:val="00EB32ED"/>
    <w:rsid w:val="00EB7D9D"/>
    <w:rsid w:val="00EC287D"/>
    <w:rsid w:val="00EC2F68"/>
    <w:rsid w:val="00F117D8"/>
    <w:rsid w:val="00F12204"/>
    <w:rsid w:val="00F2612D"/>
    <w:rsid w:val="00F30676"/>
    <w:rsid w:val="00F428CB"/>
    <w:rsid w:val="00F51FF4"/>
    <w:rsid w:val="00F52F72"/>
    <w:rsid w:val="00F53444"/>
    <w:rsid w:val="00F55E6F"/>
    <w:rsid w:val="00F578C1"/>
    <w:rsid w:val="00F620AB"/>
    <w:rsid w:val="00F63F39"/>
    <w:rsid w:val="00F77B7E"/>
    <w:rsid w:val="00F91FB2"/>
    <w:rsid w:val="00FB09BD"/>
    <w:rsid w:val="00FC4246"/>
    <w:rsid w:val="00FE1D41"/>
    <w:rsid w:val="00FE29FD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A40"/>
  </w:style>
  <w:style w:type="paragraph" w:styleId="a5">
    <w:name w:val="List Paragraph"/>
    <w:basedOn w:val="a"/>
    <w:uiPriority w:val="34"/>
    <w:qFormat/>
    <w:rsid w:val="002C7C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E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F60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057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5F60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0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057"/>
    <w:rPr>
      <w:b/>
      <w:bCs/>
      <w:sz w:val="20"/>
      <w:szCs w:val="20"/>
    </w:rPr>
  </w:style>
  <w:style w:type="paragraph" w:customStyle="1" w:styleId="ConsPlusNormal">
    <w:name w:val="ConsPlusNormal"/>
    <w:rsid w:val="00FB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F6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A40"/>
  </w:style>
  <w:style w:type="paragraph" w:styleId="a5">
    <w:name w:val="List Paragraph"/>
    <w:basedOn w:val="a"/>
    <w:uiPriority w:val="34"/>
    <w:qFormat/>
    <w:rsid w:val="002C7C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5E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F60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057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5F60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0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057"/>
    <w:rPr>
      <w:b/>
      <w:bCs/>
      <w:sz w:val="20"/>
      <w:szCs w:val="20"/>
    </w:rPr>
  </w:style>
  <w:style w:type="paragraph" w:customStyle="1" w:styleId="ConsPlusNormal">
    <w:name w:val="ConsPlusNormal"/>
    <w:rsid w:val="00FB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F6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2F23-373B-F747-9EFA-1E1B3474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4291</Words>
  <Characters>24465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Mexx</dc:creator>
  <cp:keywords/>
  <dc:description/>
  <cp:lastModifiedBy>MacBook</cp:lastModifiedBy>
  <cp:revision>2</cp:revision>
  <cp:lastPrinted>2016-09-30T14:58:00Z</cp:lastPrinted>
  <dcterms:created xsi:type="dcterms:W3CDTF">2016-11-30T15:09:00Z</dcterms:created>
  <dcterms:modified xsi:type="dcterms:W3CDTF">2016-11-30T15:09:00Z</dcterms:modified>
</cp:coreProperties>
</file>