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0C" w:rsidRDefault="00872F7F">
      <w:bookmarkStart w:id="0" w:name="_GoBack"/>
      <w:bookmarkEnd w:id="0"/>
      <w:r>
        <w:rPr>
          <w:b/>
          <w:noProof/>
          <w:sz w:val="36"/>
          <w:szCs w:val="36"/>
          <w:lang w:eastAsia="en-GB"/>
        </w:rPr>
        <w:drawing>
          <wp:anchor distT="0" distB="0" distL="114300" distR="114300" simplePos="0" relativeHeight="251658240" behindDoc="1" locked="0" layoutInCell="1" allowOverlap="1" wp14:anchorId="3E47E825" wp14:editId="67A1AF74">
            <wp:simplePos x="0" y="0"/>
            <wp:positionH relativeFrom="column">
              <wp:posOffset>3324225</wp:posOffset>
            </wp:positionH>
            <wp:positionV relativeFrom="paragraph">
              <wp:posOffset>78105</wp:posOffset>
            </wp:positionV>
            <wp:extent cx="2319655" cy="921385"/>
            <wp:effectExtent l="0" t="0" r="4445" b="0"/>
            <wp:wrapTight wrapText="bothSides">
              <wp:wrapPolygon edited="0">
                <wp:start x="0" y="0"/>
                <wp:lineTo x="0" y="20990"/>
                <wp:lineTo x="21464" y="20990"/>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logo-signature 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655" cy="921385"/>
                    </a:xfrm>
                    <a:prstGeom prst="rect">
                      <a:avLst/>
                    </a:prstGeom>
                  </pic:spPr>
                </pic:pic>
              </a:graphicData>
            </a:graphic>
            <wp14:sizeRelH relativeFrom="page">
              <wp14:pctWidth>0</wp14:pctWidth>
            </wp14:sizeRelH>
            <wp14:sizeRelV relativeFrom="page">
              <wp14:pctHeight>0</wp14:pctHeight>
            </wp14:sizeRelV>
          </wp:anchor>
        </w:drawing>
      </w:r>
    </w:p>
    <w:p w:rsidR="00872F7F" w:rsidRPr="00872F7F" w:rsidRDefault="009B4BD3">
      <w:pPr>
        <w:rPr>
          <w:b/>
          <w:sz w:val="36"/>
          <w:szCs w:val="36"/>
        </w:rPr>
      </w:pPr>
      <w:r>
        <w:rPr>
          <w:b/>
          <w:sz w:val="36"/>
          <w:szCs w:val="36"/>
        </w:rPr>
        <w:t xml:space="preserve">PCC </w:t>
      </w:r>
      <w:r w:rsidR="00E73548" w:rsidRPr="00872F7F">
        <w:rPr>
          <w:b/>
          <w:sz w:val="36"/>
          <w:szCs w:val="36"/>
        </w:rPr>
        <w:t>PUBLIC MEETINGS</w:t>
      </w:r>
      <w:r w:rsidR="00872F7F" w:rsidRPr="00872F7F">
        <w:rPr>
          <w:b/>
          <w:sz w:val="36"/>
          <w:szCs w:val="36"/>
        </w:rPr>
        <w:t xml:space="preserve"> 201</w:t>
      </w:r>
      <w:r w:rsidR="00907C37">
        <w:rPr>
          <w:b/>
          <w:sz w:val="36"/>
          <w:szCs w:val="36"/>
        </w:rPr>
        <w:t>7</w:t>
      </w:r>
      <w:r w:rsidR="00872F7F">
        <w:rPr>
          <w:b/>
          <w:sz w:val="36"/>
          <w:szCs w:val="36"/>
        </w:rPr>
        <w:t xml:space="preserve">       </w:t>
      </w:r>
    </w:p>
    <w:p w:rsidR="00872F7F" w:rsidRDefault="00872F7F"/>
    <w:p w:rsidR="00907C37" w:rsidRPr="00907C37" w:rsidRDefault="00907C37" w:rsidP="008E72C5">
      <w:pPr>
        <w:shd w:val="clear" w:color="auto" w:fill="FAFAFA"/>
        <w:spacing w:line="389" w:lineRule="atLeast"/>
        <w:rPr>
          <w:rFonts w:ascii="Tahoma" w:eastAsia="Times New Roman" w:hAnsi="Tahoma" w:cs="Tahoma"/>
          <w:color w:val="333333"/>
          <w:lang w:eastAsia="en-GB"/>
        </w:rPr>
      </w:pPr>
      <w:r w:rsidRPr="00907C37">
        <w:rPr>
          <w:rFonts w:ascii="Tahoma" w:eastAsia="Times New Roman" w:hAnsi="Tahoma" w:cs="Tahoma"/>
          <w:color w:val="333333"/>
          <w:lang w:eastAsia="en-GB"/>
        </w:rPr>
        <w:t>The Police and Crime Commissioner, Tim Passmore launches his 2017 series of public meetings across the county with the first meeting in Eye on Tuesday 2</w:t>
      </w:r>
      <w:r w:rsidRPr="00907C37">
        <w:rPr>
          <w:rFonts w:ascii="Tahoma" w:eastAsia="Times New Roman" w:hAnsi="Tahoma" w:cs="Tahoma"/>
          <w:color w:val="333333"/>
          <w:vertAlign w:val="superscript"/>
          <w:lang w:eastAsia="en-GB"/>
        </w:rPr>
        <w:t>nd</w:t>
      </w:r>
      <w:r w:rsidRPr="008E72C5">
        <w:rPr>
          <w:rFonts w:ascii="Tahoma" w:eastAsia="Times New Roman" w:hAnsi="Tahoma" w:cs="Tahoma"/>
          <w:color w:val="333333"/>
          <w:lang w:eastAsia="en-GB"/>
        </w:rPr>
        <w:t> </w:t>
      </w:r>
      <w:r w:rsidRPr="00907C37">
        <w:rPr>
          <w:rFonts w:ascii="Tahoma" w:eastAsia="Times New Roman" w:hAnsi="Tahoma" w:cs="Tahoma"/>
          <w:color w:val="333333"/>
          <w:lang w:eastAsia="en-GB"/>
        </w:rPr>
        <w:t>May.</w:t>
      </w:r>
    </w:p>
    <w:p w:rsidR="00907C37" w:rsidRPr="00907C37" w:rsidRDefault="00907C37" w:rsidP="008E72C5">
      <w:pPr>
        <w:shd w:val="clear" w:color="auto" w:fill="FAFAFA"/>
        <w:spacing w:line="389" w:lineRule="atLeast"/>
        <w:rPr>
          <w:rFonts w:ascii="Tahoma" w:eastAsia="Times New Roman" w:hAnsi="Tahoma" w:cs="Tahoma"/>
          <w:color w:val="333333"/>
          <w:lang w:eastAsia="en-GB"/>
        </w:rPr>
      </w:pPr>
      <w:r w:rsidRPr="00907C37">
        <w:rPr>
          <w:rFonts w:ascii="Tahoma" w:eastAsia="Times New Roman" w:hAnsi="Tahoma" w:cs="Tahoma"/>
          <w:color w:val="333333"/>
          <w:lang w:eastAsia="en-GB"/>
        </w:rPr>
        <w:t xml:space="preserve">Following the successful format of last year, the PCC will stage a meeting in each of the 18 Safer Neighbourhood areas.  The meetings are an opportunity for the public to ask questions of the </w:t>
      </w:r>
      <w:r w:rsidR="008E72C5">
        <w:rPr>
          <w:rFonts w:ascii="Tahoma" w:eastAsia="Times New Roman" w:hAnsi="Tahoma" w:cs="Tahoma"/>
          <w:color w:val="333333"/>
          <w:lang w:eastAsia="en-GB"/>
        </w:rPr>
        <w:t>PCC</w:t>
      </w:r>
      <w:r w:rsidRPr="00907C37">
        <w:rPr>
          <w:rFonts w:ascii="Tahoma" w:eastAsia="Times New Roman" w:hAnsi="Tahoma" w:cs="Tahoma"/>
          <w:color w:val="333333"/>
          <w:lang w:eastAsia="en-GB"/>
        </w:rPr>
        <w:t xml:space="preserve"> and the Constabulary, and to find out more about policing in the county.</w:t>
      </w:r>
      <w:r w:rsidR="008E72C5">
        <w:rPr>
          <w:rFonts w:ascii="Tahoma" w:eastAsia="Times New Roman" w:hAnsi="Tahoma" w:cs="Tahoma"/>
          <w:color w:val="333333"/>
          <w:lang w:eastAsia="en-GB"/>
        </w:rPr>
        <w:t xml:space="preserve">   </w:t>
      </w:r>
      <w:r w:rsidRPr="00907C37">
        <w:rPr>
          <w:rFonts w:ascii="Tahoma" w:eastAsia="Times New Roman" w:hAnsi="Tahoma" w:cs="Tahoma"/>
          <w:color w:val="333333"/>
          <w:lang w:eastAsia="en-GB"/>
        </w:rPr>
        <w:t>Each meeting will involve a quick overview from Tim Passmore and the local Superintendent and then the public will have an opportunity to ask questions. The local Inspector responsible for policing in the local area, will add operational context.</w:t>
      </w:r>
    </w:p>
    <w:p w:rsidR="00907C37" w:rsidRDefault="00907C37" w:rsidP="008E72C5">
      <w:pPr>
        <w:shd w:val="clear" w:color="auto" w:fill="FAFAFA"/>
        <w:spacing w:line="389" w:lineRule="atLeast"/>
        <w:rPr>
          <w:rFonts w:ascii="Tahoma" w:eastAsia="Times New Roman" w:hAnsi="Tahoma" w:cs="Tahoma"/>
          <w:color w:val="333333"/>
          <w:lang w:eastAsia="en-GB"/>
        </w:rPr>
      </w:pPr>
      <w:r w:rsidRPr="00907C37">
        <w:rPr>
          <w:rFonts w:ascii="Tahoma" w:eastAsia="Times New Roman" w:hAnsi="Tahoma" w:cs="Tahoma"/>
          <w:color w:val="333333"/>
          <w:lang w:eastAsia="en-GB"/>
        </w:rPr>
        <w:t xml:space="preserve">There is no need to book, please just turn up.   </w:t>
      </w:r>
      <w:r w:rsidR="008E72C5">
        <w:rPr>
          <w:rFonts w:ascii="Tahoma" w:eastAsia="Times New Roman" w:hAnsi="Tahoma" w:cs="Tahoma"/>
          <w:color w:val="333333"/>
          <w:lang w:eastAsia="en-GB"/>
        </w:rPr>
        <w:t>All meetings start at 7pm, t</w:t>
      </w:r>
      <w:r w:rsidRPr="00907C37">
        <w:rPr>
          <w:rFonts w:ascii="Tahoma" w:eastAsia="Times New Roman" w:hAnsi="Tahoma" w:cs="Tahoma"/>
          <w:color w:val="333333"/>
          <w:lang w:eastAsia="en-GB"/>
        </w:rPr>
        <w:t>ea and coffee will be served from 6.40pm.</w:t>
      </w:r>
    </w:p>
    <w:p w:rsidR="008E72C5" w:rsidRPr="00907C37" w:rsidRDefault="008E72C5" w:rsidP="008E72C5">
      <w:pPr>
        <w:shd w:val="clear" w:color="auto" w:fill="FAFAFA"/>
        <w:spacing w:line="389" w:lineRule="atLeast"/>
        <w:rPr>
          <w:rFonts w:ascii="Tahoma" w:eastAsia="Times New Roman" w:hAnsi="Tahoma" w:cs="Tahoma"/>
          <w:color w:val="333333"/>
          <w:lang w:eastAsia="en-GB"/>
        </w:rPr>
      </w:pPr>
    </w:p>
    <w:tbl>
      <w:tblPr>
        <w:tblW w:w="95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2"/>
        <w:gridCol w:w="1000"/>
        <w:gridCol w:w="399"/>
        <w:gridCol w:w="1462"/>
        <w:gridCol w:w="5577"/>
      </w:tblGrid>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May</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2</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Eye</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Town Hall, 1 Broad St, Eye IP23 7AF</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Wed</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10</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Ipswich SE</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Rivers Social Club, Landseer Road, Ipswich IP3 0AZ</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23</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Felixstowe</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Town Hall, Undercliff Road West, Felixstowe IP11 2AG</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Thurs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25</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Stowmarket</w:t>
            </w:r>
          </w:p>
        </w:tc>
        <w:tc>
          <w:tcPr>
            <w:tcW w:w="5565" w:type="dxa"/>
            <w:vAlign w:val="center"/>
            <w:hideMark/>
          </w:tcPr>
          <w:p w:rsidR="00907C37" w:rsidRPr="00907C37" w:rsidRDefault="00907C37" w:rsidP="008E72C5">
            <w:pPr>
              <w:spacing w:line="240" w:lineRule="auto"/>
              <w:rPr>
                <w:rFonts w:eastAsia="Times New Roman" w:cs="Times New Roman"/>
                <w:lang w:eastAsia="en-GB"/>
              </w:rPr>
            </w:pPr>
            <w:proofErr w:type="spellStart"/>
            <w:r w:rsidRPr="00907C37">
              <w:rPr>
                <w:rFonts w:eastAsia="Times New Roman" w:cs="Times New Roman"/>
                <w:lang w:eastAsia="en-GB"/>
              </w:rPr>
              <w:t>Blackbourne</w:t>
            </w:r>
            <w:proofErr w:type="spellEnd"/>
            <w:r w:rsidRPr="00907C37">
              <w:rPr>
                <w:rFonts w:eastAsia="Times New Roman" w:cs="Times New Roman"/>
                <w:lang w:eastAsia="en-GB"/>
              </w:rPr>
              <w:t xml:space="preserve"> Centre, </w:t>
            </w:r>
            <w:proofErr w:type="spellStart"/>
            <w:r w:rsidRPr="00907C37">
              <w:rPr>
                <w:rFonts w:eastAsia="Times New Roman" w:cs="Times New Roman"/>
                <w:lang w:eastAsia="en-GB"/>
              </w:rPr>
              <w:t>Blackbourne</w:t>
            </w:r>
            <w:proofErr w:type="spellEnd"/>
            <w:r w:rsidRPr="00907C37">
              <w:rPr>
                <w:rFonts w:eastAsia="Times New Roman" w:cs="Times New Roman"/>
                <w:lang w:eastAsia="en-GB"/>
              </w:rPr>
              <w:t xml:space="preserve"> Road, Elmswell  IP30 9GY</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June</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Wed</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7</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Mildenhall</w:t>
            </w:r>
          </w:p>
        </w:tc>
        <w:tc>
          <w:tcPr>
            <w:tcW w:w="5565" w:type="dxa"/>
            <w:vAlign w:val="center"/>
            <w:hideMark/>
          </w:tcPr>
          <w:p w:rsidR="00907C37" w:rsidRPr="00907C37" w:rsidRDefault="008E72C5" w:rsidP="008E72C5">
            <w:pPr>
              <w:spacing w:line="240" w:lineRule="auto"/>
              <w:rPr>
                <w:rFonts w:eastAsia="Times New Roman" w:cs="Times New Roman"/>
                <w:lang w:eastAsia="en-GB"/>
              </w:rPr>
            </w:pPr>
            <w:r>
              <w:rPr>
                <w:rFonts w:eastAsia="Times New Roman" w:cs="Times New Roman"/>
                <w:lang w:eastAsia="en-GB"/>
              </w:rPr>
              <w:t xml:space="preserve">St Mary’s </w:t>
            </w:r>
            <w:proofErr w:type="spellStart"/>
            <w:r>
              <w:rPr>
                <w:rFonts w:eastAsia="Times New Roman" w:cs="Times New Roman"/>
                <w:lang w:eastAsia="en-GB"/>
              </w:rPr>
              <w:t>Cof</w:t>
            </w:r>
            <w:r w:rsidR="00907C37" w:rsidRPr="00907C37">
              <w:rPr>
                <w:rFonts w:eastAsia="Times New Roman" w:cs="Times New Roman"/>
                <w:lang w:eastAsia="en-GB"/>
              </w:rPr>
              <w:t>E</w:t>
            </w:r>
            <w:proofErr w:type="spellEnd"/>
            <w:r w:rsidR="00907C37" w:rsidRPr="00907C37">
              <w:rPr>
                <w:rFonts w:eastAsia="Times New Roman" w:cs="Times New Roman"/>
                <w:lang w:eastAsia="en-GB"/>
              </w:rPr>
              <w:t xml:space="preserve"> Academy, Trinity Avenue, Mildenhall, IP28 7LR</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13</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Halesworth</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United Reformed Church, Quay Street, Halesworth IP19 8ER</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20</w:t>
            </w:r>
          </w:p>
        </w:tc>
        <w:tc>
          <w:tcPr>
            <w:tcW w:w="1433" w:type="dxa"/>
            <w:vAlign w:val="center"/>
            <w:hideMark/>
          </w:tcPr>
          <w:p w:rsidR="00907C37" w:rsidRPr="00907C37" w:rsidRDefault="00907C37" w:rsidP="008E72C5">
            <w:pPr>
              <w:spacing w:line="240" w:lineRule="auto"/>
              <w:rPr>
                <w:rFonts w:eastAsia="Times New Roman" w:cs="Times New Roman"/>
                <w:lang w:eastAsia="en-GB"/>
              </w:rPr>
            </w:pPr>
            <w:proofErr w:type="spellStart"/>
            <w:r w:rsidRPr="00907C37">
              <w:rPr>
                <w:rFonts w:eastAsia="Times New Roman" w:cs="Times New Roman"/>
                <w:lang w:eastAsia="en-GB"/>
              </w:rPr>
              <w:t>IpswichCentral</w:t>
            </w:r>
            <w:proofErr w:type="spellEnd"/>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St Margaret’s Primary School, Bolton Lane, Ipswich IP4 2BT</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Sept</w:t>
            </w:r>
            <w:r w:rsidR="008E72C5">
              <w:rPr>
                <w:rFonts w:eastAsia="Times New Roman" w:cs="Times New Roman"/>
                <w:b/>
                <w:bCs/>
                <w:lang w:eastAsia="en-GB"/>
              </w:rPr>
              <w:t>ember</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Thurs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7</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Haverhill</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Samuel Ward Academy, Chalkstone Way, CB9 0LD</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12</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Bury St Edmunds</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 xml:space="preserve">Southgate Community Centre, </w:t>
            </w:r>
            <w:proofErr w:type="spellStart"/>
            <w:r w:rsidRPr="00907C37">
              <w:rPr>
                <w:rFonts w:eastAsia="Times New Roman" w:cs="Times New Roman"/>
                <w:lang w:eastAsia="en-GB"/>
              </w:rPr>
              <w:t>Caie</w:t>
            </w:r>
            <w:proofErr w:type="spellEnd"/>
            <w:r w:rsidRPr="00907C37">
              <w:rPr>
                <w:rFonts w:eastAsia="Times New Roman" w:cs="Times New Roman"/>
                <w:lang w:eastAsia="en-GB"/>
              </w:rPr>
              <w:t xml:space="preserve"> Walk, Bury St Edmunds  IP33 2QA</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Thurs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14</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Beccles</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Beccles Free School, Castle Hill, Beccles  NR34 7BQ</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Wed</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20</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Sudbury</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Sudbury Town Hall, Old Market Place, Sudbury CO10 1TL</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Thurs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28</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Newmarket</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Newmarket Academy, Exning Rd, Newmarket CB8 0EB</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October</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10</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Lowestoft</w:t>
            </w:r>
          </w:p>
        </w:tc>
        <w:tc>
          <w:tcPr>
            <w:tcW w:w="5565" w:type="dxa"/>
            <w:vAlign w:val="center"/>
            <w:hideMark/>
          </w:tcPr>
          <w:p w:rsidR="00907C37" w:rsidRPr="00907C37" w:rsidRDefault="00907C37" w:rsidP="008E72C5">
            <w:pPr>
              <w:spacing w:line="240" w:lineRule="auto"/>
              <w:rPr>
                <w:rFonts w:eastAsia="Times New Roman" w:cs="Times New Roman"/>
                <w:lang w:eastAsia="en-GB"/>
              </w:rPr>
            </w:pPr>
            <w:proofErr w:type="spellStart"/>
            <w:r w:rsidRPr="00907C37">
              <w:rPr>
                <w:rFonts w:eastAsia="Times New Roman" w:cs="Times New Roman"/>
                <w:lang w:eastAsia="en-GB"/>
              </w:rPr>
              <w:t>Kirkley</w:t>
            </w:r>
            <w:proofErr w:type="spellEnd"/>
            <w:r w:rsidRPr="00907C37">
              <w:rPr>
                <w:rFonts w:eastAsia="Times New Roman" w:cs="Times New Roman"/>
                <w:lang w:eastAsia="en-GB"/>
              </w:rPr>
              <w:t xml:space="preserve"> Centre, 154 London Rd South, Lowestoft NR33 0AZ</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lastRenderedPageBreak/>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17</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Ipswich West</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Chantry Academy, Mallard Way, Ipswich ,  IP2 9LR</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November</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Thurs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2</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Woodbridge</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 xml:space="preserve">Woodbridge School, </w:t>
            </w:r>
            <w:proofErr w:type="spellStart"/>
            <w:r w:rsidRPr="00907C37">
              <w:rPr>
                <w:rFonts w:eastAsia="Times New Roman" w:cs="Times New Roman"/>
                <w:lang w:eastAsia="en-GB"/>
              </w:rPr>
              <w:t>Burkitt</w:t>
            </w:r>
            <w:proofErr w:type="spellEnd"/>
            <w:r w:rsidRPr="00907C37">
              <w:rPr>
                <w:rFonts w:eastAsia="Times New Roman" w:cs="Times New Roman"/>
                <w:lang w:eastAsia="en-GB"/>
              </w:rPr>
              <w:t xml:space="preserve"> Road, Woodbridge IP12 4JH</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r w:rsidRPr="008E72C5">
              <w:rPr>
                <w:rFonts w:eastAsia="Times New Roman" w:cs="Times New Roman"/>
                <w:b/>
                <w:bCs/>
                <w:lang w:eastAsia="en-GB"/>
              </w:rPr>
              <w:t> </w:t>
            </w: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7</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Brandon</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 xml:space="preserve">The Harvest Centre, </w:t>
            </w:r>
            <w:proofErr w:type="spellStart"/>
            <w:r w:rsidRPr="00907C37">
              <w:rPr>
                <w:rFonts w:eastAsia="Times New Roman" w:cs="Times New Roman"/>
                <w:lang w:eastAsia="en-GB"/>
              </w:rPr>
              <w:t>Weeting</w:t>
            </w:r>
            <w:proofErr w:type="spellEnd"/>
            <w:r w:rsidRPr="00907C37">
              <w:rPr>
                <w:rFonts w:eastAsia="Times New Roman" w:cs="Times New Roman"/>
                <w:lang w:eastAsia="en-GB"/>
              </w:rPr>
              <w:t>, Brandon IP27 0PW</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Wed</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15</w:t>
            </w:r>
          </w:p>
        </w:tc>
        <w:tc>
          <w:tcPr>
            <w:tcW w:w="1433"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Hadleigh</w:t>
            </w:r>
          </w:p>
        </w:tc>
        <w:tc>
          <w:tcPr>
            <w:tcW w:w="5565"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Village Hall, The Street, Capel St Mary, IP9 2EP</w:t>
            </w:r>
          </w:p>
        </w:tc>
      </w:tr>
      <w:tr w:rsidR="008E72C5" w:rsidRPr="00907C37" w:rsidTr="008E72C5">
        <w:trPr>
          <w:tblCellSpacing w:w="15" w:type="dxa"/>
        </w:trPr>
        <w:tc>
          <w:tcPr>
            <w:tcW w:w="988" w:type="dxa"/>
            <w:vAlign w:val="center"/>
            <w:hideMark/>
          </w:tcPr>
          <w:p w:rsidR="00907C37" w:rsidRPr="00907C37" w:rsidRDefault="00907C37" w:rsidP="008E72C5">
            <w:pPr>
              <w:spacing w:line="240" w:lineRule="auto"/>
              <w:rPr>
                <w:rFonts w:eastAsia="Times New Roman" w:cs="Times New Roman"/>
                <w:lang w:eastAsia="en-GB"/>
              </w:rPr>
            </w:pPr>
          </w:p>
        </w:tc>
        <w:tc>
          <w:tcPr>
            <w:tcW w:w="974"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Tues</w:t>
            </w:r>
          </w:p>
        </w:tc>
        <w:tc>
          <w:tcPr>
            <w:tcW w:w="370" w:type="dxa"/>
            <w:vAlign w:val="center"/>
            <w:hideMark/>
          </w:tcPr>
          <w:p w:rsidR="00907C37" w:rsidRPr="00907C37" w:rsidRDefault="00907C37" w:rsidP="008E72C5">
            <w:pPr>
              <w:spacing w:line="240" w:lineRule="auto"/>
              <w:rPr>
                <w:rFonts w:eastAsia="Times New Roman" w:cs="Times New Roman"/>
                <w:lang w:eastAsia="en-GB"/>
              </w:rPr>
            </w:pPr>
            <w:r w:rsidRPr="00907C37">
              <w:rPr>
                <w:rFonts w:eastAsia="Times New Roman" w:cs="Times New Roman"/>
                <w:lang w:eastAsia="en-GB"/>
              </w:rPr>
              <w:t>28</w:t>
            </w:r>
          </w:p>
        </w:tc>
        <w:tc>
          <w:tcPr>
            <w:tcW w:w="1433" w:type="dxa"/>
            <w:vAlign w:val="center"/>
            <w:hideMark/>
          </w:tcPr>
          <w:p w:rsidR="00907C37" w:rsidRPr="00907C37" w:rsidRDefault="00907C37" w:rsidP="008E72C5">
            <w:pPr>
              <w:spacing w:line="240" w:lineRule="auto"/>
              <w:rPr>
                <w:rFonts w:eastAsia="Times New Roman" w:cs="Times New Roman"/>
                <w:lang w:eastAsia="en-GB"/>
              </w:rPr>
            </w:pPr>
            <w:proofErr w:type="spellStart"/>
            <w:r w:rsidRPr="00907C37">
              <w:rPr>
                <w:rFonts w:eastAsia="Times New Roman" w:cs="Times New Roman"/>
                <w:lang w:eastAsia="en-GB"/>
              </w:rPr>
              <w:t>Leiston</w:t>
            </w:r>
            <w:proofErr w:type="spellEnd"/>
          </w:p>
        </w:tc>
        <w:tc>
          <w:tcPr>
            <w:tcW w:w="5565" w:type="dxa"/>
            <w:vAlign w:val="center"/>
            <w:hideMark/>
          </w:tcPr>
          <w:p w:rsidR="00907C37" w:rsidRPr="00907C37" w:rsidRDefault="00781957" w:rsidP="008E72C5">
            <w:pPr>
              <w:spacing w:line="240" w:lineRule="auto"/>
              <w:rPr>
                <w:rFonts w:eastAsia="Times New Roman" w:cs="Times New Roman"/>
                <w:lang w:eastAsia="en-GB"/>
              </w:rPr>
            </w:pPr>
            <w:r w:rsidRPr="00781957">
              <w:rPr>
                <w:rFonts w:eastAsia="Times New Roman" w:cs="Times New Roman"/>
                <w:lang w:eastAsia="en-GB"/>
              </w:rPr>
              <w:t xml:space="preserve">Sizewell Sports and Social Club, King George’s Avenue, </w:t>
            </w:r>
            <w:proofErr w:type="spellStart"/>
            <w:r w:rsidRPr="00781957">
              <w:rPr>
                <w:rFonts w:eastAsia="Times New Roman" w:cs="Times New Roman"/>
                <w:lang w:eastAsia="en-GB"/>
              </w:rPr>
              <w:t>Leiston</w:t>
            </w:r>
            <w:proofErr w:type="spellEnd"/>
            <w:r w:rsidRPr="00781957">
              <w:rPr>
                <w:rFonts w:eastAsia="Times New Roman" w:cs="Times New Roman"/>
                <w:lang w:eastAsia="en-GB"/>
              </w:rPr>
              <w:t>, IP16 4JX</w:t>
            </w:r>
          </w:p>
        </w:tc>
      </w:tr>
    </w:tbl>
    <w:p w:rsidR="006D252D" w:rsidRPr="008E72C5" w:rsidRDefault="006D252D" w:rsidP="008E72C5"/>
    <w:sectPr w:rsidR="006D252D" w:rsidRPr="008E72C5" w:rsidSect="006D2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2D"/>
    <w:rsid w:val="00004D0B"/>
    <w:rsid w:val="003E3009"/>
    <w:rsid w:val="0058133A"/>
    <w:rsid w:val="006D252D"/>
    <w:rsid w:val="00781957"/>
    <w:rsid w:val="00872F7F"/>
    <w:rsid w:val="008E72C5"/>
    <w:rsid w:val="00907C37"/>
    <w:rsid w:val="009B4BD3"/>
    <w:rsid w:val="00A75017"/>
    <w:rsid w:val="00B531BF"/>
    <w:rsid w:val="00E7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252D"/>
    <w:rPr>
      <w:b/>
      <w:bCs/>
    </w:rPr>
  </w:style>
  <w:style w:type="paragraph" w:styleId="BalloonText">
    <w:name w:val="Balloon Text"/>
    <w:basedOn w:val="Normal"/>
    <w:link w:val="BalloonTextChar"/>
    <w:uiPriority w:val="99"/>
    <w:semiHidden/>
    <w:unhideWhenUsed/>
    <w:rsid w:val="0087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7F"/>
    <w:rPr>
      <w:rFonts w:ascii="Tahoma" w:hAnsi="Tahoma" w:cs="Tahoma"/>
      <w:sz w:val="16"/>
      <w:szCs w:val="16"/>
    </w:rPr>
  </w:style>
  <w:style w:type="character" w:customStyle="1" w:styleId="Heading1Char">
    <w:name w:val="Heading 1 Char"/>
    <w:basedOn w:val="DefaultParagraphFont"/>
    <w:link w:val="Heading1"/>
    <w:uiPriority w:val="9"/>
    <w:rsid w:val="00907C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07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07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252D"/>
    <w:rPr>
      <w:b/>
      <w:bCs/>
    </w:rPr>
  </w:style>
  <w:style w:type="paragraph" w:styleId="BalloonText">
    <w:name w:val="Balloon Text"/>
    <w:basedOn w:val="Normal"/>
    <w:link w:val="BalloonTextChar"/>
    <w:uiPriority w:val="99"/>
    <w:semiHidden/>
    <w:unhideWhenUsed/>
    <w:rsid w:val="0087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7F"/>
    <w:rPr>
      <w:rFonts w:ascii="Tahoma" w:hAnsi="Tahoma" w:cs="Tahoma"/>
      <w:sz w:val="16"/>
      <w:szCs w:val="16"/>
    </w:rPr>
  </w:style>
  <w:style w:type="character" w:customStyle="1" w:styleId="Heading1Char">
    <w:name w:val="Heading 1 Char"/>
    <w:basedOn w:val="DefaultParagraphFont"/>
    <w:link w:val="Heading1"/>
    <w:uiPriority w:val="9"/>
    <w:rsid w:val="00907C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07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0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7635">
      <w:bodyDiv w:val="1"/>
      <w:marLeft w:val="0"/>
      <w:marRight w:val="0"/>
      <w:marTop w:val="0"/>
      <w:marBottom w:val="0"/>
      <w:divBdr>
        <w:top w:val="none" w:sz="0" w:space="0" w:color="auto"/>
        <w:left w:val="none" w:sz="0" w:space="0" w:color="auto"/>
        <w:bottom w:val="none" w:sz="0" w:space="0" w:color="auto"/>
        <w:right w:val="none" w:sz="0" w:space="0" w:color="auto"/>
      </w:divBdr>
      <w:divsChild>
        <w:div w:id="1991205091">
          <w:marLeft w:val="0"/>
          <w:marRight w:val="0"/>
          <w:marTop w:val="0"/>
          <w:marBottom w:val="0"/>
          <w:divBdr>
            <w:top w:val="none" w:sz="0" w:space="0" w:color="auto"/>
            <w:left w:val="none" w:sz="0" w:space="0" w:color="auto"/>
            <w:bottom w:val="none" w:sz="0" w:space="0" w:color="auto"/>
            <w:right w:val="none" w:sz="0" w:space="0" w:color="auto"/>
          </w:divBdr>
          <w:divsChild>
            <w:div w:id="1343817918">
              <w:marLeft w:val="0"/>
              <w:marRight w:val="0"/>
              <w:marTop w:val="0"/>
              <w:marBottom w:val="0"/>
              <w:divBdr>
                <w:top w:val="none" w:sz="0" w:space="0" w:color="auto"/>
                <w:left w:val="none" w:sz="0" w:space="0" w:color="auto"/>
                <w:bottom w:val="none" w:sz="0" w:space="0" w:color="auto"/>
                <w:right w:val="none" w:sz="0" w:space="0" w:color="auto"/>
              </w:divBdr>
              <w:divsChild>
                <w:div w:id="1594706811">
                  <w:marLeft w:val="0"/>
                  <w:marRight w:val="0"/>
                  <w:marTop w:val="0"/>
                  <w:marBottom w:val="0"/>
                  <w:divBdr>
                    <w:top w:val="none" w:sz="0" w:space="0" w:color="auto"/>
                    <w:left w:val="none" w:sz="0" w:space="0" w:color="auto"/>
                    <w:bottom w:val="none" w:sz="0" w:space="0" w:color="auto"/>
                    <w:right w:val="none" w:sz="0" w:space="0" w:color="auto"/>
                  </w:divBdr>
                  <w:divsChild>
                    <w:div w:id="1226840225">
                      <w:marLeft w:val="0"/>
                      <w:marRight w:val="0"/>
                      <w:marTop w:val="0"/>
                      <w:marBottom w:val="0"/>
                      <w:divBdr>
                        <w:top w:val="none" w:sz="0" w:space="0" w:color="auto"/>
                        <w:left w:val="none" w:sz="0" w:space="0" w:color="auto"/>
                        <w:bottom w:val="none" w:sz="0" w:space="0" w:color="auto"/>
                        <w:right w:val="none" w:sz="0" w:space="0" w:color="auto"/>
                      </w:divBdr>
                      <w:divsChild>
                        <w:div w:id="1145245148">
                          <w:marLeft w:val="0"/>
                          <w:marRight w:val="0"/>
                          <w:marTop w:val="0"/>
                          <w:marBottom w:val="0"/>
                          <w:divBdr>
                            <w:top w:val="none" w:sz="0" w:space="0" w:color="auto"/>
                            <w:left w:val="none" w:sz="0" w:space="0" w:color="auto"/>
                            <w:bottom w:val="none" w:sz="0" w:space="0" w:color="auto"/>
                            <w:right w:val="none" w:sz="0" w:space="0" w:color="auto"/>
                          </w:divBdr>
                          <w:divsChild>
                            <w:div w:id="985551039">
                              <w:marLeft w:val="0"/>
                              <w:marRight w:val="0"/>
                              <w:marTop w:val="0"/>
                              <w:marBottom w:val="0"/>
                              <w:divBdr>
                                <w:top w:val="none" w:sz="0" w:space="0" w:color="auto"/>
                                <w:left w:val="none" w:sz="0" w:space="0" w:color="auto"/>
                                <w:bottom w:val="none" w:sz="0" w:space="0" w:color="auto"/>
                                <w:right w:val="none" w:sz="0" w:space="0" w:color="auto"/>
                              </w:divBdr>
                              <w:divsChild>
                                <w:div w:id="9874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774439">
      <w:bodyDiv w:val="1"/>
      <w:marLeft w:val="0"/>
      <w:marRight w:val="0"/>
      <w:marTop w:val="0"/>
      <w:marBottom w:val="0"/>
      <w:divBdr>
        <w:top w:val="none" w:sz="0" w:space="0" w:color="auto"/>
        <w:left w:val="none" w:sz="0" w:space="0" w:color="auto"/>
        <w:bottom w:val="none" w:sz="0" w:space="0" w:color="auto"/>
        <w:right w:val="none" w:sz="0" w:space="0" w:color="auto"/>
      </w:divBdr>
    </w:div>
    <w:div w:id="1799299492">
      <w:bodyDiv w:val="1"/>
      <w:marLeft w:val="0"/>
      <w:marRight w:val="0"/>
      <w:marTop w:val="0"/>
      <w:marBottom w:val="0"/>
      <w:divBdr>
        <w:top w:val="none" w:sz="0" w:space="0" w:color="auto"/>
        <w:left w:val="none" w:sz="0" w:space="0" w:color="auto"/>
        <w:bottom w:val="none" w:sz="0" w:space="0" w:color="auto"/>
        <w:right w:val="none" w:sz="0" w:space="0" w:color="auto"/>
      </w:divBdr>
      <w:divsChild>
        <w:div w:id="89635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Graffham, Sandra</dc:creator>
  <cp:lastModifiedBy>Microsoft</cp:lastModifiedBy>
  <cp:revision>2</cp:revision>
  <cp:lastPrinted>2016-07-26T15:33:00Z</cp:lastPrinted>
  <dcterms:created xsi:type="dcterms:W3CDTF">2017-06-08T16:31:00Z</dcterms:created>
  <dcterms:modified xsi:type="dcterms:W3CDTF">2017-06-08T16:31:00Z</dcterms:modified>
</cp:coreProperties>
</file>