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CA" w:rsidRPr="000444AC" w:rsidRDefault="004001CA" w:rsidP="00EA49DB">
      <w:pPr>
        <w:jc w:val="center"/>
        <w:rPr>
          <w:rFonts w:ascii="Times New Roman" w:eastAsia="Times New Roman" w:hAnsi="Times New Roman" w:cs="Times New Roman"/>
          <w:b/>
        </w:rPr>
      </w:pPr>
      <w:r w:rsidRPr="000444AC">
        <w:rPr>
          <w:rFonts w:ascii="Times New Roman" w:eastAsia="Times New Roman" w:hAnsi="Times New Roman" w:cs="Times New Roman"/>
          <w:b/>
        </w:rPr>
        <w:t xml:space="preserve">False Analogies to </w:t>
      </w:r>
      <w:r w:rsidR="00EA49DB" w:rsidRPr="000444AC">
        <w:rPr>
          <w:rFonts w:ascii="Times New Roman" w:eastAsia="Times New Roman" w:hAnsi="Times New Roman" w:cs="Times New Roman"/>
          <w:b/>
        </w:rPr>
        <w:t>Predatory Pricing</w:t>
      </w:r>
      <w:r w:rsidRPr="000444AC">
        <w:rPr>
          <w:rFonts w:ascii="Times New Roman" w:eastAsia="Times New Roman" w:hAnsi="Times New Roman" w:cs="Times New Roman"/>
          <w:b/>
        </w:rPr>
        <w:t xml:space="preserve"> in A</w:t>
      </w:r>
      <w:r w:rsidR="00EA49DB" w:rsidRPr="000444AC">
        <w:rPr>
          <w:rFonts w:ascii="Times New Roman" w:eastAsia="Times New Roman" w:hAnsi="Times New Roman" w:cs="Times New Roman"/>
          <w:b/>
        </w:rPr>
        <w:t>ntitrust Law</w:t>
      </w:r>
    </w:p>
    <w:p w:rsidR="00EA49DB" w:rsidRPr="000444AC" w:rsidRDefault="00EA49DB" w:rsidP="00EA49DB">
      <w:pPr>
        <w:jc w:val="center"/>
        <w:rPr>
          <w:rFonts w:ascii="Times New Roman" w:eastAsia="Times New Roman" w:hAnsi="Times New Roman" w:cs="Times New Roman"/>
          <w:b/>
        </w:rPr>
      </w:pPr>
      <w:r w:rsidRPr="000444AC">
        <w:rPr>
          <w:rFonts w:ascii="Times New Roman" w:eastAsia="Times New Roman" w:hAnsi="Times New Roman" w:cs="Times New Roman"/>
          <w:b/>
        </w:rPr>
        <w:t>Christopher R. Leslie</w:t>
      </w:r>
      <w:r w:rsidR="00BD7513" w:rsidRPr="000444AC">
        <w:rPr>
          <w:rStyle w:val="a4"/>
          <w:rFonts w:ascii="Times New Roman" w:hAnsi="Times New Roman" w:cs="Times New Roman"/>
        </w:rPr>
        <w:footnoteReference w:customMarkFollows="1" w:id="1"/>
        <w:t>*</w:t>
      </w:r>
    </w:p>
    <w:p w:rsidR="004001CA" w:rsidRPr="000444AC" w:rsidRDefault="004001CA" w:rsidP="004001CA">
      <w:pPr>
        <w:rPr>
          <w:rFonts w:ascii="Times New Roman" w:eastAsia="Times New Roman" w:hAnsi="Times New Roman" w:cs="Times New Roman"/>
          <w:b/>
        </w:rPr>
      </w:pPr>
    </w:p>
    <w:p w:rsidR="00E0733F" w:rsidRPr="000444AC" w:rsidRDefault="00E0733F" w:rsidP="004001CA">
      <w:pPr>
        <w:rPr>
          <w:rFonts w:ascii="Times New Roman" w:eastAsia="Times New Roman" w:hAnsi="Times New Roman" w:cs="Times New Roman"/>
          <w:b/>
        </w:rPr>
      </w:pPr>
    </w:p>
    <w:p w:rsidR="00675540" w:rsidRPr="000444AC" w:rsidRDefault="00675540" w:rsidP="00675540">
      <w:pPr>
        <w:ind w:firstLine="720"/>
        <w:rPr>
          <w:rFonts w:ascii="Times New Roman" w:hAnsi="Times New Roman" w:cs="Times New Roman"/>
        </w:rPr>
      </w:pPr>
      <w:r w:rsidRPr="000444AC">
        <w:rPr>
          <w:rFonts w:ascii="Times New Roman" w:hAnsi="Times New Roman" w:cs="Times New Roman"/>
        </w:rPr>
        <w:t>Antitrust law is common law. The reach of common-law rules expands as courts analogize new forms of conduct to fact patterns from earlier cases. For example, in antitrust jurisprudence, courts have reasoned that agreements among competitors to reduce output have the same economic effect as price-fixing agreements, which were per se illegal. Because output restraints were analogous to price restraints, the former should also be condemned as per se illegal. This process for developing the common law antitrust works well so long as the analogies are appropriate. False analogies, however, can lead courts to condemn benign conduct or to exonerate anticompetitive conduct.</w:t>
      </w:r>
    </w:p>
    <w:p w:rsidR="00675540" w:rsidRPr="000444AC" w:rsidRDefault="00675540" w:rsidP="00675540">
      <w:pPr>
        <w:ind w:firstLine="720"/>
        <w:rPr>
          <w:rFonts w:ascii="Times New Roman" w:hAnsi="Times New Roman" w:cs="Times New Roman"/>
        </w:rPr>
      </w:pPr>
    </w:p>
    <w:p w:rsidR="00B241BD" w:rsidRPr="000444AC" w:rsidRDefault="00675540" w:rsidP="00675540">
      <w:pPr>
        <w:ind w:firstLine="720"/>
        <w:rPr>
          <w:rFonts w:ascii="Times New Roman" w:hAnsi="Times New Roman" w:cs="Times New Roman"/>
        </w:rPr>
      </w:pPr>
      <w:r w:rsidRPr="000444AC">
        <w:rPr>
          <w:rFonts w:ascii="Times New Roman" w:hAnsi="Times New Roman" w:cs="Times New Roman"/>
        </w:rPr>
        <w:t xml:space="preserve">Beginning in the mid-1980s, false analogies involving predatory pricing cases have fundamentally distorted most aspects of antitrust law. Predatory pricing is a relatively unique form of anticompetitive conduct. </w:t>
      </w:r>
      <w:r w:rsidR="00B241BD" w:rsidRPr="000444AC">
        <w:rPr>
          <w:rFonts w:ascii="Times New Roman" w:hAnsi="Times New Roman" w:cs="Times New Roman"/>
        </w:rPr>
        <w:t>From the monopolist’s standpoint, predatory pricing involves two distinct phases: predation and recoupment. During the predation phase, the predator charges a price below its own costs, based on the belief that its competitors will not be able to match this low price unless they, like the predator, are willing to sustain a loss on every sale.</w:t>
      </w:r>
      <w:r w:rsidRPr="000444AC">
        <w:rPr>
          <w:rFonts w:ascii="Times New Roman" w:hAnsi="Times New Roman" w:cs="Times New Roman"/>
        </w:rPr>
        <w:t xml:space="preserve"> </w:t>
      </w:r>
      <w:r w:rsidR="00B241BD" w:rsidRPr="000444AC">
        <w:rPr>
          <w:rFonts w:ascii="Times New Roman" w:hAnsi="Times New Roman" w:cs="Times New Roman"/>
        </w:rPr>
        <w:t>After its rivals have exited the market, the recoupment phase begins. Here, the predator can then charge a monopoly price because there are no other sellers to price discipline the new monopolist. The monopolist’s goal is to charge a price high enough and long enough to be able to recoup its losses during the predation phase and to reap monopoly profits for the foreseeable future.</w:t>
      </w:r>
      <w:r w:rsidR="00B241BD" w:rsidRPr="000444AC">
        <w:rPr>
          <w:rStyle w:val="a4"/>
          <w:rFonts w:ascii="Times New Roman" w:hAnsi="Times New Roman" w:cs="Times New Roman"/>
        </w:rPr>
        <w:footnoteReference w:id="2"/>
      </w:r>
    </w:p>
    <w:p w:rsidR="00675540" w:rsidRPr="000444AC" w:rsidRDefault="00675540" w:rsidP="00675540">
      <w:pPr>
        <w:ind w:firstLine="720"/>
        <w:rPr>
          <w:rFonts w:ascii="Times New Roman" w:hAnsi="Times New Roman" w:cs="Times New Roman"/>
        </w:rPr>
      </w:pPr>
    </w:p>
    <w:p w:rsidR="0076699B" w:rsidRPr="000444AC" w:rsidRDefault="0076699B" w:rsidP="0076699B">
      <w:pPr>
        <w:ind w:firstLine="720"/>
        <w:rPr>
          <w:rFonts w:ascii="Times New Roman" w:hAnsi="Times New Roman" w:cs="Times New Roman"/>
        </w:rPr>
      </w:pPr>
      <w:r w:rsidRPr="000444AC">
        <w:rPr>
          <w:rFonts w:ascii="Times New Roman" w:hAnsi="Times New Roman" w:cs="Times New Roman"/>
        </w:rPr>
        <w:t xml:space="preserve">Although the Supreme Court condemned predatory pricing as violating antitrust laws over a century ago, under the influence of the Chicago School, the Court changed course. In its </w:t>
      </w:r>
      <w:r w:rsidRPr="000444AC">
        <w:rPr>
          <w:rFonts w:ascii="Times New Roman" w:hAnsi="Times New Roman" w:cs="Times New Roman"/>
          <w:i/>
        </w:rPr>
        <w:t xml:space="preserve">Matsushita </w:t>
      </w:r>
      <w:r w:rsidRPr="000444AC">
        <w:rPr>
          <w:rFonts w:ascii="Times New Roman" w:hAnsi="Times New Roman" w:cs="Times New Roman"/>
        </w:rPr>
        <w:t xml:space="preserve">opinion, a bare majority of the Court announced that predatory pricing is neither attempted </w:t>
      </w:r>
      <w:r w:rsidR="008D5F77" w:rsidRPr="000444AC">
        <w:rPr>
          <w:rFonts w:ascii="Times New Roman" w:hAnsi="Times New Roman" w:cs="Times New Roman"/>
        </w:rPr>
        <w:t>nor</w:t>
      </w:r>
      <w:r w:rsidRPr="000444AC">
        <w:rPr>
          <w:rFonts w:ascii="Times New Roman" w:hAnsi="Times New Roman" w:cs="Times New Roman"/>
        </w:rPr>
        <w:t xml:space="preserve"> successful. It announced that predatory pricing claims are implausible and as such, plaintiffs bringing such claims should have to satisfy a heightened evidentiary standard in order to survive summary judgment. Seven years later in </w:t>
      </w:r>
      <w:r w:rsidRPr="000444AC">
        <w:rPr>
          <w:rFonts w:ascii="Times New Roman" w:hAnsi="Times New Roman" w:cs="Times New Roman"/>
          <w:i/>
        </w:rPr>
        <w:t>Brooke Group</w:t>
      </w:r>
      <w:r w:rsidRPr="000444AC">
        <w:rPr>
          <w:rFonts w:ascii="Times New Roman" w:hAnsi="Times New Roman" w:cs="Times New Roman"/>
        </w:rPr>
        <w:t xml:space="preserve">, the Court imposed a recoupment requirement on plaintiffs bringing predatory pricing claims under section 2 of the Sherman Act, which condemns illegal monopolization and attempted monopolization. As in </w:t>
      </w:r>
      <w:r w:rsidRPr="000444AC">
        <w:rPr>
          <w:rFonts w:ascii="Times New Roman" w:hAnsi="Times New Roman" w:cs="Times New Roman"/>
          <w:i/>
        </w:rPr>
        <w:t>Matsushita</w:t>
      </w:r>
      <w:r w:rsidRPr="000444AC">
        <w:rPr>
          <w:rFonts w:ascii="Times New Roman" w:hAnsi="Times New Roman" w:cs="Times New Roman"/>
        </w:rPr>
        <w:t xml:space="preserve">, the </w:t>
      </w:r>
      <w:r w:rsidRPr="000444AC">
        <w:rPr>
          <w:rFonts w:ascii="Times New Roman" w:hAnsi="Times New Roman" w:cs="Times New Roman"/>
          <w:i/>
        </w:rPr>
        <w:t xml:space="preserve">Brooke Group </w:t>
      </w:r>
      <w:r w:rsidRPr="000444AC">
        <w:rPr>
          <w:rFonts w:ascii="Times New Roman" w:hAnsi="Times New Roman" w:cs="Times New Roman"/>
        </w:rPr>
        <w:t>Court asserted that predatory pricing does not occur and that such claim</w:t>
      </w:r>
      <w:r w:rsidR="008D5F77" w:rsidRPr="000444AC">
        <w:rPr>
          <w:rFonts w:ascii="Times New Roman" w:hAnsi="Times New Roman" w:cs="Times New Roman"/>
        </w:rPr>
        <w:t>s</w:t>
      </w:r>
      <w:r w:rsidRPr="000444AC">
        <w:rPr>
          <w:rFonts w:ascii="Times New Roman" w:hAnsi="Times New Roman" w:cs="Times New Roman"/>
        </w:rPr>
        <w:t xml:space="preserve"> should be relatively more difficult to prove because the initial stages of predatory pricing benefit consumers with lower prices and resemble the competitive process in which firms compete for business by lowering prices.</w:t>
      </w:r>
    </w:p>
    <w:p w:rsidR="0076699B" w:rsidRPr="000444AC" w:rsidRDefault="0076699B" w:rsidP="0076699B">
      <w:pPr>
        <w:ind w:firstLine="720"/>
        <w:rPr>
          <w:rFonts w:ascii="Times New Roman" w:hAnsi="Times New Roman" w:cs="Times New Roman"/>
        </w:rPr>
      </w:pPr>
    </w:p>
    <w:p w:rsidR="0076699B" w:rsidRPr="000444AC" w:rsidRDefault="0076699B" w:rsidP="0076699B">
      <w:pPr>
        <w:ind w:firstLine="720"/>
        <w:rPr>
          <w:rFonts w:ascii="Times New Roman" w:hAnsi="Times New Roman" w:cs="Times New Roman"/>
        </w:rPr>
      </w:pPr>
      <w:r w:rsidRPr="000444AC">
        <w:rPr>
          <w:rFonts w:ascii="Times New Roman" w:hAnsi="Times New Roman" w:cs="Times New Roman"/>
        </w:rPr>
        <w:t>The Court’s reasoning was incorrect; predatory pricing does occur and can be profitable. Moreover, the anticompetitive harms of predatory pricing can exist independently of whether the monopolist actually recoups its investment in b</w:t>
      </w:r>
      <w:r w:rsidR="008D5F77" w:rsidRPr="000444AC">
        <w:rPr>
          <w:rFonts w:ascii="Times New Roman" w:hAnsi="Times New Roman" w:cs="Times New Roman"/>
        </w:rPr>
        <w:t>elow-cost pricing. If the Court’s</w:t>
      </w:r>
      <w:r w:rsidRPr="000444AC">
        <w:rPr>
          <w:rFonts w:ascii="Times New Roman" w:hAnsi="Times New Roman" w:cs="Times New Roman"/>
        </w:rPr>
        <w:t xml:space="preserve"> mistakes were confined within predatory pricing jurisprudence, the impact would not be so troubling. Unfortunately, lower federal courts have significantly magnified the errors of the </w:t>
      </w:r>
      <w:r w:rsidRPr="000444AC">
        <w:rPr>
          <w:rFonts w:ascii="Times New Roman" w:hAnsi="Times New Roman" w:cs="Times New Roman"/>
          <w:i/>
        </w:rPr>
        <w:t xml:space="preserve">Matsushita </w:t>
      </w:r>
      <w:r w:rsidRPr="000444AC">
        <w:rPr>
          <w:rFonts w:ascii="Times New Roman" w:hAnsi="Times New Roman" w:cs="Times New Roman"/>
        </w:rPr>
        <w:t xml:space="preserve">and </w:t>
      </w:r>
      <w:r w:rsidRPr="000444AC">
        <w:rPr>
          <w:rFonts w:ascii="Times New Roman" w:hAnsi="Times New Roman" w:cs="Times New Roman"/>
          <w:i/>
        </w:rPr>
        <w:lastRenderedPageBreak/>
        <w:t xml:space="preserve">Brooke Group </w:t>
      </w:r>
      <w:r w:rsidRPr="000444AC">
        <w:rPr>
          <w:rFonts w:ascii="Times New Roman" w:hAnsi="Times New Roman" w:cs="Times New Roman"/>
        </w:rPr>
        <w:t xml:space="preserve">opinions by applying the holdings and heightened legal rules of these predatory pricing cases to all manner of antitrust violations. For example, courts routinely invoke the heightened evidentiary requirements of </w:t>
      </w:r>
      <w:r w:rsidRPr="000444AC">
        <w:rPr>
          <w:rFonts w:ascii="Times New Roman" w:hAnsi="Times New Roman" w:cs="Times New Roman"/>
          <w:i/>
        </w:rPr>
        <w:t>Matsushita</w:t>
      </w:r>
      <w:r w:rsidRPr="000444AC">
        <w:rPr>
          <w:rFonts w:ascii="Times New Roman" w:hAnsi="Times New Roman" w:cs="Times New Roman"/>
        </w:rPr>
        <w:t xml:space="preserve"> in order to grant summary judgment against antitrust plaintiffs bringing claims of price-fixing, output restrictions, market division, tying arrangements, group boycotts, and conspiracies to impose mandatory arbitration clauses. None of these categories of claims are implausible and none involve conduct that can be reasonably described as either </w:t>
      </w:r>
      <w:proofErr w:type="spellStart"/>
      <w:r w:rsidRPr="000444AC">
        <w:rPr>
          <w:rFonts w:ascii="Times New Roman" w:hAnsi="Times New Roman" w:cs="Times New Roman"/>
        </w:rPr>
        <w:t>proconsumer</w:t>
      </w:r>
      <w:proofErr w:type="spellEnd"/>
      <w:r w:rsidRPr="000444AC">
        <w:rPr>
          <w:rFonts w:ascii="Times New Roman" w:hAnsi="Times New Roman" w:cs="Times New Roman"/>
        </w:rPr>
        <w:t xml:space="preserve"> or procompetitive. Similarly, in the context of section 2 claims, the Supreme Court has taken its holding in </w:t>
      </w:r>
      <w:r w:rsidRPr="000444AC">
        <w:rPr>
          <w:rFonts w:ascii="Times New Roman" w:hAnsi="Times New Roman" w:cs="Times New Roman"/>
          <w:i/>
        </w:rPr>
        <w:t xml:space="preserve">Brooke Group </w:t>
      </w:r>
      <w:r w:rsidRPr="000444AC">
        <w:rPr>
          <w:rFonts w:ascii="Times New Roman" w:hAnsi="Times New Roman" w:cs="Times New Roman"/>
        </w:rPr>
        <w:t>and used it to distort the law applying to other forms of monopoly conduct, including predatory bidding and price squeezes.</w:t>
      </w:r>
    </w:p>
    <w:p w:rsidR="0076699B" w:rsidRPr="000444AC" w:rsidRDefault="0076699B" w:rsidP="0076699B">
      <w:pPr>
        <w:rPr>
          <w:rFonts w:ascii="Times New Roman" w:hAnsi="Times New Roman" w:cs="Times New Roman"/>
        </w:rPr>
      </w:pPr>
    </w:p>
    <w:p w:rsidR="0076699B" w:rsidRPr="000444AC" w:rsidRDefault="0076699B" w:rsidP="0076699B">
      <w:pPr>
        <w:ind w:firstLine="720"/>
        <w:rPr>
          <w:rFonts w:ascii="Times New Roman" w:hAnsi="Times New Roman" w:cs="Times New Roman"/>
        </w:rPr>
      </w:pPr>
      <w:r w:rsidRPr="000444AC">
        <w:rPr>
          <w:rFonts w:ascii="Times New Roman" w:hAnsi="Times New Roman" w:cs="Times New Roman"/>
        </w:rPr>
        <w:t xml:space="preserve">Courts have essentially taken the most atypical antitrust violation – one that initially </w:t>
      </w:r>
      <w:r w:rsidR="00B92A19" w:rsidRPr="000444AC">
        <w:rPr>
          <w:rFonts w:ascii="Times New Roman" w:hAnsi="Times New Roman" w:cs="Times New Roman"/>
        </w:rPr>
        <w:t xml:space="preserve">unconditionally </w:t>
      </w:r>
      <w:r w:rsidRPr="000444AC">
        <w:rPr>
          <w:rFonts w:ascii="Times New Roman" w:hAnsi="Times New Roman" w:cs="Times New Roman"/>
        </w:rPr>
        <w:t>lowers prices</w:t>
      </w:r>
      <w:r w:rsidR="00B92A19" w:rsidRPr="000444AC">
        <w:rPr>
          <w:rFonts w:ascii="Times New Roman" w:hAnsi="Times New Roman" w:cs="Times New Roman"/>
        </w:rPr>
        <w:t xml:space="preserve"> </w:t>
      </w:r>
      <w:r w:rsidRPr="000444AC">
        <w:rPr>
          <w:rFonts w:ascii="Times New Roman" w:hAnsi="Times New Roman" w:cs="Times New Roman"/>
        </w:rPr>
        <w:t>– and have used the reasoning behind these predatory pricing cases to undermine antitrust law more generally. The court has subjected predatory pricing claims to a heightened summary judgment standard and an additional hard-to-prove element for specific reasons: the perceived implausibility of predatory pricing and the pro-consumer short-term effects, which resemble pro-competitive conduct. Yet even when the justifications for imposing additional burdens on plaintiffs do not exist, courts routinely invoke the rules from predatory pricing cases to dispose of cases involving conduct that is in no way analogous to predatory pricing.</w:t>
      </w:r>
    </w:p>
    <w:p w:rsidR="00B241BD" w:rsidRPr="000444AC" w:rsidRDefault="00B241BD" w:rsidP="004001CA">
      <w:pPr>
        <w:rPr>
          <w:rFonts w:ascii="Times New Roman" w:eastAsia="Times New Roman" w:hAnsi="Times New Roman" w:cs="Times New Roman"/>
          <w:b/>
        </w:rPr>
      </w:pPr>
    </w:p>
    <w:p w:rsidR="00103D07" w:rsidRPr="000444AC" w:rsidRDefault="00E0733F" w:rsidP="006E5599">
      <w:pPr>
        <w:ind w:firstLine="720"/>
        <w:rPr>
          <w:rFonts w:ascii="Times New Roman" w:hAnsi="Times New Roman" w:cs="Times New Roman"/>
        </w:rPr>
      </w:pPr>
      <w:r w:rsidRPr="000444AC">
        <w:rPr>
          <w:rFonts w:ascii="Times New Roman" w:eastAsia="Times New Roman" w:hAnsi="Times New Roman" w:cs="Times New Roman"/>
        </w:rPr>
        <w:t xml:space="preserve">Part One </w:t>
      </w:r>
      <w:r w:rsidR="0076699B" w:rsidRPr="000444AC">
        <w:rPr>
          <w:rFonts w:ascii="Times New Roman" w:eastAsia="Times New Roman" w:hAnsi="Times New Roman" w:cs="Times New Roman"/>
        </w:rPr>
        <w:t xml:space="preserve">of this Article </w:t>
      </w:r>
      <w:r w:rsidRPr="000444AC">
        <w:rPr>
          <w:rFonts w:ascii="Times New Roman" w:eastAsia="Times New Roman" w:hAnsi="Times New Roman" w:cs="Times New Roman"/>
        </w:rPr>
        <w:t xml:space="preserve">reviews the Supreme Court’s predatory pricing from its beginning. </w:t>
      </w:r>
      <w:r w:rsidRPr="000444AC">
        <w:rPr>
          <w:rFonts w:ascii="Times New Roman" w:hAnsi="Times New Roman" w:cs="Times New Roman"/>
        </w:rPr>
        <w:t>The Supreme Court first recognized predatory pricing as an antitrust violation in 1911 when it considered a pair of high profile cases, one against the Standard Oil Company and the other against the American Tobacco Company. Both cases involved monopolistic empires that had engaged in a variety of anticompetitive conduct, predatory pricing being but one stratagem in a larger market-controlling scheme.</w:t>
      </w:r>
      <w:r w:rsidR="00B9037B" w:rsidRPr="000444AC">
        <w:rPr>
          <w:rFonts w:ascii="Times New Roman" w:hAnsi="Times New Roman" w:cs="Times New Roman"/>
        </w:rPr>
        <w:t xml:space="preserve"> </w:t>
      </w:r>
      <w:r w:rsidR="00103D07" w:rsidRPr="000444AC">
        <w:rPr>
          <w:rFonts w:ascii="Times New Roman" w:hAnsi="Times New Roman" w:cs="Times New Roman"/>
        </w:rPr>
        <w:t>Both cases condemned predatory pricing as violating antitrust laws.</w:t>
      </w:r>
    </w:p>
    <w:p w:rsidR="00103D07" w:rsidRPr="000444AC" w:rsidRDefault="00103D07" w:rsidP="006E5599">
      <w:pPr>
        <w:ind w:firstLine="720"/>
        <w:rPr>
          <w:rFonts w:ascii="Times New Roman" w:hAnsi="Times New Roman" w:cs="Times New Roman"/>
        </w:rPr>
      </w:pPr>
    </w:p>
    <w:p w:rsidR="008E27A3" w:rsidRPr="000444AC" w:rsidRDefault="00B9037B" w:rsidP="006E5599">
      <w:pPr>
        <w:ind w:firstLine="720"/>
        <w:rPr>
          <w:rFonts w:ascii="Times New Roman" w:eastAsia="Times New Roman" w:hAnsi="Times New Roman" w:cs="Times New Roman"/>
          <w:color w:val="000000"/>
        </w:rPr>
      </w:pPr>
      <w:r w:rsidRPr="000444AC">
        <w:rPr>
          <w:rFonts w:ascii="Times New Roman" w:hAnsi="Times New Roman" w:cs="Times New Roman"/>
        </w:rPr>
        <w:t xml:space="preserve">Beginning in the mid-1980s, </w:t>
      </w:r>
      <w:r w:rsidR="00103D07" w:rsidRPr="000444AC">
        <w:rPr>
          <w:rFonts w:ascii="Times New Roman" w:hAnsi="Times New Roman" w:cs="Times New Roman"/>
        </w:rPr>
        <w:t xml:space="preserve">however, </w:t>
      </w:r>
      <w:r w:rsidRPr="000444AC">
        <w:rPr>
          <w:rFonts w:ascii="Times New Roman" w:hAnsi="Times New Roman" w:cs="Times New Roman"/>
        </w:rPr>
        <w:t xml:space="preserve">under the influence of the Chicago School, the Supreme Court fundamentally rolled back predatory pricing law. In </w:t>
      </w:r>
      <w:r w:rsidR="008E27A3" w:rsidRPr="000444AC">
        <w:rPr>
          <w:rFonts w:ascii="Times New Roman" w:eastAsia="Times New Roman" w:hAnsi="Times New Roman" w:cs="Times New Roman"/>
          <w:i/>
          <w:color w:val="000000"/>
        </w:rPr>
        <w:t>Matsushita</w:t>
      </w:r>
      <w:r w:rsidRPr="000444AC">
        <w:rPr>
          <w:rFonts w:ascii="Times New Roman" w:eastAsia="Times New Roman" w:hAnsi="Times New Roman" w:cs="Times New Roman"/>
          <w:color w:val="000000"/>
        </w:rPr>
        <w:t xml:space="preserve">, for example, </w:t>
      </w:r>
      <w:r w:rsidR="006E5599" w:rsidRPr="000444AC">
        <w:rPr>
          <w:rFonts w:ascii="Times New Roman" w:eastAsia="Times New Roman" w:hAnsi="Times New Roman" w:cs="Times New Roman"/>
          <w:color w:val="000000"/>
        </w:rPr>
        <w:t xml:space="preserve">the Court asserted that predatory pricing does not occur and that predatory-pricing conspiracy claims are implausible and, therefore, must satisfy a higher evidentiary standard in order to survive summary judgment. In Brooke Group, the Court reiterated its belief that predatory pricing does not occur and added that failed attempts at predatory pricing benefit consumers and, therefore, antitrust plaintiffs must prove that the defendant possessed a dangerous probability of recoupment in order to prevail on a predatory pricing claim. </w:t>
      </w:r>
      <w:r w:rsidRPr="000444AC">
        <w:rPr>
          <w:rFonts w:ascii="Times New Roman" w:eastAsia="Times New Roman" w:hAnsi="Times New Roman" w:cs="Times New Roman"/>
          <w:color w:val="000000"/>
        </w:rPr>
        <w:t xml:space="preserve">The two cases came close to </w:t>
      </w:r>
      <w:r w:rsidR="008E27A3" w:rsidRPr="000444AC">
        <w:rPr>
          <w:rFonts w:ascii="Times New Roman" w:eastAsia="Times New Roman" w:hAnsi="Times New Roman" w:cs="Times New Roman"/>
          <w:color w:val="000000"/>
        </w:rPr>
        <w:t>effectively eliminat</w:t>
      </w:r>
      <w:r w:rsidRPr="000444AC">
        <w:rPr>
          <w:rFonts w:ascii="Times New Roman" w:eastAsia="Times New Roman" w:hAnsi="Times New Roman" w:cs="Times New Roman"/>
          <w:color w:val="000000"/>
        </w:rPr>
        <w:t>ing</w:t>
      </w:r>
      <w:r w:rsidR="008E27A3" w:rsidRPr="000444AC">
        <w:rPr>
          <w:rFonts w:ascii="Times New Roman" w:eastAsia="Times New Roman" w:hAnsi="Times New Roman" w:cs="Times New Roman"/>
          <w:color w:val="000000"/>
        </w:rPr>
        <w:t xml:space="preserve"> </w:t>
      </w:r>
      <w:r w:rsidRPr="000444AC">
        <w:rPr>
          <w:rFonts w:ascii="Times New Roman" w:eastAsia="Times New Roman" w:hAnsi="Times New Roman" w:cs="Times New Roman"/>
          <w:color w:val="000000"/>
        </w:rPr>
        <w:t xml:space="preserve">predatory pricing as a </w:t>
      </w:r>
      <w:r w:rsidR="008E27A3" w:rsidRPr="000444AC">
        <w:rPr>
          <w:rFonts w:ascii="Times New Roman" w:eastAsia="Times New Roman" w:hAnsi="Times New Roman" w:cs="Times New Roman"/>
          <w:color w:val="000000"/>
        </w:rPr>
        <w:t>cause of action altogether.</w:t>
      </w:r>
    </w:p>
    <w:p w:rsidR="00414B7E" w:rsidRPr="000444AC" w:rsidRDefault="00414B7E" w:rsidP="004001CA">
      <w:pPr>
        <w:rPr>
          <w:rFonts w:ascii="Times New Roman" w:hAnsi="Times New Roman" w:cs="Times New Roman"/>
        </w:rPr>
      </w:pPr>
    </w:p>
    <w:p w:rsidR="00414B7E" w:rsidRPr="000444AC" w:rsidRDefault="00414B7E" w:rsidP="006E5599">
      <w:pPr>
        <w:ind w:firstLine="720"/>
        <w:rPr>
          <w:rFonts w:ascii="Times New Roman" w:hAnsi="Times New Roman" w:cs="Times New Roman"/>
        </w:rPr>
      </w:pPr>
      <w:r w:rsidRPr="000444AC">
        <w:rPr>
          <w:rFonts w:ascii="Times New Roman" w:hAnsi="Times New Roman" w:cs="Times New Roman"/>
        </w:rPr>
        <w:t>Part Two</w:t>
      </w:r>
      <w:r w:rsidR="00103D07" w:rsidRPr="000444AC">
        <w:rPr>
          <w:rFonts w:ascii="Times New Roman" w:hAnsi="Times New Roman" w:cs="Times New Roman"/>
        </w:rPr>
        <w:t xml:space="preserve"> diagnoses several problems with the Supreme Court’s predatory pricing jurisprudence. First, economic theory explains how predatory pricing can be rational behavior and empirical studies show that the Court’s claims that predatory pricing is implausible and does not occur are incorrect. Second, predatory pricing is anticompetitive – and can injure consumers and efficient rivals – even if the predator never recoups its investment in below-cost pricing. Third, courts, including the Supreme Court, have applied the recoupment requirement in a manner than can make the element impossible to satisfy, even when recoupment takes place.</w:t>
      </w:r>
    </w:p>
    <w:p w:rsidR="00414B7E" w:rsidRPr="000444AC" w:rsidRDefault="00414B7E" w:rsidP="004001CA">
      <w:pPr>
        <w:rPr>
          <w:rFonts w:ascii="Times New Roman" w:hAnsi="Times New Roman" w:cs="Times New Roman"/>
        </w:rPr>
      </w:pPr>
    </w:p>
    <w:p w:rsidR="00414B7E" w:rsidRPr="000444AC" w:rsidRDefault="00414B7E" w:rsidP="006E5599">
      <w:pPr>
        <w:ind w:firstLine="720"/>
        <w:rPr>
          <w:rFonts w:ascii="Times New Roman" w:eastAsia="Times New Roman" w:hAnsi="Times New Roman" w:cs="Times New Roman"/>
        </w:rPr>
      </w:pPr>
      <w:r w:rsidRPr="000444AC">
        <w:rPr>
          <w:rFonts w:ascii="Times New Roman" w:hAnsi="Times New Roman" w:cs="Times New Roman"/>
        </w:rPr>
        <w:lastRenderedPageBreak/>
        <w:t>Part Three</w:t>
      </w:r>
      <w:r w:rsidR="00103D07" w:rsidRPr="000444AC">
        <w:rPr>
          <w:rFonts w:ascii="Times New Roman" w:hAnsi="Times New Roman" w:cs="Times New Roman"/>
        </w:rPr>
        <w:t xml:space="preserve"> explains how the </w:t>
      </w:r>
      <w:r w:rsidR="00713614" w:rsidRPr="000444AC">
        <w:rPr>
          <w:rFonts w:ascii="Times New Roman" w:hAnsi="Times New Roman" w:cs="Times New Roman"/>
        </w:rPr>
        <w:t>mistakes of the Supreme Court’s predatory pricing jurisprudence have infected other areas of antitrust law that bear little or no resemblance to predatory pricing claims.</w:t>
      </w:r>
    </w:p>
    <w:p w:rsidR="00E0733F" w:rsidRPr="000444AC" w:rsidRDefault="00E0733F" w:rsidP="004001CA">
      <w:pPr>
        <w:rPr>
          <w:rFonts w:ascii="Times New Roman" w:eastAsia="Times New Roman" w:hAnsi="Times New Roman" w:cs="Times New Roman"/>
          <w:b/>
        </w:rPr>
      </w:pPr>
    </w:p>
    <w:p w:rsidR="004001CA" w:rsidRPr="000444AC" w:rsidRDefault="004001CA" w:rsidP="004001CA">
      <w:pPr>
        <w:rPr>
          <w:rFonts w:ascii="Times New Roman" w:hAnsi="Times New Roman" w:cs="Times New Roman"/>
        </w:rPr>
      </w:pPr>
      <w:r w:rsidRPr="000444AC">
        <w:rPr>
          <w:rFonts w:ascii="Times New Roman" w:eastAsia="Times New Roman" w:hAnsi="Times New Roman" w:cs="Times New Roman"/>
          <w:b/>
        </w:rPr>
        <w:t xml:space="preserve">I. The Supreme Court’s </w:t>
      </w:r>
      <w:r w:rsidRPr="000444AC">
        <w:rPr>
          <w:rFonts w:ascii="Times New Roman" w:hAnsi="Times New Roman" w:cs="Times New Roman"/>
          <w:b/>
        </w:rPr>
        <w:t>Predatory Pricing Jurisprudence</w:t>
      </w:r>
    </w:p>
    <w:p w:rsidR="004001CA" w:rsidRPr="000444AC" w:rsidRDefault="004001CA" w:rsidP="004001CA">
      <w:pPr>
        <w:rPr>
          <w:rFonts w:ascii="Times New Roman" w:hAnsi="Times New Roman" w:cs="Times New Roman"/>
        </w:rPr>
      </w:pPr>
    </w:p>
    <w:p w:rsidR="00215D73" w:rsidRPr="000444AC" w:rsidRDefault="004001CA" w:rsidP="00215D73">
      <w:pPr>
        <w:ind w:firstLine="720"/>
        <w:rPr>
          <w:rFonts w:ascii="Times New Roman" w:hAnsi="Times New Roman" w:cs="Times New Roman"/>
        </w:rPr>
      </w:pPr>
      <w:r w:rsidRPr="000444AC">
        <w:rPr>
          <w:rFonts w:ascii="Times New Roman" w:hAnsi="Times New Roman" w:cs="Times New Roman"/>
        </w:rPr>
        <w:t>The Supreme Court</w:t>
      </w:r>
      <w:r w:rsidR="00215D73" w:rsidRPr="000444AC">
        <w:rPr>
          <w:rFonts w:ascii="Times New Roman" w:hAnsi="Times New Roman" w:cs="Times New Roman"/>
        </w:rPr>
        <w:t>’s approach to predatory pricing can be divided into two periods. From the early twentieth century until the influence of the Chicago School of law and economics began to permeate the Supreme Court’s antitrust decisions, federal courts took a rather dim view of monopolists using below-cost pricing to drive their competitors from the market. After the writings of the Chicago School theorists took hold in a bare majority of Supreme Court Justices, the substance of predatory pricing law began to change dramatically, becoming much more pro-defendant. This part reviews the Supreme Court’s predatory pricing decisions in each of these two areas.</w:t>
      </w:r>
    </w:p>
    <w:p w:rsidR="00F81C84" w:rsidRPr="000444AC" w:rsidRDefault="00F81C84" w:rsidP="004001CA">
      <w:pPr>
        <w:rPr>
          <w:rFonts w:ascii="Times New Roman" w:hAnsi="Times New Roman" w:cs="Times New Roman"/>
        </w:rPr>
      </w:pPr>
    </w:p>
    <w:p w:rsidR="004001CA" w:rsidRPr="000444AC" w:rsidRDefault="004001CA" w:rsidP="004001CA">
      <w:pPr>
        <w:rPr>
          <w:rFonts w:ascii="Times New Roman" w:hAnsi="Times New Roman" w:cs="Times New Roman"/>
          <w:b/>
        </w:rPr>
      </w:pPr>
      <w:r w:rsidRPr="000444AC">
        <w:rPr>
          <w:rFonts w:ascii="Times New Roman" w:hAnsi="Times New Roman" w:cs="Times New Roman"/>
          <w:b/>
        </w:rPr>
        <w:tab/>
        <w:t xml:space="preserve">A. </w:t>
      </w:r>
      <w:r w:rsidR="001101E6" w:rsidRPr="000444AC">
        <w:rPr>
          <w:rFonts w:ascii="Times New Roman" w:hAnsi="Times New Roman" w:cs="Times New Roman"/>
          <w:b/>
        </w:rPr>
        <w:t>The Pre-Chicago Era</w:t>
      </w:r>
    </w:p>
    <w:p w:rsidR="004001CA" w:rsidRPr="000444AC" w:rsidRDefault="004001CA" w:rsidP="004001CA">
      <w:pPr>
        <w:rPr>
          <w:rFonts w:ascii="Times New Roman" w:eastAsia="Times New Roman" w:hAnsi="Times New Roman" w:cs="Times New Roman"/>
        </w:rPr>
      </w:pPr>
    </w:p>
    <w:p w:rsidR="00027290" w:rsidRPr="000444AC" w:rsidRDefault="004001CA" w:rsidP="00215D73">
      <w:pPr>
        <w:ind w:firstLine="720"/>
        <w:rPr>
          <w:rFonts w:ascii="Times New Roman" w:eastAsia="Times New Roman" w:hAnsi="Times New Roman" w:cs="Times New Roman"/>
        </w:rPr>
      </w:pPr>
      <w:r w:rsidRPr="000444AC">
        <w:rPr>
          <w:rFonts w:ascii="Times New Roman" w:eastAsia="Times New Roman" w:hAnsi="Times New Roman" w:cs="Times New Roman"/>
        </w:rPr>
        <w:t xml:space="preserve">The Supreme Court’s predatory pricing </w:t>
      </w:r>
      <w:r w:rsidR="00B92A19" w:rsidRPr="000444AC">
        <w:rPr>
          <w:rFonts w:ascii="Times New Roman" w:eastAsia="Times New Roman" w:hAnsi="Times New Roman" w:cs="Times New Roman"/>
        </w:rPr>
        <w:t xml:space="preserve">jurisprudence </w:t>
      </w:r>
      <w:r w:rsidRPr="000444AC">
        <w:rPr>
          <w:rFonts w:ascii="Times New Roman" w:eastAsia="Times New Roman" w:hAnsi="Times New Roman" w:cs="Times New Roman"/>
        </w:rPr>
        <w:t>dates back over one century</w:t>
      </w:r>
      <w:r w:rsidR="00F81C84" w:rsidRPr="000444AC">
        <w:rPr>
          <w:rFonts w:ascii="Times New Roman" w:eastAsia="Times New Roman" w:hAnsi="Times New Roman" w:cs="Times New Roman"/>
        </w:rPr>
        <w:t xml:space="preserve"> to </w:t>
      </w:r>
      <w:r w:rsidRPr="000444AC">
        <w:rPr>
          <w:rFonts w:ascii="Times New Roman" w:eastAsia="Times New Roman" w:hAnsi="Times New Roman" w:cs="Times New Roman"/>
        </w:rPr>
        <w:t xml:space="preserve">its 1911 decision in </w:t>
      </w:r>
      <w:r w:rsidRPr="000444AC">
        <w:rPr>
          <w:rFonts w:ascii="Times New Roman" w:eastAsia="Times New Roman" w:hAnsi="Times New Roman" w:cs="Times New Roman"/>
          <w:i/>
        </w:rPr>
        <w:t>United States v. Standard Oil</w:t>
      </w:r>
      <w:r w:rsidRPr="000444AC">
        <w:rPr>
          <w:rFonts w:ascii="Times New Roman" w:eastAsia="Times New Roman" w:hAnsi="Times New Roman" w:cs="Times New Roman"/>
        </w:rPr>
        <w:t xml:space="preserve">, </w:t>
      </w:r>
      <w:r w:rsidR="00F81C84" w:rsidRPr="000444AC">
        <w:rPr>
          <w:rFonts w:ascii="Times New Roman" w:eastAsia="Times New Roman" w:hAnsi="Times New Roman" w:cs="Times New Roman"/>
        </w:rPr>
        <w:t xml:space="preserve">in which </w:t>
      </w:r>
      <w:r w:rsidRPr="000444AC">
        <w:rPr>
          <w:rFonts w:ascii="Times New Roman" w:eastAsia="Times New Roman" w:hAnsi="Times New Roman" w:cs="Times New Roman"/>
        </w:rPr>
        <w:t xml:space="preserve">the Justices upheld the district court’s holding that Standard Oil had violated the Sherman Act through its monopolistic conduct.  </w:t>
      </w:r>
      <w:r w:rsidR="00027290" w:rsidRPr="000444AC">
        <w:rPr>
          <w:rFonts w:ascii="Times New Roman" w:eastAsia="Times New Roman" w:hAnsi="Times New Roman" w:cs="Times New Roman"/>
        </w:rPr>
        <w:t xml:space="preserve">One cornerstone of John D. Rockefeller’s scheme to monopolize the petroleum market involved predatory pricing. </w:t>
      </w:r>
      <w:r w:rsidR="00027290" w:rsidRPr="000444AC">
        <w:rPr>
          <w:rFonts w:ascii="Times New Roman" w:hAnsi="Times New Roman" w:cs="Times New Roman"/>
        </w:rPr>
        <w:t>Standard Oil participated in several disparate regional markets</w:t>
      </w:r>
      <w:r w:rsidR="00215D73" w:rsidRPr="000444AC">
        <w:rPr>
          <w:rFonts w:ascii="Times New Roman" w:hAnsi="Times New Roman" w:cs="Times New Roman"/>
        </w:rPr>
        <w:t xml:space="preserve"> and, p</w:t>
      </w:r>
      <w:r w:rsidR="00027290" w:rsidRPr="000444AC">
        <w:rPr>
          <w:rFonts w:ascii="Times New Roman" w:hAnsi="Times New Roman" w:cs="Times New Roman"/>
        </w:rPr>
        <w:t>redictably, charged different prices depending on whether it faced competitors who could price discipline it. Absent collusion, companies will generally charge a competitive price in competitive markets, and a monopoly price in monopolized markets.</w:t>
      </w:r>
      <w:r w:rsidR="00027290" w:rsidRPr="000444AC">
        <w:rPr>
          <w:rStyle w:val="a4"/>
          <w:rFonts w:ascii="Times New Roman" w:hAnsi="Times New Roman" w:cs="Times New Roman"/>
        </w:rPr>
        <w:footnoteReference w:id="3"/>
      </w:r>
      <w:r w:rsidR="00027290" w:rsidRPr="000444AC">
        <w:rPr>
          <w:rFonts w:ascii="Times New Roman" w:hAnsi="Times New Roman" w:cs="Times New Roman"/>
        </w:rPr>
        <w:t xml:space="preserve"> Standard Oil, however, was not content to behave competitively in competitive markets. In her groundbreaking exposé of Standard Oil, journalist Ida Tarbell described how Standard sold its product at either a monopoly price or a below-cost price, depending on whether it controlled the market or faced competitors, which Standard Oil sought to vanquish in order to convert the market from competitive to monopolized.</w:t>
      </w:r>
      <w:bookmarkStart w:id="0" w:name="_Ref294558197"/>
      <w:r w:rsidR="00027290" w:rsidRPr="000444AC">
        <w:rPr>
          <w:rStyle w:val="a4"/>
          <w:rFonts w:ascii="Times New Roman" w:hAnsi="Times New Roman" w:cs="Times New Roman"/>
        </w:rPr>
        <w:footnoteReference w:id="4"/>
      </w:r>
      <w:bookmarkEnd w:id="0"/>
      <w:r w:rsidR="00027290" w:rsidRPr="000444AC">
        <w:rPr>
          <w:rFonts w:ascii="Times New Roman" w:hAnsi="Times New Roman" w:cs="Times New Roman"/>
        </w:rPr>
        <w:t xml:space="preserve"> Tarbell’s investigative reporting transformed the public’s general apprehension about Standard into a more focused denunciation of the company’s specific misconduct.</w:t>
      </w:r>
      <w:r w:rsidR="00027290" w:rsidRPr="000444AC">
        <w:rPr>
          <w:rStyle w:val="a4"/>
          <w:rFonts w:ascii="Times New Roman" w:hAnsi="Times New Roman" w:cs="Times New Roman"/>
        </w:rPr>
        <w:footnoteReference w:id="5"/>
      </w:r>
      <w:r w:rsidR="00027290" w:rsidRPr="000444AC">
        <w:rPr>
          <w:rFonts w:ascii="Times New Roman" w:hAnsi="Times New Roman" w:cs="Times New Roman"/>
        </w:rPr>
        <w:t xml:space="preserve"> Her work animated the government’s antitrust prosecution of Standard Oil, which led to the dissolution of the company.</w:t>
      </w:r>
      <w:r w:rsidR="00027290" w:rsidRPr="000444AC">
        <w:rPr>
          <w:rStyle w:val="a4"/>
          <w:rFonts w:ascii="Times New Roman" w:hAnsi="Times New Roman" w:cs="Times New Roman"/>
        </w:rPr>
        <w:footnoteReference w:id="6"/>
      </w:r>
    </w:p>
    <w:p w:rsidR="00A81387" w:rsidRPr="000444AC" w:rsidRDefault="00A81387" w:rsidP="004001CA">
      <w:pPr>
        <w:rPr>
          <w:rFonts w:ascii="Times New Roman" w:eastAsia="Times New Roman" w:hAnsi="Times New Roman" w:cs="Times New Roman"/>
        </w:rPr>
      </w:pPr>
    </w:p>
    <w:p w:rsidR="00A81387" w:rsidRPr="000444AC" w:rsidRDefault="00027290" w:rsidP="00215D73">
      <w:pPr>
        <w:ind w:firstLine="720"/>
        <w:rPr>
          <w:rFonts w:ascii="Times New Roman" w:eastAsia="Times New Roman" w:hAnsi="Times New Roman" w:cs="Times New Roman"/>
        </w:rPr>
      </w:pPr>
      <w:r w:rsidRPr="000444AC">
        <w:rPr>
          <w:rFonts w:ascii="Times New Roman" w:hAnsi="Times New Roman" w:cs="Times New Roman"/>
        </w:rPr>
        <w:t xml:space="preserve">The Court in </w:t>
      </w:r>
      <w:r w:rsidRPr="000444AC">
        <w:rPr>
          <w:rFonts w:ascii="Times New Roman" w:hAnsi="Times New Roman" w:cs="Times New Roman"/>
          <w:i/>
        </w:rPr>
        <w:t>Standard Oil</w:t>
      </w:r>
      <w:r w:rsidRPr="000444AC">
        <w:rPr>
          <w:rFonts w:ascii="Times New Roman" w:hAnsi="Times New Roman" w:cs="Times New Roman"/>
        </w:rPr>
        <w:t xml:space="preserve"> condemned several</w:t>
      </w:r>
      <w:r w:rsidR="00B92A19" w:rsidRPr="000444AC">
        <w:rPr>
          <w:rFonts w:ascii="Times New Roman" w:hAnsi="Times New Roman" w:cs="Times New Roman"/>
        </w:rPr>
        <w:t xml:space="preserve"> anticompetitive acts committed</w:t>
      </w:r>
      <w:r w:rsidRPr="000444AC">
        <w:rPr>
          <w:rFonts w:ascii="Times New Roman" w:hAnsi="Times New Roman" w:cs="Times New Roman"/>
        </w:rPr>
        <w:t xml:space="preserve"> by John D. Rockefeller’s behemoth, including his practice of using predatory pricing to drive his rivals from the market. While the Supreme Court ultimately dissolved Standard Oil for violating the Sherman Act by committing a range of anticompetitive acts, one important takeaway of the opinion is that predatory pricing violates antitrust law.</w:t>
      </w:r>
      <w:r w:rsidRPr="000444AC">
        <w:rPr>
          <w:rStyle w:val="a4"/>
          <w:rFonts w:ascii="Times New Roman" w:hAnsi="Times New Roman" w:cs="Times New Roman"/>
        </w:rPr>
        <w:footnoteReference w:id="7"/>
      </w:r>
      <w:r w:rsidRPr="000444AC">
        <w:rPr>
          <w:rFonts w:ascii="Times New Roman" w:hAnsi="Times New Roman" w:cs="Times New Roman"/>
        </w:rPr>
        <w:t xml:space="preserve"> </w:t>
      </w:r>
      <w:r w:rsidRPr="000444AC">
        <w:rPr>
          <w:rStyle w:val="a4"/>
          <w:rFonts w:ascii="Times New Roman" w:hAnsi="Times New Roman" w:cs="Times New Roman"/>
        </w:rPr>
        <w:footnoteReference w:id="8"/>
      </w:r>
      <w:r w:rsidRPr="000444AC">
        <w:rPr>
          <w:rFonts w:ascii="Times New Roman" w:hAnsi="Times New Roman" w:cs="Times New Roman"/>
        </w:rPr>
        <w:t xml:space="preserve"> Although the opinion did not delineate </w:t>
      </w:r>
      <w:r w:rsidRPr="000444AC">
        <w:rPr>
          <w:rFonts w:ascii="Times New Roman" w:hAnsi="Times New Roman" w:cs="Times New Roman"/>
        </w:rPr>
        <w:lastRenderedPageBreak/>
        <w:t xml:space="preserve">the contours of predatory pricing, subsequent courts cited </w:t>
      </w:r>
      <w:r w:rsidRPr="000444AC">
        <w:rPr>
          <w:rFonts w:ascii="Times New Roman" w:hAnsi="Times New Roman" w:cs="Times New Roman"/>
          <w:i/>
        </w:rPr>
        <w:t>Standard Oil</w:t>
      </w:r>
      <w:r w:rsidRPr="000444AC">
        <w:rPr>
          <w:rFonts w:ascii="Times New Roman" w:hAnsi="Times New Roman" w:cs="Times New Roman"/>
        </w:rPr>
        <w:t xml:space="preserve"> for the proposition that predatory pricing could violate Section 2 of the Sherman Act.</w:t>
      </w:r>
    </w:p>
    <w:p w:rsidR="00581C26" w:rsidRPr="000444AC" w:rsidRDefault="00581C26" w:rsidP="004001CA">
      <w:pPr>
        <w:rPr>
          <w:rFonts w:ascii="Times New Roman" w:eastAsia="Times New Roman" w:hAnsi="Times New Roman" w:cs="Times New Roman"/>
        </w:rPr>
      </w:pPr>
    </w:p>
    <w:p w:rsidR="004001CA" w:rsidRPr="000444AC" w:rsidRDefault="004001CA" w:rsidP="004001CA">
      <w:pPr>
        <w:rPr>
          <w:rFonts w:ascii="Times New Roman" w:eastAsia="Times New Roman" w:hAnsi="Times New Roman" w:cs="Times New Roman"/>
        </w:rPr>
      </w:pPr>
      <w:r w:rsidRPr="000444AC">
        <w:rPr>
          <w:rFonts w:ascii="Times New Roman" w:eastAsia="Times New Roman" w:hAnsi="Times New Roman" w:cs="Times New Roman"/>
        </w:rPr>
        <w:tab/>
      </w:r>
      <w:r w:rsidR="00581C26" w:rsidRPr="000444AC">
        <w:rPr>
          <w:rFonts w:ascii="Times New Roman" w:eastAsia="Times New Roman" w:hAnsi="Times New Roman" w:cs="Times New Roman"/>
        </w:rPr>
        <w:t>That same year, 1911, t</w:t>
      </w:r>
      <w:r w:rsidRPr="000444AC">
        <w:rPr>
          <w:rFonts w:ascii="Times New Roman" w:eastAsia="Times New Roman" w:hAnsi="Times New Roman" w:cs="Times New Roman"/>
        </w:rPr>
        <w:t xml:space="preserve">he Supreme Court revisited the issue of predatory pricing in </w:t>
      </w:r>
      <w:r w:rsidR="00142040" w:rsidRPr="000444AC">
        <w:rPr>
          <w:rFonts w:ascii="Times New Roman" w:eastAsia="Times New Roman" w:hAnsi="Times New Roman" w:cs="Times New Roman"/>
          <w:i/>
          <w:color w:val="000000"/>
        </w:rPr>
        <w:t>United States v. American Tobacco Co</w:t>
      </w:r>
      <w:r w:rsidR="00142040" w:rsidRPr="000444AC">
        <w:rPr>
          <w:rFonts w:ascii="Times New Roman" w:eastAsia="Times New Roman" w:hAnsi="Times New Roman" w:cs="Times New Roman"/>
          <w:color w:val="000000"/>
        </w:rPr>
        <w:t>.,</w:t>
      </w:r>
      <w:r w:rsidR="00142040" w:rsidRPr="000444AC">
        <w:rPr>
          <w:rStyle w:val="a4"/>
          <w:rFonts w:ascii="Times New Roman" w:eastAsia="Times New Roman" w:hAnsi="Times New Roman" w:cs="Times New Roman"/>
          <w:color w:val="000000"/>
        </w:rPr>
        <w:footnoteReference w:id="9"/>
      </w:r>
      <w:r w:rsidR="00142040" w:rsidRPr="000444AC">
        <w:rPr>
          <w:rFonts w:ascii="Times New Roman" w:eastAsia="Times New Roman" w:hAnsi="Times New Roman" w:cs="Times New Roman"/>
          <w:color w:val="000000"/>
        </w:rPr>
        <w:t xml:space="preserve"> which explored the history of the tobacco industry. Beginning  in the late nineteenth century, the American Tobacco Company – under the leadership of James Duke – had famously </w:t>
      </w:r>
      <w:r w:rsidR="00142040" w:rsidRPr="000444AC">
        <w:rPr>
          <w:rFonts w:ascii="Times New Roman" w:hAnsi="Times New Roman" w:cs="Times New Roman"/>
        </w:rPr>
        <w:t>“used its monopoly profits from cigarette sales to fund predatory pricing in the remaining American tobacco markets: plug or chewing tobacco, snuff, cigars, and fine-cut loose smoking tobacco.”</w:t>
      </w:r>
      <w:r w:rsidR="00142040" w:rsidRPr="000444AC">
        <w:rPr>
          <w:rStyle w:val="a4"/>
          <w:rFonts w:ascii="Times New Roman" w:hAnsi="Times New Roman" w:cs="Times New Roman"/>
        </w:rPr>
        <w:footnoteReference w:id="10"/>
      </w:r>
      <w:r w:rsidR="00142040" w:rsidRPr="000444AC">
        <w:rPr>
          <w:rFonts w:ascii="Times New Roman" w:hAnsi="Times New Roman" w:cs="Times New Roman"/>
        </w:rPr>
        <w:t xml:space="preserve"> The company intentionally suffered six-figure deficits annually in order to inflict similar losses on its rivals.</w:t>
      </w:r>
      <w:r w:rsidR="00142040" w:rsidRPr="000444AC">
        <w:rPr>
          <w:rStyle w:val="a4"/>
          <w:rFonts w:ascii="Times New Roman" w:hAnsi="Times New Roman" w:cs="Times New Roman"/>
        </w:rPr>
        <w:footnoteReference w:id="11"/>
      </w:r>
      <w:r w:rsidR="00142040" w:rsidRPr="000444AC">
        <w:rPr>
          <w:rFonts w:ascii="Times New Roman" w:hAnsi="Times New Roman" w:cs="Times New Roman"/>
        </w:rPr>
        <w:t xml:space="preserve"> The Court discussed </w:t>
      </w:r>
      <w:r w:rsidR="00CE277C" w:rsidRPr="000444AC">
        <w:rPr>
          <w:rFonts w:ascii="Times New Roman" w:hAnsi="Times New Roman" w:cs="Times New Roman"/>
        </w:rPr>
        <w:t xml:space="preserve">how American Tobacco had fought </w:t>
      </w:r>
      <w:r w:rsidR="00142040" w:rsidRPr="000444AC">
        <w:rPr>
          <w:rFonts w:ascii="Times New Roman" w:hAnsi="Times New Roman" w:cs="Times New Roman"/>
        </w:rPr>
        <w:t>the so-called plu</w:t>
      </w:r>
      <w:r w:rsidR="00CE277C" w:rsidRPr="000444AC">
        <w:rPr>
          <w:rFonts w:ascii="Times New Roman" w:hAnsi="Times New Roman" w:cs="Times New Roman"/>
        </w:rPr>
        <w:t>g war and snuff war with the alternative goals of “</w:t>
      </w:r>
      <w:r w:rsidR="00CE277C" w:rsidRPr="000444AC">
        <w:rPr>
          <w:rFonts w:ascii="Times New Roman" w:eastAsia="Times New Roman" w:hAnsi="Times New Roman" w:cs="Times New Roman"/>
          <w:color w:val="000000"/>
          <w:shd w:val="clear" w:color="auto" w:fill="FFFFFF"/>
        </w:rPr>
        <w:t>driving competitors out of the business or compelling them to become parties to a combination”</w:t>
      </w:r>
      <w:r w:rsidR="00CE277C" w:rsidRPr="000444AC">
        <w:rPr>
          <w:rStyle w:val="a4"/>
          <w:rFonts w:ascii="Times New Roman" w:eastAsia="Times New Roman" w:hAnsi="Times New Roman" w:cs="Times New Roman"/>
          <w:color w:val="000000"/>
          <w:shd w:val="clear" w:color="auto" w:fill="FFFFFF"/>
        </w:rPr>
        <w:footnoteReference w:id="12"/>
      </w:r>
      <w:r w:rsidR="00CE277C" w:rsidRPr="000444AC">
        <w:rPr>
          <w:rFonts w:ascii="Times New Roman" w:eastAsia="Times New Roman" w:hAnsi="Times New Roman" w:cs="Times New Roman"/>
          <w:color w:val="000000"/>
          <w:shd w:val="clear" w:color="auto" w:fill="FFFFFF"/>
        </w:rPr>
        <w:t xml:space="preserve"> and how American “</w:t>
      </w:r>
      <w:r w:rsidRPr="000444AC">
        <w:rPr>
          <w:rFonts w:ascii="Times New Roman" w:eastAsia="Times New Roman" w:hAnsi="Times New Roman" w:cs="Times New Roman"/>
          <w:color w:val="000000"/>
          <w:shd w:val="clear" w:color="auto" w:fill="FFFFFF"/>
        </w:rPr>
        <w:t>by lowering the price of plug below its cost</w:t>
      </w:r>
      <w:r w:rsidR="00CE277C" w:rsidRPr="000444AC">
        <w:rPr>
          <w:rFonts w:ascii="Times New Roman" w:eastAsia="Times New Roman" w:hAnsi="Times New Roman" w:cs="Times New Roman"/>
          <w:color w:val="000000"/>
          <w:shd w:val="clear" w:color="auto" w:fill="FFFFFF"/>
        </w:rPr>
        <w:t>” had sustained over $4 million is losses, but had nonetheless secured “</w:t>
      </w:r>
      <w:r w:rsidRPr="000444AC">
        <w:rPr>
          <w:rFonts w:ascii="Times New Roman" w:eastAsia="Times New Roman" w:hAnsi="Times New Roman" w:cs="Times New Roman"/>
          <w:color w:val="000000"/>
          <w:shd w:val="clear" w:color="auto" w:fill="FFFFFF"/>
        </w:rPr>
        <w:t>control of important plug tobacco concerns</w:t>
      </w:r>
      <w:r w:rsidR="00CE277C" w:rsidRPr="000444AC">
        <w:rPr>
          <w:rFonts w:ascii="Times New Roman" w:eastAsia="Times New Roman" w:hAnsi="Times New Roman" w:cs="Times New Roman"/>
          <w:color w:val="000000"/>
          <w:shd w:val="clear" w:color="auto" w:fill="FFFFFF"/>
        </w:rPr>
        <w:t>” as a result and came to dominate the industry.</w:t>
      </w:r>
      <w:r w:rsidR="00CE277C" w:rsidRPr="000444AC">
        <w:rPr>
          <w:rStyle w:val="a4"/>
          <w:rFonts w:ascii="Times New Roman" w:eastAsia="Times New Roman" w:hAnsi="Times New Roman" w:cs="Times New Roman"/>
          <w:color w:val="000000"/>
          <w:shd w:val="clear" w:color="auto" w:fill="FFFFFF"/>
        </w:rPr>
        <w:footnoteReference w:id="13"/>
      </w:r>
      <w:r w:rsidR="00CE277C" w:rsidRPr="000444AC">
        <w:rPr>
          <w:rFonts w:ascii="Times New Roman" w:eastAsia="Times New Roman" w:hAnsi="Times New Roman" w:cs="Times New Roman"/>
          <w:color w:val="000000"/>
        </w:rPr>
        <w:t xml:space="preserve"> The conduct, the Court concluded, violated the Sherman Act.</w:t>
      </w:r>
    </w:p>
    <w:p w:rsidR="004001CA" w:rsidRPr="000444AC" w:rsidRDefault="004001CA" w:rsidP="004001CA">
      <w:pPr>
        <w:rPr>
          <w:rFonts w:ascii="Times New Roman" w:eastAsia="Times New Roman" w:hAnsi="Times New Roman" w:cs="Times New Roman"/>
        </w:rPr>
      </w:pPr>
    </w:p>
    <w:p w:rsidR="00CE277C" w:rsidRPr="000444AC" w:rsidRDefault="00CE277C" w:rsidP="004001CA">
      <w:pPr>
        <w:rPr>
          <w:rFonts w:ascii="Times New Roman" w:eastAsia="Times New Roman" w:hAnsi="Times New Roman" w:cs="Times New Roman"/>
        </w:rPr>
      </w:pPr>
      <w:r w:rsidRPr="000444AC">
        <w:rPr>
          <w:rFonts w:ascii="Times New Roman" w:eastAsia="Times New Roman" w:hAnsi="Times New Roman" w:cs="Times New Roman"/>
        </w:rPr>
        <w:tab/>
        <w:t xml:space="preserve">Although the </w:t>
      </w:r>
      <w:r w:rsidRPr="000444AC">
        <w:rPr>
          <w:rFonts w:ascii="Times New Roman" w:eastAsia="Times New Roman" w:hAnsi="Times New Roman" w:cs="Times New Roman"/>
          <w:i/>
        </w:rPr>
        <w:t>Standard Oil</w:t>
      </w:r>
      <w:r w:rsidRPr="000444AC">
        <w:rPr>
          <w:rFonts w:ascii="Times New Roman" w:eastAsia="Times New Roman" w:hAnsi="Times New Roman" w:cs="Times New Roman"/>
        </w:rPr>
        <w:t xml:space="preserve"> opinion received more attention, the combination of </w:t>
      </w:r>
    </w:p>
    <w:p w:rsidR="004001CA" w:rsidRPr="000444AC" w:rsidRDefault="0038577F" w:rsidP="00FA0A73">
      <w:pPr>
        <w:rPr>
          <w:rFonts w:ascii="Times New Roman" w:eastAsia="Times New Roman" w:hAnsi="Times New Roman" w:cs="Times New Roman"/>
        </w:rPr>
      </w:pPr>
      <w:r w:rsidRPr="000444AC">
        <w:rPr>
          <w:rFonts w:ascii="Times New Roman" w:hAnsi="Times New Roman" w:cs="Times New Roman"/>
          <w:i/>
        </w:rPr>
        <w:t>American Tobacco</w:t>
      </w:r>
      <w:r w:rsidR="00CE277C" w:rsidRPr="000444AC">
        <w:rPr>
          <w:rFonts w:ascii="Times New Roman" w:hAnsi="Times New Roman" w:cs="Times New Roman"/>
        </w:rPr>
        <w:t xml:space="preserve"> and</w:t>
      </w:r>
      <w:r w:rsidRPr="000444AC">
        <w:rPr>
          <w:rFonts w:ascii="Times New Roman" w:hAnsi="Times New Roman" w:cs="Times New Roman"/>
        </w:rPr>
        <w:t xml:space="preserve"> </w:t>
      </w:r>
      <w:r w:rsidRPr="000444AC">
        <w:rPr>
          <w:rFonts w:ascii="Times New Roman" w:hAnsi="Times New Roman" w:cs="Times New Roman"/>
          <w:i/>
        </w:rPr>
        <w:t>Standard Oil</w:t>
      </w:r>
      <w:r w:rsidR="00CE277C" w:rsidRPr="000444AC">
        <w:rPr>
          <w:rFonts w:ascii="Times New Roman" w:hAnsi="Times New Roman" w:cs="Times New Roman"/>
        </w:rPr>
        <w:t xml:space="preserve"> clearly brought</w:t>
      </w:r>
      <w:r w:rsidRPr="000444AC">
        <w:rPr>
          <w:rFonts w:ascii="Times New Roman" w:hAnsi="Times New Roman" w:cs="Times New Roman"/>
        </w:rPr>
        <w:t xml:space="preserve"> predatory pricing</w:t>
      </w:r>
      <w:r w:rsidR="00CE277C" w:rsidRPr="000444AC">
        <w:rPr>
          <w:rFonts w:ascii="Times New Roman" w:hAnsi="Times New Roman" w:cs="Times New Roman"/>
        </w:rPr>
        <w:t xml:space="preserve"> within the reach of the Sherman Act</w:t>
      </w:r>
      <w:r w:rsidRPr="000444AC">
        <w:rPr>
          <w:rFonts w:ascii="Times New Roman" w:hAnsi="Times New Roman" w:cs="Times New Roman"/>
        </w:rPr>
        <w:t>.</w:t>
      </w:r>
      <w:r w:rsidRPr="000444AC">
        <w:rPr>
          <w:rStyle w:val="a4"/>
          <w:rFonts w:ascii="Times New Roman" w:hAnsi="Times New Roman" w:cs="Times New Roman"/>
        </w:rPr>
        <w:footnoteReference w:id="14"/>
      </w:r>
      <w:r w:rsidR="00FA0A73" w:rsidRPr="000444AC">
        <w:rPr>
          <w:rFonts w:ascii="Times New Roman" w:eastAsia="Times New Roman" w:hAnsi="Times New Roman" w:cs="Times New Roman"/>
        </w:rPr>
        <w:t xml:space="preserve"> </w:t>
      </w:r>
      <w:r w:rsidR="00027290" w:rsidRPr="000444AC">
        <w:rPr>
          <w:rFonts w:ascii="Times New Roman" w:hAnsi="Times New Roman" w:cs="Times New Roman"/>
        </w:rPr>
        <w:t xml:space="preserve">In the wake of </w:t>
      </w:r>
      <w:r w:rsidR="00027290" w:rsidRPr="000444AC">
        <w:rPr>
          <w:rFonts w:ascii="Times New Roman" w:hAnsi="Times New Roman" w:cs="Times New Roman"/>
          <w:i/>
        </w:rPr>
        <w:t xml:space="preserve">Standard Oil </w:t>
      </w:r>
      <w:r w:rsidR="00027290" w:rsidRPr="000444AC">
        <w:rPr>
          <w:rFonts w:ascii="Times New Roman" w:hAnsi="Times New Roman" w:cs="Times New Roman"/>
        </w:rPr>
        <w:t>and</w:t>
      </w:r>
      <w:r w:rsidR="00027290" w:rsidRPr="000444AC">
        <w:rPr>
          <w:rFonts w:ascii="Times New Roman" w:hAnsi="Times New Roman" w:cs="Times New Roman"/>
          <w:i/>
        </w:rPr>
        <w:t xml:space="preserve"> American Tobacco</w:t>
      </w:r>
      <w:r w:rsidR="00027290" w:rsidRPr="000444AC">
        <w:rPr>
          <w:rFonts w:ascii="Times New Roman" w:hAnsi="Times New Roman" w:cs="Times New Roman"/>
        </w:rPr>
        <w:t xml:space="preserve">, Congress endorsed the Court’s condemnation of predatory pricing by enacting Section 2 of the Clayton Act and, later, </w:t>
      </w:r>
      <w:r w:rsidR="00027290" w:rsidRPr="000444AC">
        <w:rPr>
          <w:rFonts w:ascii="Times New Roman" w:hAnsi="Times New Roman" w:cs="Times New Roman"/>
        </w:rPr>
        <w:lastRenderedPageBreak/>
        <w:t>Section 3 of the Robinson-Patman Act, both of which were designed to codify Standard Oil’s prohibition of below-cost pricing.</w:t>
      </w:r>
      <w:r w:rsidR="00027290" w:rsidRPr="000444AC">
        <w:rPr>
          <w:rStyle w:val="a4"/>
          <w:rFonts w:ascii="Times New Roman" w:hAnsi="Times New Roman" w:cs="Times New Roman"/>
        </w:rPr>
        <w:footnoteReference w:id="15"/>
      </w:r>
    </w:p>
    <w:p w:rsidR="00027290" w:rsidRPr="000444AC" w:rsidRDefault="00027290" w:rsidP="004001CA">
      <w:pPr>
        <w:ind w:firstLine="720"/>
        <w:rPr>
          <w:rFonts w:ascii="Times New Roman" w:hAnsi="Times New Roman" w:cs="Times New Roman"/>
        </w:rPr>
      </w:pPr>
    </w:p>
    <w:p w:rsidR="00E0733F" w:rsidRPr="000444AC" w:rsidRDefault="00E0733F" w:rsidP="00FA0A73">
      <w:pPr>
        <w:ind w:firstLine="720"/>
        <w:rPr>
          <w:rFonts w:ascii="Times New Roman" w:hAnsi="Times New Roman" w:cs="Times New Roman"/>
        </w:rPr>
      </w:pPr>
      <w:r w:rsidRPr="000444AC">
        <w:rPr>
          <w:rFonts w:ascii="Times New Roman" w:hAnsi="Times New Roman" w:cs="Times New Roman"/>
        </w:rPr>
        <w:t>In the decades that followed 1911, courts considering predatory pricing claims merely asked whether the defendant had engaged in below-cost pricing, not whether the monopolist’s scheme had proven profitable or was likely to.</w:t>
      </w:r>
      <w:bookmarkStart w:id="12" w:name="_Ref335328246"/>
      <w:r w:rsidRPr="000444AC">
        <w:rPr>
          <w:rStyle w:val="a4"/>
          <w:rFonts w:ascii="Times New Roman" w:hAnsi="Times New Roman" w:cs="Times New Roman"/>
        </w:rPr>
        <w:footnoteReference w:id="16"/>
      </w:r>
      <w:bookmarkEnd w:id="12"/>
      <w:r w:rsidRPr="000444AC">
        <w:rPr>
          <w:rFonts w:ascii="Times New Roman" w:hAnsi="Times New Roman" w:cs="Times New Roman"/>
        </w:rPr>
        <w:t xml:space="preserve"> During this time period, predatory-pricing plaintiffs were generally successful.</w:t>
      </w:r>
      <w:bookmarkStart w:id="13" w:name="_Ref335328422"/>
      <w:r w:rsidRPr="000444AC">
        <w:rPr>
          <w:rStyle w:val="a4"/>
          <w:rFonts w:ascii="Times New Roman" w:hAnsi="Times New Roman" w:cs="Times New Roman"/>
        </w:rPr>
        <w:footnoteReference w:id="17"/>
      </w:r>
      <w:bookmarkEnd w:id="13"/>
      <w:r w:rsidRPr="000444AC">
        <w:rPr>
          <w:rFonts w:ascii="Times New Roman" w:hAnsi="Times New Roman" w:cs="Times New Roman"/>
        </w:rPr>
        <w:t xml:space="preserve"> </w:t>
      </w:r>
    </w:p>
    <w:p w:rsidR="004001CA" w:rsidRPr="000444AC" w:rsidRDefault="004001CA" w:rsidP="00162098">
      <w:pPr>
        <w:rPr>
          <w:rFonts w:ascii="Times New Roman" w:hAnsi="Times New Roman" w:cs="Times New Roman"/>
        </w:rPr>
      </w:pPr>
    </w:p>
    <w:p w:rsidR="00E0733F" w:rsidRPr="000444AC" w:rsidRDefault="00E0733F" w:rsidP="00162098">
      <w:pPr>
        <w:ind w:firstLine="720"/>
        <w:rPr>
          <w:rFonts w:ascii="Times New Roman" w:eastAsia="Times New Roman" w:hAnsi="Times New Roman" w:cs="Times New Roman"/>
          <w:color w:val="000000"/>
        </w:rPr>
      </w:pPr>
      <w:r w:rsidRPr="000444AC">
        <w:rPr>
          <w:rFonts w:ascii="Times New Roman" w:hAnsi="Times New Roman" w:cs="Times New Roman"/>
        </w:rPr>
        <w:t xml:space="preserve">Antitrust law governing predatory pricing ultimately became too pro-plaintiff as demonstrated by the Supreme Court’s opinion in </w:t>
      </w:r>
      <w:r w:rsidR="009211DB" w:rsidRPr="000444AC">
        <w:rPr>
          <w:rFonts w:ascii="Times New Roman" w:eastAsia="Times New Roman" w:hAnsi="Times New Roman" w:cs="Times New Roman"/>
          <w:i/>
          <w:color w:val="000000"/>
          <w:bdr w:val="none" w:sz="0" w:space="0" w:color="auto" w:frame="1"/>
        </w:rPr>
        <w:t>Utah Pie Co. v. Cont'l Baking Co.</w:t>
      </w:r>
      <w:r w:rsidR="00162098" w:rsidRPr="000444AC">
        <w:rPr>
          <w:rFonts w:ascii="Times New Roman" w:eastAsia="Times New Roman" w:hAnsi="Times New Roman" w:cs="Times New Roman"/>
          <w:color w:val="000000"/>
        </w:rPr>
        <w:t>,</w:t>
      </w:r>
      <w:r w:rsidR="00162098" w:rsidRPr="000444AC">
        <w:rPr>
          <w:rStyle w:val="a4"/>
          <w:rFonts w:ascii="Times New Roman" w:eastAsia="Times New Roman" w:hAnsi="Times New Roman" w:cs="Times New Roman"/>
          <w:color w:val="000000"/>
        </w:rPr>
        <w:footnoteReference w:id="18"/>
      </w:r>
      <w:r w:rsidR="00162098" w:rsidRPr="000444AC">
        <w:rPr>
          <w:rFonts w:ascii="Times New Roman" w:eastAsia="Times New Roman" w:hAnsi="Times New Roman" w:cs="Times New Roman"/>
          <w:color w:val="000000"/>
        </w:rPr>
        <w:t xml:space="preserve"> in which the Supreme Court reinstated in a judgment for a predatory pricing plaintiff despite the fact that the plaintiff dominated the market. </w:t>
      </w:r>
      <w:r w:rsidRPr="000444AC">
        <w:rPr>
          <w:rFonts w:ascii="Times New Roman" w:hAnsi="Times New Roman" w:cs="Times New Roman"/>
        </w:rPr>
        <w:t xml:space="preserve">After the </w:t>
      </w:r>
      <w:r w:rsidRPr="000444AC">
        <w:rPr>
          <w:rFonts w:ascii="Times New Roman" w:hAnsi="Times New Roman" w:cs="Times New Roman"/>
          <w:i/>
        </w:rPr>
        <w:t>Utah Pie</w:t>
      </w:r>
      <w:r w:rsidRPr="000444AC">
        <w:rPr>
          <w:rFonts w:ascii="Times New Roman" w:hAnsi="Times New Roman" w:cs="Times New Roman"/>
        </w:rPr>
        <w:t xml:space="preserve"> decision, which was widely panned, commentators sought to rein in predatory pricing jurisprudence by providing more rigor as to what – exactly – constituted below-cost pricing. In 1975, Professors Phillip Areeda and Donald Turner argued that marginal cost was the appropriate measure of cost for predatory pricing purposes, but that marginal cost was too difficult to measure, so average variable cost – which should be close to marginal cost over the relevant range of production – should be used as a proxy for marginal cost.</w:t>
      </w:r>
      <w:bookmarkStart w:id="14" w:name="_Ref335328297"/>
      <w:r w:rsidRPr="000444AC">
        <w:rPr>
          <w:rStyle w:val="a4"/>
          <w:rFonts w:ascii="Times New Roman" w:hAnsi="Times New Roman" w:cs="Times New Roman"/>
        </w:rPr>
        <w:footnoteReference w:id="19"/>
      </w:r>
      <w:bookmarkEnd w:id="14"/>
      <w:r w:rsidRPr="000444AC">
        <w:rPr>
          <w:rFonts w:ascii="Times New Roman" w:hAnsi="Times New Roman" w:cs="Times New Roman"/>
        </w:rPr>
        <w:t xml:space="preserve"> Professors Areeda and Turner further argued that any price above average variable cost should be presumed to be lawful. The Areeda-Turner test became highly influential, even when not adopted outright by courts.</w:t>
      </w:r>
      <w:r w:rsidRPr="000444AC">
        <w:rPr>
          <w:rStyle w:val="a4"/>
          <w:rFonts w:ascii="Times New Roman" w:hAnsi="Times New Roman" w:cs="Times New Roman"/>
        </w:rPr>
        <w:footnoteReference w:id="20"/>
      </w:r>
      <w:r w:rsidRPr="000444AC">
        <w:rPr>
          <w:rFonts w:ascii="Times New Roman" w:hAnsi="Times New Roman" w:cs="Times New Roman"/>
        </w:rPr>
        <w:t xml:space="preserve"> Under this new, more rigorous approach, predatory pricing claims became harder to prove.</w:t>
      </w:r>
      <w:r w:rsidRPr="000444AC">
        <w:rPr>
          <w:rStyle w:val="a4"/>
          <w:rFonts w:ascii="Times New Roman" w:hAnsi="Times New Roman" w:cs="Times New Roman"/>
        </w:rPr>
        <w:footnoteReference w:id="21"/>
      </w:r>
    </w:p>
    <w:p w:rsidR="00222872" w:rsidRPr="000444AC" w:rsidRDefault="00222872" w:rsidP="004001CA">
      <w:pPr>
        <w:rPr>
          <w:rFonts w:ascii="Times New Roman" w:eastAsia="Times New Roman" w:hAnsi="Times New Roman" w:cs="Times New Roman"/>
        </w:rPr>
      </w:pPr>
    </w:p>
    <w:p w:rsidR="00B330E0" w:rsidRPr="000444AC" w:rsidRDefault="00A776F9" w:rsidP="00162098">
      <w:pPr>
        <w:ind w:firstLine="720"/>
        <w:rPr>
          <w:rFonts w:ascii="Times New Roman" w:hAnsi="Times New Roman" w:cs="Times New Roman"/>
          <w:b/>
        </w:rPr>
      </w:pPr>
      <w:r w:rsidRPr="000444AC">
        <w:rPr>
          <w:rFonts w:ascii="Times New Roman" w:hAnsi="Times New Roman" w:cs="Times New Roman"/>
          <w:b/>
        </w:rPr>
        <w:t>B. Under the Influence of Chicago</w:t>
      </w:r>
    </w:p>
    <w:p w:rsidR="00027290" w:rsidRPr="000444AC" w:rsidRDefault="00027290" w:rsidP="00154EF9">
      <w:pPr>
        <w:ind w:firstLine="720"/>
        <w:rPr>
          <w:rFonts w:ascii="Times New Roman" w:hAnsi="Times New Roman" w:cs="Times New Roman"/>
          <w:b/>
        </w:rPr>
      </w:pPr>
    </w:p>
    <w:p w:rsidR="00154EF9" w:rsidRPr="000444AC" w:rsidRDefault="00154EF9" w:rsidP="00154EF9">
      <w:pPr>
        <w:rPr>
          <w:rFonts w:ascii="Times New Roman" w:hAnsi="Times New Roman" w:cs="Times New Roman"/>
          <w:b/>
        </w:rPr>
      </w:pPr>
      <w:r w:rsidRPr="000444AC">
        <w:rPr>
          <w:rFonts w:ascii="Times New Roman" w:hAnsi="Times New Roman" w:cs="Times New Roman"/>
          <w:b/>
        </w:rPr>
        <w:tab/>
      </w:r>
      <w:r w:rsidR="00162098" w:rsidRPr="000444AC">
        <w:rPr>
          <w:rFonts w:ascii="Times New Roman" w:hAnsi="Times New Roman" w:cs="Times New Roman"/>
          <w:b/>
        </w:rPr>
        <w:tab/>
        <w:t>1</w:t>
      </w:r>
      <w:r w:rsidRPr="000444AC">
        <w:rPr>
          <w:rFonts w:ascii="Times New Roman" w:hAnsi="Times New Roman" w:cs="Times New Roman"/>
          <w:b/>
        </w:rPr>
        <w:t>. Matsushita</w:t>
      </w:r>
    </w:p>
    <w:p w:rsidR="00CA7AB0" w:rsidRPr="000444AC" w:rsidRDefault="00CA7AB0" w:rsidP="00154EF9">
      <w:pPr>
        <w:rPr>
          <w:rFonts w:ascii="Times New Roman" w:hAnsi="Times New Roman" w:cs="Times New Roman"/>
          <w:b/>
        </w:rPr>
      </w:pPr>
    </w:p>
    <w:p w:rsidR="00C84317" w:rsidRPr="000444AC" w:rsidRDefault="00162098" w:rsidP="00162098">
      <w:pPr>
        <w:shd w:val="clear" w:color="auto" w:fill="FFFFFF"/>
        <w:ind w:firstLine="720"/>
        <w:rPr>
          <w:rFonts w:ascii="Times New Roman" w:eastAsia="Times New Roman" w:hAnsi="Times New Roman" w:cs="Times New Roman"/>
          <w:color w:val="000000"/>
        </w:rPr>
      </w:pPr>
      <w:r w:rsidRPr="000444AC">
        <w:rPr>
          <w:rFonts w:ascii="Times New Roman" w:hAnsi="Times New Roman" w:cs="Times New Roman"/>
        </w:rPr>
        <w:t xml:space="preserve">In 1986, the Supreme Court again heard a pair of cases that dealt with predatory pricing issues. In the first case, </w:t>
      </w:r>
      <w:r w:rsidRPr="000444AC">
        <w:rPr>
          <w:rFonts w:ascii="Times New Roman" w:hAnsi="Times New Roman" w:cs="Times New Roman"/>
          <w:i/>
        </w:rPr>
        <w:t>Matsushita Electric Industrial Co. v. Zenith Radio</w:t>
      </w:r>
      <w:r w:rsidRPr="000444AC">
        <w:rPr>
          <w:rFonts w:ascii="Times New Roman" w:hAnsi="Times New Roman" w:cs="Times New Roman"/>
        </w:rPr>
        <w:t>,</w:t>
      </w:r>
      <w:r w:rsidRPr="000444AC">
        <w:rPr>
          <w:rStyle w:val="a4"/>
          <w:rFonts w:ascii="Times New Roman" w:hAnsi="Times New Roman" w:cs="Times New Roman"/>
        </w:rPr>
        <w:footnoteReference w:id="22"/>
      </w:r>
      <w:r w:rsidRPr="000444AC">
        <w:rPr>
          <w:rFonts w:ascii="Times New Roman" w:hAnsi="Times New Roman" w:cs="Times New Roman"/>
        </w:rPr>
        <w:t xml:space="preserve"> </w:t>
      </w:r>
      <w:r w:rsidR="00C84317" w:rsidRPr="000444AC">
        <w:rPr>
          <w:rFonts w:ascii="Times New Roman" w:hAnsi="Times New Roman" w:cs="Times New Roman"/>
        </w:rPr>
        <w:t>the Supreme Court con</w:t>
      </w:r>
      <w:r w:rsidRPr="000444AC">
        <w:rPr>
          <w:rFonts w:ascii="Times New Roman" w:hAnsi="Times New Roman" w:cs="Times New Roman"/>
        </w:rPr>
        <w:t>sidered predatory pricing in a Section One context. In</w:t>
      </w:r>
      <w:r w:rsidR="00C84317" w:rsidRPr="000444AC">
        <w:rPr>
          <w:rFonts w:ascii="Times New Roman" w:hAnsi="Times New Roman" w:cs="Times New Roman"/>
        </w:rPr>
        <w:t xml:space="preserve"> </w:t>
      </w:r>
      <w:r w:rsidR="00C84317" w:rsidRPr="000444AC">
        <w:rPr>
          <w:rFonts w:ascii="Times New Roman" w:hAnsi="Times New Roman" w:cs="Times New Roman"/>
          <w:i/>
        </w:rPr>
        <w:t>Matsushita</w:t>
      </w:r>
      <w:r w:rsidR="00C84317" w:rsidRPr="000444AC">
        <w:rPr>
          <w:rFonts w:ascii="Times New Roman" w:hAnsi="Times New Roman" w:cs="Times New Roman"/>
        </w:rPr>
        <w:t xml:space="preserve">, two American manufacturers of consumer electronics products accused a group of 21 Japanese manufacturers of pricing their consumer electronics below cost in order to drive the remaining American firms </w:t>
      </w:r>
      <w:r w:rsidR="00C84317" w:rsidRPr="000444AC">
        <w:rPr>
          <w:rFonts w:ascii="Times New Roman" w:hAnsi="Times New Roman" w:cs="Times New Roman"/>
        </w:rPr>
        <w:lastRenderedPageBreak/>
        <w:t xml:space="preserve">from the market. The antitrust plaintiffs </w:t>
      </w:r>
      <w:r w:rsidRPr="000444AC">
        <w:rPr>
          <w:rFonts w:ascii="Times New Roman" w:hAnsi="Times New Roman" w:cs="Times New Roman"/>
        </w:rPr>
        <w:t>argued</w:t>
      </w:r>
      <w:r w:rsidR="00C84317" w:rsidRPr="000444AC">
        <w:rPr>
          <w:rFonts w:ascii="Times New Roman" w:hAnsi="Times New Roman" w:cs="Times New Roman"/>
        </w:rPr>
        <w:t xml:space="preserve"> that the Japanese firms had long-term designs on cartelizing the American market, as they had done in Japan.  </w:t>
      </w:r>
      <w:r w:rsidRPr="000444AC">
        <w:rPr>
          <w:rFonts w:ascii="Times New Roman" w:eastAsia="Times New Roman" w:hAnsi="Times New Roman" w:cs="Times New Roman"/>
          <w:color w:val="000000"/>
        </w:rPr>
        <w:t>The plaintiffs explained that the defendants had cartelized the Japanese market and “used their monopoly profits from the Japanese market to fund a concerted campaign to price predatorily and thereby drive respondents and other American manufacturers of CEPs out of business,” after which the Japanese would operate as a cartel in the American market, “restricting output and raising prices above the level that fair competition would produce.”</w:t>
      </w:r>
      <w:r w:rsidRPr="000444AC">
        <w:rPr>
          <w:rStyle w:val="a4"/>
          <w:rFonts w:ascii="Times New Roman" w:eastAsia="Times New Roman" w:hAnsi="Times New Roman" w:cs="Times New Roman"/>
          <w:color w:val="000000"/>
        </w:rPr>
        <w:footnoteReference w:id="23"/>
      </w:r>
      <w:r w:rsidRPr="000444AC">
        <w:rPr>
          <w:rFonts w:ascii="Times New Roman" w:eastAsia="Times New Roman" w:hAnsi="Times New Roman" w:cs="Times New Roman"/>
          <w:color w:val="000000"/>
        </w:rPr>
        <w:t xml:space="preserve"> The cartel profits “would more than compensate [the antitrust defendants] for the losses they incurred through years of pricing below market level.”</w:t>
      </w:r>
      <w:r w:rsidRPr="000444AC">
        <w:rPr>
          <w:rStyle w:val="a4"/>
          <w:rFonts w:ascii="Times New Roman" w:eastAsia="Times New Roman" w:hAnsi="Times New Roman" w:cs="Times New Roman"/>
          <w:color w:val="000000"/>
        </w:rPr>
        <w:footnoteReference w:id="24"/>
      </w:r>
      <w:r w:rsidRPr="000444AC">
        <w:rPr>
          <w:rFonts w:ascii="Times New Roman" w:eastAsia="Times New Roman" w:hAnsi="Times New Roman" w:cs="Times New Roman"/>
          <w:color w:val="000000"/>
        </w:rPr>
        <w:t xml:space="preserve"> </w:t>
      </w:r>
      <w:r w:rsidR="00C84317" w:rsidRPr="000444AC">
        <w:rPr>
          <w:rFonts w:ascii="Times New Roman" w:hAnsi="Times New Roman" w:cs="Times New Roman"/>
        </w:rPr>
        <w:t>After the district court granted the defendants’ motion for summary judgment, the Third Circuit reversed, holding that the plaintiffs had presented sufficient evidence to support their theory that the defendants conspired to engage in predatory pricing to gain control of the American market for consumer electronics.</w:t>
      </w:r>
    </w:p>
    <w:p w:rsidR="00C84317" w:rsidRPr="000444AC" w:rsidRDefault="00C84317" w:rsidP="00C84317">
      <w:pPr>
        <w:widowControl w:val="0"/>
        <w:autoSpaceDE w:val="0"/>
        <w:autoSpaceDN w:val="0"/>
        <w:adjustRightInd w:val="0"/>
        <w:rPr>
          <w:rFonts w:ascii="Times New Roman" w:hAnsi="Times New Roman" w:cs="Times New Roman"/>
        </w:rPr>
      </w:pPr>
    </w:p>
    <w:p w:rsidR="00F76A77" w:rsidRPr="000444AC" w:rsidRDefault="00C84317" w:rsidP="00F76A77">
      <w:pPr>
        <w:shd w:val="clear" w:color="auto" w:fill="FFFFFF"/>
        <w:ind w:firstLine="720"/>
        <w:rPr>
          <w:rFonts w:ascii="Times New Roman" w:eastAsia="Times New Roman" w:hAnsi="Times New Roman" w:cs="Times New Roman"/>
          <w:color w:val="000000"/>
        </w:rPr>
      </w:pPr>
      <w:r w:rsidRPr="000444AC">
        <w:rPr>
          <w:rFonts w:ascii="Times New Roman" w:hAnsi="Times New Roman" w:cs="Times New Roman"/>
        </w:rPr>
        <w:t xml:space="preserve">In a 5-to-4 decision, the Supreme Court reversed the Third Circuit. </w:t>
      </w:r>
      <w:r w:rsidR="00162098" w:rsidRPr="000444AC">
        <w:rPr>
          <w:rFonts w:ascii="Times New Roman" w:hAnsi="Times New Roman" w:cs="Times New Roman"/>
        </w:rPr>
        <w:t xml:space="preserve">Animating the Court’s decision was a concern that antitrust law should not discourage firms from engaging in aggressive – but legal – competition on the merits. </w:t>
      </w:r>
      <w:r w:rsidR="00162098" w:rsidRPr="000444AC">
        <w:rPr>
          <w:rFonts w:ascii="Times New Roman" w:eastAsia="Times New Roman" w:hAnsi="Times New Roman" w:cs="Times New Roman"/>
          <w:color w:val="000000"/>
        </w:rPr>
        <w:t>Invoking its earlier </w:t>
      </w:r>
      <w:r w:rsidR="00162098" w:rsidRPr="000444AC">
        <w:rPr>
          <w:rFonts w:ascii="Times New Roman" w:eastAsia="Times New Roman" w:hAnsi="Times New Roman" w:cs="Times New Roman"/>
          <w:i/>
          <w:iCs/>
          <w:color w:val="000000"/>
        </w:rPr>
        <w:t>Monsanto</w:t>
      </w:r>
      <w:r w:rsidR="00162098" w:rsidRPr="000444AC">
        <w:rPr>
          <w:rFonts w:ascii="Times New Roman" w:eastAsia="Times New Roman" w:hAnsi="Times New Roman" w:cs="Times New Roman"/>
          <w:iCs/>
          <w:color w:val="000000"/>
        </w:rPr>
        <w:t xml:space="preserve"> opinion,</w:t>
      </w:r>
      <w:r w:rsidR="00162098" w:rsidRPr="000444AC">
        <w:rPr>
          <w:rFonts w:ascii="Times New Roman" w:eastAsia="Times New Roman" w:hAnsi="Times New Roman" w:cs="Times New Roman"/>
          <w:color w:val="000000"/>
        </w:rPr>
        <w:t xml:space="preserve"> the </w:t>
      </w:r>
      <w:r w:rsidR="00162098" w:rsidRPr="000444AC">
        <w:rPr>
          <w:rFonts w:ascii="Times New Roman" w:eastAsia="Times New Roman" w:hAnsi="Times New Roman" w:cs="Times New Roman"/>
          <w:i/>
          <w:color w:val="000000"/>
        </w:rPr>
        <w:t>Matsushita</w:t>
      </w:r>
      <w:r w:rsidR="00162098" w:rsidRPr="000444AC">
        <w:rPr>
          <w:rFonts w:ascii="Times New Roman" w:eastAsia="Times New Roman" w:hAnsi="Times New Roman" w:cs="Times New Roman"/>
          <w:color w:val="000000"/>
        </w:rPr>
        <w:t xml:space="preserve"> majority “emphasized that courts should not permit factfinders to infer conspiracies when such inferences are implausible, because the effect of such practices is often to deter procompetitive conduct.”</w:t>
      </w:r>
      <w:r w:rsidR="00162098" w:rsidRPr="000444AC">
        <w:rPr>
          <w:rStyle w:val="a4"/>
          <w:rFonts w:ascii="Times New Roman" w:eastAsia="Times New Roman" w:hAnsi="Times New Roman" w:cs="Times New Roman"/>
          <w:color w:val="000000"/>
        </w:rPr>
        <w:footnoteReference w:id="25"/>
      </w:r>
      <w:r w:rsidR="00162098" w:rsidRPr="000444AC">
        <w:rPr>
          <w:rFonts w:ascii="Times New Roman" w:eastAsia="Times New Roman" w:hAnsi="Times New Roman" w:cs="Times New Roman"/>
          <w:color w:val="000000"/>
        </w:rPr>
        <w:t> </w:t>
      </w:r>
      <w:r w:rsidR="002F6295" w:rsidRPr="000444AC">
        <w:rPr>
          <w:rFonts w:ascii="Times New Roman" w:eastAsia="Times New Roman" w:hAnsi="Times New Roman" w:cs="Times New Roman"/>
          <w:color w:val="000000"/>
        </w:rPr>
        <w:t>This concern over false positives became a common law theme in antitrust jurisprudence because it would be a tragic irony if competition law deterred competitive behavior.</w:t>
      </w:r>
      <w:r w:rsidR="00F76A77" w:rsidRPr="000444AC">
        <w:rPr>
          <w:rStyle w:val="a4"/>
          <w:rFonts w:ascii="Times New Roman" w:eastAsia="Times New Roman" w:hAnsi="Times New Roman" w:cs="Times New Roman"/>
          <w:color w:val="000000"/>
        </w:rPr>
        <w:footnoteReference w:id="26"/>
      </w:r>
      <w:r w:rsidR="00023D0C" w:rsidRPr="000444AC">
        <w:rPr>
          <w:rFonts w:ascii="Times New Roman" w:eastAsia="Times New Roman" w:hAnsi="Times New Roman" w:cs="Times New Roman"/>
          <w:color w:val="000000"/>
        </w:rPr>
        <w:t xml:space="preserve"> Thus, the Court set out to operationalize its concern by articulating a new legal standard for summary judgment in the context of challenged conduct that appears procompetitive or </w:t>
      </w:r>
      <w:proofErr w:type="spellStart"/>
      <w:r w:rsidR="00023D0C" w:rsidRPr="000444AC">
        <w:rPr>
          <w:rFonts w:ascii="Times New Roman" w:eastAsia="Times New Roman" w:hAnsi="Times New Roman" w:cs="Times New Roman"/>
          <w:color w:val="000000"/>
        </w:rPr>
        <w:t>proconsumer</w:t>
      </w:r>
      <w:proofErr w:type="spellEnd"/>
      <w:r w:rsidR="00023D0C" w:rsidRPr="000444AC">
        <w:rPr>
          <w:rFonts w:ascii="Times New Roman" w:eastAsia="Times New Roman" w:hAnsi="Times New Roman" w:cs="Times New Roman"/>
          <w:color w:val="000000"/>
        </w:rPr>
        <w:t xml:space="preserve">. </w:t>
      </w:r>
    </w:p>
    <w:p w:rsidR="00023D0C" w:rsidRPr="000444AC" w:rsidRDefault="00023D0C" w:rsidP="0015061D">
      <w:pPr>
        <w:shd w:val="clear" w:color="auto" w:fill="FFFFFF"/>
        <w:rPr>
          <w:rFonts w:ascii="Times New Roman" w:eastAsia="Times New Roman" w:hAnsi="Times New Roman" w:cs="Times New Roman"/>
          <w:color w:val="000000"/>
        </w:rPr>
      </w:pPr>
    </w:p>
    <w:p w:rsidR="0015061D" w:rsidRPr="000444AC" w:rsidRDefault="00023D0C" w:rsidP="00023D0C">
      <w:pPr>
        <w:shd w:val="clear" w:color="auto" w:fill="FFFFFF"/>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 xml:space="preserve">The </w:t>
      </w:r>
      <w:r w:rsidRPr="000444AC">
        <w:rPr>
          <w:rFonts w:ascii="Times New Roman" w:eastAsia="Times New Roman" w:hAnsi="Times New Roman" w:cs="Times New Roman"/>
          <w:i/>
          <w:color w:val="000000"/>
        </w:rPr>
        <w:t>Matsushita</w:t>
      </w:r>
      <w:r w:rsidRPr="000444AC">
        <w:rPr>
          <w:rFonts w:ascii="Times New Roman" w:eastAsia="Times New Roman" w:hAnsi="Times New Roman" w:cs="Times New Roman"/>
          <w:color w:val="000000"/>
        </w:rPr>
        <w:t xml:space="preserve"> Court built its new standard on the foundation of motive. </w:t>
      </w:r>
      <w:r w:rsidRPr="000444AC">
        <w:rPr>
          <w:rFonts w:ascii="Times New Roman" w:hAnsi="Times New Roman" w:cs="Times New Roman"/>
        </w:rPr>
        <w:t>The opinion began with the premise that “</w:t>
      </w:r>
      <w:r w:rsidRPr="000444AC">
        <w:rPr>
          <w:rFonts w:ascii="Times New Roman" w:hAnsi="Times New Roman" w:cs="Times New Roman"/>
          <w:color w:val="000000"/>
        </w:rPr>
        <w:t>if the factual context renders [the plaintiffs’] claim implausible – if the claim is one that simply makes no economic sense – [the plaintiffs] must come forward with more persuasive evidence to support their claim than would otherwise be necessary.”</w:t>
      </w:r>
      <w:r w:rsidRPr="000444AC">
        <w:rPr>
          <w:rStyle w:val="a4"/>
          <w:rFonts w:ascii="Times New Roman" w:hAnsi="Times New Roman" w:cs="Times New Roman"/>
          <w:color w:val="000000"/>
        </w:rPr>
        <w:footnoteReference w:id="27"/>
      </w:r>
      <w:r w:rsidRPr="000444AC">
        <w:rPr>
          <w:rFonts w:ascii="Times New Roman" w:hAnsi="Times New Roman" w:cs="Times New Roman"/>
          <w:color w:val="000000"/>
        </w:rPr>
        <w:t xml:space="preserve"> </w:t>
      </w:r>
      <w:r w:rsidR="0015061D" w:rsidRPr="000444AC">
        <w:rPr>
          <w:rFonts w:ascii="Times New Roman" w:eastAsia="Times New Roman" w:hAnsi="Times New Roman" w:cs="Times New Roman"/>
          <w:color w:val="000000"/>
        </w:rPr>
        <w:t>The Court stated that even though inferences must be drawn “in the light most favorable to t</w:t>
      </w:r>
      <w:r w:rsidRPr="000444AC">
        <w:rPr>
          <w:rFonts w:ascii="Times New Roman" w:eastAsia="Times New Roman" w:hAnsi="Times New Roman" w:cs="Times New Roman"/>
          <w:color w:val="000000"/>
        </w:rPr>
        <w:t>he party opposing the motion,”</w:t>
      </w:r>
      <w:r w:rsidRPr="000444AC">
        <w:rPr>
          <w:rStyle w:val="a4"/>
          <w:rFonts w:ascii="Times New Roman" w:eastAsia="Times New Roman" w:hAnsi="Times New Roman" w:cs="Times New Roman"/>
          <w:color w:val="000000"/>
        </w:rPr>
        <w:footnoteReference w:id="28"/>
      </w:r>
      <w:r w:rsidRPr="000444AC">
        <w:rPr>
          <w:rFonts w:ascii="Times New Roman" w:eastAsia="Times New Roman" w:hAnsi="Times New Roman" w:cs="Times New Roman"/>
          <w:color w:val="000000"/>
        </w:rPr>
        <w:t> </w:t>
      </w:r>
      <w:r w:rsidR="0015061D" w:rsidRPr="000444AC">
        <w:rPr>
          <w:rFonts w:ascii="Times New Roman" w:eastAsia="Times New Roman" w:hAnsi="Times New Roman" w:cs="Times New Roman"/>
          <w:color w:val="000000"/>
        </w:rPr>
        <w:t>“antitrust law limits the range of permissible inferences from ambiguous evidence in a § 1 case.”</w:t>
      </w:r>
      <w:r w:rsidRPr="000444AC">
        <w:rPr>
          <w:rStyle w:val="a4"/>
          <w:rFonts w:ascii="Times New Roman" w:eastAsia="Times New Roman" w:hAnsi="Times New Roman" w:cs="Times New Roman"/>
          <w:color w:val="000000"/>
        </w:rPr>
        <w:footnoteReference w:id="29"/>
      </w:r>
      <w:r w:rsidR="0015061D" w:rsidRPr="000444AC">
        <w:rPr>
          <w:rFonts w:ascii="Times New Roman" w:eastAsia="Times New Roman" w:hAnsi="Times New Roman" w:cs="Times New Roman"/>
          <w:color w:val="000000"/>
        </w:rPr>
        <w:t xml:space="preserve"> </w:t>
      </w:r>
      <w:r w:rsidRPr="000444AC">
        <w:rPr>
          <w:rFonts w:ascii="Times New Roman" w:eastAsia="Times New Roman" w:hAnsi="Times New Roman" w:cs="Times New Roman"/>
          <w:color w:val="000000"/>
        </w:rPr>
        <w:t xml:space="preserve">But the Court linked these standards to the perceived rationality of the alleged conspiracy. For example, </w:t>
      </w:r>
      <w:r w:rsidRPr="000444AC">
        <w:rPr>
          <w:rFonts w:ascii="Times New Roman" w:eastAsia="Times New Roman" w:hAnsi="Times New Roman" w:cs="Times New Roman"/>
          <w:color w:val="000000"/>
          <w:shd w:val="clear" w:color="auto" w:fill="FFFFFF"/>
        </w:rPr>
        <w:t>t</w:t>
      </w:r>
      <w:r w:rsidR="0015061D" w:rsidRPr="000444AC">
        <w:rPr>
          <w:rFonts w:ascii="Times New Roman" w:eastAsia="Times New Roman" w:hAnsi="Times New Roman" w:cs="Times New Roman"/>
          <w:color w:val="000000"/>
          <w:shd w:val="clear" w:color="auto" w:fill="FFFFFF"/>
        </w:rPr>
        <w:t xml:space="preserve">he </w:t>
      </w:r>
      <w:r w:rsidR="0015061D" w:rsidRPr="000444AC">
        <w:rPr>
          <w:rFonts w:ascii="Times New Roman" w:eastAsia="Times New Roman" w:hAnsi="Times New Roman" w:cs="Times New Roman"/>
          <w:i/>
          <w:color w:val="000000"/>
          <w:shd w:val="clear" w:color="auto" w:fill="FFFFFF"/>
        </w:rPr>
        <w:t>Matsushita</w:t>
      </w:r>
      <w:r w:rsidR="0015061D" w:rsidRPr="000444AC">
        <w:rPr>
          <w:rFonts w:ascii="Times New Roman" w:eastAsia="Times New Roman" w:hAnsi="Times New Roman" w:cs="Times New Roman"/>
          <w:color w:val="000000"/>
          <w:shd w:val="clear" w:color="auto" w:fill="FFFFFF"/>
        </w:rPr>
        <w:t xml:space="preserve"> majority further held that “</w:t>
      </w:r>
      <w:r w:rsidR="0015061D" w:rsidRPr="000444AC">
        <w:rPr>
          <w:rFonts w:ascii="Times New Roman" w:eastAsia="Times New Roman" w:hAnsi="Times New Roman" w:cs="Times New Roman"/>
          <w:color w:val="000000"/>
        </w:rPr>
        <w:t>the absence of any plausible motive to engage in the conduct charged i</w:t>
      </w:r>
      <w:r w:rsidRPr="000444AC">
        <w:rPr>
          <w:rFonts w:ascii="Times New Roman" w:eastAsia="Times New Roman" w:hAnsi="Times New Roman" w:cs="Times New Roman"/>
          <w:color w:val="000000"/>
        </w:rPr>
        <w:t>s highly relevant to whether a ‘genuine issue for trial’</w:t>
      </w:r>
      <w:r w:rsidR="0015061D" w:rsidRPr="000444AC">
        <w:rPr>
          <w:rFonts w:ascii="Times New Roman" w:eastAsia="Times New Roman" w:hAnsi="Times New Roman" w:cs="Times New Roman"/>
          <w:color w:val="000000"/>
        </w:rPr>
        <w:t xml:space="preserve"> exists…”</w:t>
      </w:r>
      <w:r w:rsidRPr="000444AC">
        <w:rPr>
          <w:rStyle w:val="a4"/>
          <w:rFonts w:ascii="Times New Roman" w:eastAsia="Times New Roman" w:hAnsi="Times New Roman" w:cs="Times New Roman"/>
          <w:color w:val="000000"/>
        </w:rPr>
        <w:footnoteReference w:id="30"/>
      </w:r>
      <w:r w:rsidR="0015061D" w:rsidRPr="000444AC">
        <w:rPr>
          <w:rFonts w:ascii="Times New Roman" w:eastAsia="Times New Roman" w:hAnsi="Times New Roman" w:cs="Times New Roman"/>
          <w:color w:val="000000"/>
        </w:rPr>
        <w:t xml:space="preserve"> The Court conclude</w:t>
      </w:r>
      <w:r w:rsidRPr="000444AC">
        <w:rPr>
          <w:rFonts w:ascii="Times New Roman" w:eastAsia="Times New Roman" w:hAnsi="Times New Roman" w:cs="Times New Roman"/>
          <w:color w:val="000000"/>
        </w:rPr>
        <w:t>d that “[l]</w:t>
      </w:r>
      <w:r w:rsidR="0015061D" w:rsidRPr="000444AC">
        <w:rPr>
          <w:rFonts w:ascii="Times New Roman" w:eastAsia="Times New Roman" w:hAnsi="Times New Roman" w:cs="Times New Roman"/>
          <w:color w:val="000000"/>
        </w:rPr>
        <w:t xml:space="preserve">ack of motive bears on the range of permissible conclusions that might be drawn from ambiguous evidence: if petitioners had no </w:t>
      </w:r>
      <w:r w:rsidR="0015061D" w:rsidRPr="000444AC">
        <w:rPr>
          <w:rFonts w:ascii="Times New Roman" w:eastAsia="Times New Roman" w:hAnsi="Times New Roman" w:cs="Times New Roman"/>
          <w:color w:val="000000"/>
        </w:rPr>
        <w:lastRenderedPageBreak/>
        <w:t>rational economic motive to conspire, and if their conduct is consistent with other, equally plausible explanations, the conduct does not give rise to an inference of conspiracy.”</w:t>
      </w:r>
      <w:r w:rsidRPr="000444AC">
        <w:rPr>
          <w:rStyle w:val="a4"/>
          <w:rFonts w:ascii="Times New Roman" w:eastAsia="Times New Roman" w:hAnsi="Times New Roman" w:cs="Times New Roman"/>
          <w:color w:val="000000"/>
        </w:rPr>
        <w:footnoteReference w:id="31"/>
      </w:r>
      <w:r w:rsidR="0015061D" w:rsidRPr="000444AC">
        <w:rPr>
          <w:rFonts w:ascii="Times New Roman" w:eastAsia="Times New Roman" w:hAnsi="Times New Roman" w:cs="Times New Roman"/>
          <w:color w:val="000000"/>
        </w:rPr>
        <w:t xml:space="preserve"> </w:t>
      </w:r>
    </w:p>
    <w:p w:rsidR="00FB09A5" w:rsidRPr="000444AC" w:rsidRDefault="00FB09A5" w:rsidP="008E27A3">
      <w:pPr>
        <w:rPr>
          <w:rFonts w:ascii="Times New Roman" w:eastAsia="Times New Roman" w:hAnsi="Times New Roman" w:cs="Times New Roman"/>
          <w:b/>
          <w:color w:val="000000"/>
        </w:rPr>
      </w:pPr>
    </w:p>
    <w:p w:rsidR="00FF72B3" w:rsidRPr="000444AC" w:rsidRDefault="00023D0C" w:rsidP="008E27A3">
      <w:pPr>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 xml:space="preserve">In applying this new standard to the plaintiffs’ antitrust claims, the Matsushita majority relied on several of its own findings. First, </w:t>
      </w:r>
      <w:r w:rsidRPr="000444AC">
        <w:rPr>
          <w:rFonts w:ascii="Times New Roman" w:hAnsi="Times New Roman" w:cs="Times New Roman"/>
        </w:rPr>
        <w:t xml:space="preserve">the </w:t>
      </w:r>
      <w:r w:rsidRPr="000444AC">
        <w:rPr>
          <w:rFonts w:ascii="Times New Roman" w:hAnsi="Times New Roman" w:cs="Times New Roman"/>
          <w:i/>
        </w:rPr>
        <w:t xml:space="preserve">Matsushita </w:t>
      </w:r>
      <w:r w:rsidRPr="000444AC">
        <w:rPr>
          <w:rFonts w:ascii="Times New Roman" w:hAnsi="Times New Roman" w:cs="Times New Roman"/>
        </w:rPr>
        <w:t>majority asserted that predatory pricing conspiracies did not occur because the conspirators would necessarily suffer financial losses in the initial stages. Alleged conspirators would not incur the losses inherent in below-cost pricing unless they had a reasonable expectation of recouping this investment.</w:t>
      </w:r>
      <w:r w:rsidRPr="000444AC">
        <w:rPr>
          <w:rStyle w:val="a4"/>
          <w:rFonts w:ascii="Times New Roman" w:hAnsi="Times New Roman" w:cs="Times New Roman"/>
        </w:rPr>
        <w:footnoteReference w:id="32"/>
      </w:r>
      <w:r w:rsidR="00D1746C" w:rsidRPr="000444AC">
        <w:rPr>
          <w:rFonts w:ascii="Times New Roman" w:hAnsi="Times New Roman" w:cs="Times New Roman"/>
        </w:rPr>
        <w:t xml:space="preserve"> </w:t>
      </w:r>
      <w:r w:rsidR="0015061D" w:rsidRPr="000444AC">
        <w:rPr>
          <w:rFonts w:ascii="Times New Roman" w:eastAsia="Times New Roman" w:hAnsi="Times New Roman" w:cs="Times New Roman"/>
          <w:color w:val="000000"/>
        </w:rPr>
        <w:t xml:space="preserve">The Court asserted that a predatory pricing conspiracy is </w:t>
      </w:r>
      <w:r w:rsidR="00D1746C" w:rsidRPr="000444AC">
        <w:rPr>
          <w:rFonts w:ascii="Times New Roman" w:eastAsia="Times New Roman" w:hAnsi="Times New Roman" w:cs="Times New Roman"/>
          <w:color w:val="000000"/>
        </w:rPr>
        <w:t>intrinsically speculative</w:t>
      </w:r>
      <w:r w:rsidR="00D1746C" w:rsidRPr="000444AC">
        <w:rPr>
          <w:rStyle w:val="a4"/>
          <w:rFonts w:ascii="Times New Roman" w:eastAsia="Times New Roman" w:hAnsi="Times New Roman" w:cs="Times New Roman"/>
          <w:color w:val="000000"/>
        </w:rPr>
        <w:footnoteReference w:id="33"/>
      </w:r>
      <w:r w:rsidR="00D1746C" w:rsidRPr="000444AC">
        <w:rPr>
          <w:rFonts w:ascii="Times New Roman" w:eastAsia="Times New Roman" w:hAnsi="Times New Roman" w:cs="Times New Roman"/>
          <w:color w:val="000000"/>
        </w:rPr>
        <w:t xml:space="preserve"> and, thus, </w:t>
      </w:r>
      <w:r w:rsidR="0015061D" w:rsidRPr="000444AC">
        <w:rPr>
          <w:rFonts w:ascii="Times New Roman" w:eastAsia="Times New Roman" w:hAnsi="Times New Roman" w:cs="Times New Roman"/>
          <w:color w:val="000000"/>
        </w:rPr>
        <w:t>irrational unless “the conspirators [] have a reasonable expectation of recovering, in the form of later monopoly profits, more than the losses suffered.”</w:t>
      </w:r>
      <w:r w:rsidR="00D1746C" w:rsidRPr="000444AC">
        <w:rPr>
          <w:rStyle w:val="a4"/>
          <w:rFonts w:ascii="Times New Roman" w:eastAsia="Times New Roman" w:hAnsi="Times New Roman" w:cs="Times New Roman"/>
          <w:color w:val="000000"/>
        </w:rPr>
        <w:footnoteReference w:id="34"/>
      </w:r>
      <w:r w:rsidR="0015061D" w:rsidRPr="000444AC">
        <w:rPr>
          <w:rFonts w:ascii="Times New Roman" w:eastAsia="Times New Roman" w:hAnsi="Times New Roman" w:cs="Times New Roman"/>
          <w:color w:val="000000"/>
        </w:rPr>
        <w:t xml:space="preserve"> </w:t>
      </w:r>
      <w:r w:rsidR="00D1746C" w:rsidRPr="000444AC">
        <w:rPr>
          <w:rFonts w:ascii="Times New Roman" w:eastAsia="Times New Roman" w:hAnsi="Times New Roman" w:cs="Times New Roman"/>
          <w:color w:val="000000"/>
        </w:rPr>
        <w:t xml:space="preserve">But after requiring a “reasonable expectation” of recoupment, the Court immediately asserted that this was not possible because </w:t>
      </w:r>
      <w:r w:rsidR="0015061D" w:rsidRPr="000444AC">
        <w:rPr>
          <w:rFonts w:ascii="Times New Roman" w:eastAsia="Times New Roman" w:hAnsi="Times New Roman" w:cs="Times New Roman"/>
          <w:color w:val="000000"/>
        </w:rPr>
        <w:t>“the success of [predatory pricing] schemes is inherently uncertain: the short-run loss is definite, but the long-run gain depends on successfully neutralizing the competition.”</w:t>
      </w:r>
      <w:r w:rsidR="00D1746C" w:rsidRPr="000444AC">
        <w:rPr>
          <w:rStyle w:val="a4"/>
          <w:rFonts w:ascii="Times New Roman" w:eastAsia="Times New Roman" w:hAnsi="Times New Roman" w:cs="Times New Roman"/>
          <w:color w:val="000000"/>
        </w:rPr>
        <w:footnoteReference w:id="35"/>
      </w:r>
      <w:r w:rsidR="0015061D" w:rsidRPr="000444AC">
        <w:rPr>
          <w:rFonts w:ascii="Times New Roman" w:eastAsia="Times New Roman" w:hAnsi="Times New Roman" w:cs="Times New Roman"/>
          <w:color w:val="000000"/>
        </w:rPr>
        <w:t xml:space="preserve"> Because “[t]he predator must make a substantial investment with no</w:t>
      </w:r>
      <w:r w:rsidR="008E27A3" w:rsidRPr="000444AC">
        <w:rPr>
          <w:rFonts w:ascii="Times New Roman" w:eastAsia="Times New Roman" w:hAnsi="Times New Roman" w:cs="Times New Roman"/>
          <w:color w:val="000000"/>
        </w:rPr>
        <w:t xml:space="preserve"> assurance that it will pay off,</w:t>
      </w:r>
      <w:r w:rsidR="0015061D" w:rsidRPr="000444AC">
        <w:rPr>
          <w:rFonts w:ascii="Times New Roman" w:eastAsia="Times New Roman" w:hAnsi="Times New Roman" w:cs="Times New Roman"/>
          <w:color w:val="000000"/>
        </w:rPr>
        <w:t>”</w:t>
      </w:r>
      <w:r w:rsidR="008E27A3" w:rsidRPr="000444AC">
        <w:rPr>
          <w:rStyle w:val="a4"/>
          <w:rFonts w:ascii="Times New Roman" w:eastAsia="Times New Roman" w:hAnsi="Times New Roman" w:cs="Times New Roman"/>
          <w:color w:val="000000"/>
        </w:rPr>
        <w:footnoteReference w:id="36"/>
      </w:r>
      <w:r w:rsidR="0015061D" w:rsidRPr="000444AC">
        <w:rPr>
          <w:rFonts w:ascii="Times New Roman" w:eastAsia="Times New Roman" w:hAnsi="Times New Roman" w:cs="Times New Roman"/>
          <w:color w:val="000000"/>
        </w:rPr>
        <w:t xml:space="preserve"> the Court concluded that firms do not even attempt, let alone succeed</w:t>
      </w:r>
      <w:r w:rsidR="008E27A3" w:rsidRPr="000444AC">
        <w:rPr>
          <w:rFonts w:ascii="Times New Roman" w:eastAsia="Times New Roman" w:hAnsi="Times New Roman" w:cs="Times New Roman"/>
          <w:color w:val="000000"/>
        </w:rPr>
        <w:t xml:space="preserve"> in, predatory pricing schemes. As its ace in the hole on this empirical question, t</w:t>
      </w:r>
      <w:r w:rsidR="0015061D" w:rsidRPr="000444AC">
        <w:rPr>
          <w:rFonts w:ascii="Times New Roman" w:eastAsia="Times New Roman" w:hAnsi="Times New Roman" w:cs="Times New Roman"/>
          <w:color w:val="000000"/>
        </w:rPr>
        <w:t xml:space="preserve">he </w:t>
      </w:r>
      <w:r w:rsidR="0015061D" w:rsidRPr="000444AC">
        <w:rPr>
          <w:rFonts w:ascii="Times New Roman" w:eastAsia="Times New Roman" w:hAnsi="Times New Roman" w:cs="Times New Roman"/>
          <w:i/>
          <w:color w:val="000000"/>
        </w:rPr>
        <w:t>Matsushita</w:t>
      </w:r>
      <w:r w:rsidR="0015061D" w:rsidRPr="000444AC">
        <w:rPr>
          <w:rFonts w:ascii="Times New Roman" w:eastAsia="Times New Roman" w:hAnsi="Times New Roman" w:cs="Times New Roman"/>
          <w:color w:val="000000"/>
        </w:rPr>
        <w:t xml:space="preserve"> majority asserted that “there is a consensus among commentators that predatory pricing schemes are rarely tried, and even more rarely successful.</w:t>
      </w:r>
      <w:r w:rsidR="008E27A3" w:rsidRPr="000444AC">
        <w:rPr>
          <w:rFonts w:ascii="Times New Roman" w:eastAsia="Times New Roman" w:hAnsi="Times New Roman" w:cs="Times New Roman"/>
          <w:color w:val="000000"/>
        </w:rPr>
        <w:t>”</w:t>
      </w:r>
      <w:r w:rsidR="008E27A3" w:rsidRPr="000444AC">
        <w:rPr>
          <w:rStyle w:val="a4"/>
          <w:rFonts w:ascii="Times New Roman" w:eastAsia="Times New Roman" w:hAnsi="Times New Roman" w:cs="Times New Roman"/>
          <w:color w:val="000000"/>
        </w:rPr>
        <w:footnoteReference w:id="37"/>
      </w:r>
      <w:r w:rsidR="0015061D" w:rsidRPr="000444AC">
        <w:rPr>
          <w:rFonts w:ascii="Times New Roman" w:eastAsia="Times New Roman" w:hAnsi="Times New Roman" w:cs="Times New Roman"/>
          <w:color w:val="000000"/>
        </w:rPr>
        <w:t xml:space="preserve"> </w:t>
      </w:r>
      <w:r w:rsidR="00FF72B3" w:rsidRPr="000444AC">
        <w:rPr>
          <w:rFonts w:ascii="Times New Roman" w:eastAsia="Times New Roman" w:hAnsi="Times New Roman" w:cs="Times New Roman"/>
          <w:color w:val="000000"/>
        </w:rPr>
        <w:t>The Court concluded that the alleged predatory pricing conspiracy made “no practical sense” and, thus, “in light of the absence of any rational motive to conspire,” the plaintiffs’ claim could not survive summary judgment.</w:t>
      </w:r>
      <w:r w:rsidR="008E27A3" w:rsidRPr="000444AC">
        <w:rPr>
          <w:rStyle w:val="a4"/>
          <w:rFonts w:ascii="Times New Roman" w:eastAsia="Times New Roman" w:hAnsi="Times New Roman" w:cs="Times New Roman"/>
          <w:color w:val="000000"/>
        </w:rPr>
        <w:footnoteReference w:id="38"/>
      </w:r>
      <w:r w:rsidR="00FF72B3" w:rsidRPr="000444AC">
        <w:rPr>
          <w:rFonts w:ascii="Times New Roman" w:eastAsia="Times New Roman" w:hAnsi="Times New Roman" w:cs="Times New Roman"/>
          <w:color w:val="000000"/>
        </w:rPr>
        <w:t xml:space="preserve"> </w:t>
      </w:r>
      <w:r w:rsidR="008E27A3" w:rsidRPr="000444AC">
        <w:rPr>
          <w:rFonts w:ascii="Times New Roman" w:eastAsia="Times New Roman" w:hAnsi="Times New Roman" w:cs="Times New Roman"/>
          <w:color w:val="000000"/>
        </w:rPr>
        <w:t>Thus, the Court held that there was no motive to conspire and that lack of motive triggered the heightened summary judgment standard, which the plaintiffs could not satisfy.</w:t>
      </w:r>
    </w:p>
    <w:p w:rsidR="00FF72B3" w:rsidRPr="000444AC" w:rsidRDefault="00FF72B3" w:rsidP="0015061D">
      <w:pPr>
        <w:shd w:val="clear" w:color="auto" w:fill="FFFFFF"/>
        <w:rPr>
          <w:rFonts w:ascii="Times New Roman" w:eastAsia="Times New Roman" w:hAnsi="Times New Roman" w:cs="Times New Roman"/>
          <w:color w:val="000000"/>
        </w:rPr>
      </w:pPr>
    </w:p>
    <w:p w:rsidR="0015061D" w:rsidRPr="000444AC" w:rsidRDefault="008E27A3" w:rsidP="0015061D">
      <w:pPr>
        <w:shd w:val="clear" w:color="auto" w:fill="FFFFFF"/>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Second, the Court reiterated its concern about deterring procompetitive conduct. The majority observed that “</w:t>
      </w:r>
      <w:r w:rsidR="0015061D" w:rsidRPr="000444AC">
        <w:rPr>
          <w:rFonts w:ascii="Times New Roman" w:eastAsia="Times New Roman" w:hAnsi="Times New Roman" w:cs="Times New Roman"/>
          <w:color w:val="000000"/>
        </w:rPr>
        <w:t>cutting prices in order to increase business often is the very essence of competition. Thus, mistaken inferences in cases such as this one are especially costly, because they chill the very conduct the antitrust laws are designed to protect.”</w:t>
      </w:r>
      <w:r w:rsidRPr="000444AC">
        <w:rPr>
          <w:rStyle w:val="a4"/>
          <w:rFonts w:ascii="Times New Roman" w:eastAsia="Times New Roman" w:hAnsi="Times New Roman" w:cs="Times New Roman"/>
          <w:color w:val="000000"/>
        </w:rPr>
        <w:footnoteReference w:id="39"/>
      </w:r>
    </w:p>
    <w:p w:rsidR="0015061D" w:rsidRPr="000444AC" w:rsidRDefault="00FB09A5" w:rsidP="00FB09A5">
      <w:pPr>
        <w:shd w:val="clear" w:color="auto" w:fill="FFFFFF"/>
        <w:tabs>
          <w:tab w:val="left" w:pos="7236"/>
        </w:tabs>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r>
    </w:p>
    <w:p w:rsidR="00910313" w:rsidRPr="000444AC" w:rsidRDefault="00FF72B3" w:rsidP="00FB09A5">
      <w:pPr>
        <w:shd w:val="clear" w:color="auto" w:fill="FFFFFF"/>
        <w:ind w:firstLine="720"/>
        <w:rPr>
          <w:rFonts w:ascii="Times New Roman" w:hAnsi="Times New Roman" w:cs="Times New Roman"/>
        </w:rPr>
      </w:pPr>
      <w:r w:rsidRPr="000444AC">
        <w:rPr>
          <w:rFonts w:ascii="Times New Roman" w:eastAsia="Times New Roman" w:hAnsi="Times New Roman" w:cs="Times New Roman"/>
          <w:color w:val="000000"/>
        </w:rPr>
        <w:t xml:space="preserve">The majority remanded the case with instructions for the Third Circuit to reinstate summary judgment for the defendants unless the plaintiffs presented “sufficiently unambiguous” evidence, which “must “ten[d] to exclude the possibility” that petitioners underpriced </w:t>
      </w:r>
      <w:r w:rsidRPr="000444AC">
        <w:rPr>
          <w:rFonts w:ascii="Times New Roman" w:eastAsia="Times New Roman" w:hAnsi="Times New Roman" w:cs="Times New Roman"/>
          <w:color w:val="000000"/>
        </w:rPr>
        <w:lastRenderedPageBreak/>
        <w:t>respondents to compete for business rather than to implement an economically senseless conspiracy.”</w:t>
      </w:r>
      <w:r w:rsidR="00FB09A5" w:rsidRPr="000444AC">
        <w:rPr>
          <w:rStyle w:val="a4"/>
          <w:rFonts w:ascii="Times New Roman" w:eastAsia="Times New Roman" w:hAnsi="Times New Roman" w:cs="Times New Roman"/>
          <w:color w:val="000000"/>
        </w:rPr>
        <w:footnoteReference w:id="40"/>
      </w:r>
      <w:r w:rsidRPr="000444AC">
        <w:rPr>
          <w:rFonts w:ascii="Times New Roman" w:eastAsia="Times New Roman" w:hAnsi="Times New Roman" w:cs="Times New Roman"/>
          <w:color w:val="000000"/>
        </w:rPr>
        <w:t xml:space="preserve"> </w:t>
      </w:r>
      <w:r w:rsidR="008E27A3" w:rsidRPr="000444AC">
        <w:rPr>
          <w:rFonts w:ascii="Times New Roman" w:eastAsia="Times New Roman" w:hAnsi="Times New Roman" w:cs="Times New Roman"/>
          <w:color w:val="000000"/>
        </w:rPr>
        <w:t xml:space="preserve">The majority </w:t>
      </w:r>
      <w:r w:rsidRPr="000444AC">
        <w:rPr>
          <w:rFonts w:ascii="Times New Roman" w:eastAsia="Times New Roman" w:hAnsi="Times New Roman" w:cs="Times New Roman"/>
          <w:color w:val="000000"/>
        </w:rPr>
        <w:t>seem</w:t>
      </w:r>
      <w:r w:rsidR="008E27A3" w:rsidRPr="000444AC">
        <w:rPr>
          <w:rFonts w:ascii="Times New Roman" w:eastAsia="Times New Roman" w:hAnsi="Times New Roman" w:cs="Times New Roman"/>
          <w:color w:val="000000"/>
        </w:rPr>
        <w:t>ed</w:t>
      </w:r>
      <w:r w:rsidRPr="000444AC">
        <w:rPr>
          <w:rFonts w:ascii="Times New Roman" w:eastAsia="Times New Roman" w:hAnsi="Times New Roman" w:cs="Times New Roman"/>
          <w:color w:val="000000"/>
        </w:rPr>
        <w:t xml:space="preserve"> to label predatory pricing conspiracies “economically senseless” as a matter of law</w:t>
      </w:r>
      <w:r w:rsidR="008E27A3" w:rsidRPr="000444AC">
        <w:rPr>
          <w:rFonts w:ascii="Times New Roman" w:eastAsia="Times New Roman" w:hAnsi="Times New Roman" w:cs="Times New Roman"/>
          <w:color w:val="000000"/>
        </w:rPr>
        <w:t>.</w:t>
      </w:r>
      <w:r w:rsidR="008E27A3" w:rsidRPr="000444AC">
        <w:rPr>
          <w:rStyle w:val="a4"/>
          <w:rFonts w:ascii="Times New Roman" w:eastAsia="Times New Roman" w:hAnsi="Times New Roman" w:cs="Times New Roman"/>
          <w:color w:val="000000"/>
        </w:rPr>
        <w:footnoteReference w:id="41"/>
      </w:r>
      <w:r w:rsidR="008E27A3" w:rsidRPr="000444AC">
        <w:rPr>
          <w:rFonts w:ascii="Times New Roman" w:eastAsia="Times New Roman" w:hAnsi="Times New Roman" w:cs="Times New Roman"/>
          <w:color w:val="000000"/>
        </w:rPr>
        <w:t xml:space="preserve"> As such, </w:t>
      </w:r>
      <w:r w:rsidR="008E27A3" w:rsidRPr="000444AC">
        <w:rPr>
          <w:rFonts w:ascii="Times New Roman" w:hAnsi="Times New Roman" w:cs="Times New Roman"/>
        </w:rPr>
        <w:t>t</w:t>
      </w:r>
      <w:r w:rsidR="00910313" w:rsidRPr="000444AC">
        <w:rPr>
          <w:rFonts w:ascii="Times New Roman" w:hAnsi="Times New Roman" w:cs="Times New Roman"/>
        </w:rPr>
        <w:t xml:space="preserve">he </w:t>
      </w:r>
      <w:r w:rsidR="00910313" w:rsidRPr="000444AC">
        <w:rPr>
          <w:rFonts w:ascii="Times New Roman" w:hAnsi="Times New Roman" w:cs="Times New Roman"/>
          <w:i/>
        </w:rPr>
        <w:t>Matsushita</w:t>
      </w:r>
      <w:r w:rsidR="00910313" w:rsidRPr="000444AC">
        <w:rPr>
          <w:rFonts w:ascii="Times New Roman" w:hAnsi="Times New Roman" w:cs="Times New Roman"/>
        </w:rPr>
        <w:t xml:space="preserve"> opinion has effectively eliminated predatory pricing as a viable cause of action.</w:t>
      </w:r>
      <w:r w:rsidR="00910313" w:rsidRPr="000444AC">
        <w:rPr>
          <w:rStyle w:val="a4"/>
          <w:rFonts w:ascii="Times New Roman" w:hAnsi="Times New Roman" w:cs="Times New Roman"/>
        </w:rPr>
        <w:footnoteReference w:id="42"/>
      </w:r>
      <w:r w:rsidR="00910313" w:rsidRPr="000444AC">
        <w:rPr>
          <w:rFonts w:ascii="Times New Roman" w:hAnsi="Times New Roman" w:cs="Times New Roman"/>
        </w:rPr>
        <w:t xml:space="preserve">  </w:t>
      </w:r>
    </w:p>
    <w:p w:rsidR="00A776F9" w:rsidRPr="000444AC" w:rsidRDefault="00A776F9" w:rsidP="00023D0C">
      <w:pPr>
        <w:rPr>
          <w:rFonts w:ascii="Times New Roman" w:hAnsi="Times New Roman" w:cs="Times New Roman"/>
        </w:rPr>
      </w:pPr>
    </w:p>
    <w:p w:rsidR="00D1746C" w:rsidRPr="000444AC" w:rsidRDefault="00023D0C" w:rsidP="00FB09A5">
      <w:pPr>
        <w:shd w:val="clear" w:color="auto" w:fill="FFFFFF"/>
        <w:ind w:firstLine="720"/>
        <w:rPr>
          <w:rFonts w:ascii="Times New Roman" w:eastAsia="Times New Roman" w:hAnsi="Times New Roman" w:cs="Times New Roman"/>
          <w:color w:val="000000"/>
        </w:rPr>
      </w:pPr>
      <w:r w:rsidRPr="000444AC">
        <w:rPr>
          <w:rFonts w:ascii="Times New Roman" w:eastAsia="Times New Roman" w:hAnsi="Times New Roman" w:cs="Times New Roman"/>
          <w:color w:val="000000"/>
        </w:rPr>
        <w:t xml:space="preserve">In essence, the </w:t>
      </w:r>
      <w:r w:rsidRPr="000444AC">
        <w:rPr>
          <w:rFonts w:ascii="Times New Roman" w:eastAsia="Times New Roman" w:hAnsi="Times New Roman" w:cs="Times New Roman"/>
          <w:i/>
          <w:color w:val="000000"/>
        </w:rPr>
        <w:t>Matsushita</w:t>
      </w:r>
      <w:r w:rsidRPr="000444AC">
        <w:rPr>
          <w:rFonts w:ascii="Times New Roman" w:eastAsia="Times New Roman" w:hAnsi="Times New Roman" w:cs="Times New Roman"/>
          <w:color w:val="000000"/>
        </w:rPr>
        <w:t xml:space="preserve"> Court did three things: (1) express concerns about antitrust law condemning pro-competitive or pro-consumer activity; (2) articulated new legal standards designed to increase an antitrust plaintiff’s burdens when the complaint alleged a conspiracy that was both unlikely and pro-consumer in its initial states; and (3) determine whether these concerns and, thus, the heightened burdens applied to an alleged predatory pricing conspiracy.</w:t>
      </w:r>
      <w:r w:rsidR="00FB09A5" w:rsidRPr="000444AC">
        <w:rPr>
          <w:rFonts w:ascii="Times New Roman" w:eastAsia="Times New Roman" w:hAnsi="Times New Roman" w:cs="Times New Roman"/>
          <w:color w:val="000000"/>
        </w:rPr>
        <w:t xml:space="preserve"> </w:t>
      </w:r>
      <w:r w:rsidR="00D1746C" w:rsidRPr="000444AC">
        <w:rPr>
          <w:rFonts w:ascii="Times New Roman" w:hAnsi="Times New Roman" w:cs="Times New Roman"/>
        </w:rPr>
        <w:t>The heightened</w:t>
      </w:r>
      <w:r w:rsidR="00FB09A5" w:rsidRPr="000444AC">
        <w:rPr>
          <w:rFonts w:ascii="Times New Roman" w:hAnsi="Times New Roman" w:cs="Times New Roman"/>
        </w:rPr>
        <w:t xml:space="preserve"> standard of </w:t>
      </w:r>
      <w:r w:rsidR="00FB09A5" w:rsidRPr="000444AC">
        <w:rPr>
          <w:rFonts w:ascii="Times New Roman" w:hAnsi="Times New Roman" w:cs="Times New Roman"/>
          <w:i/>
        </w:rPr>
        <w:t>Matsushita</w:t>
      </w:r>
      <w:r w:rsidR="00FB09A5" w:rsidRPr="000444AC">
        <w:rPr>
          <w:rFonts w:ascii="Times New Roman" w:hAnsi="Times New Roman" w:cs="Times New Roman"/>
        </w:rPr>
        <w:t xml:space="preserve"> was not antitrust-wide but limited to implausible and procompetitive conduct; thus </w:t>
      </w:r>
      <w:r w:rsidR="00D1746C" w:rsidRPr="000444AC">
        <w:rPr>
          <w:rFonts w:ascii="Times New Roman" w:hAnsi="Times New Roman" w:cs="Times New Roman"/>
        </w:rPr>
        <w:t>“[b]</w:t>
      </w:r>
      <w:proofErr w:type="spellStart"/>
      <w:r w:rsidR="00D1746C" w:rsidRPr="000444AC">
        <w:rPr>
          <w:rFonts w:ascii="Times New Roman" w:hAnsi="Times New Roman" w:cs="Times New Roman"/>
        </w:rPr>
        <w:t>ecause</w:t>
      </w:r>
      <w:proofErr w:type="spellEnd"/>
      <w:r w:rsidR="00D1746C" w:rsidRPr="000444AC">
        <w:rPr>
          <w:rFonts w:ascii="Times New Roman" w:hAnsi="Times New Roman" w:cs="Times New Roman"/>
        </w:rPr>
        <w:t xml:space="preserve"> predatory pricing presumptively violates rational economic behavior, p</w:t>
      </w:r>
      <w:r w:rsidR="00B92A19" w:rsidRPr="000444AC">
        <w:rPr>
          <w:rFonts w:ascii="Times New Roman" w:hAnsi="Times New Roman" w:cs="Times New Roman"/>
        </w:rPr>
        <w:t>laintiff must produce evidence ‘</w:t>
      </w:r>
      <w:r w:rsidR="00D1746C" w:rsidRPr="000444AC">
        <w:rPr>
          <w:rFonts w:ascii="Times New Roman" w:hAnsi="Times New Roman" w:cs="Times New Roman"/>
        </w:rPr>
        <w:t>that t</w:t>
      </w:r>
      <w:r w:rsidR="00B92A19" w:rsidRPr="000444AC">
        <w:rPr>
          <w:rFonts w:ascii="Times New Roman" w:hAnsi="Times New Roman" w:cs="Times New Roman"/>
        </w:rPr>
        <w:t>ends to exclude the possibility’</w:t>
      </w:r>
      <w:r w:rsidR="00D1746C" w:rsidRPr="000444AC">
        <w:rPr>
          <w:rFonts w:ascii="Times New Roman" w:hAnsi="Times New Roman" w:cs="Times New Roman"/>
        </w:rPr>
        <w:t xml:space="preserve"> of independent action …”</w:t>
      </w:r>
      <w:r w:rsidR="00D1746C" w:rsidRPr="000444AC">
        <w:rPr>
          <w:rStyle w:val="a4"/>
          <w:rFonts w:ascii="Times New Roman" w:hAnsi="Times New Roman" w:cs="Times New Roman"/>
        </w:rPr>
        <w:footnoteReference w:id="43"/>
      </w:r>
      <w:r w:rsidR="00FB09A5" w:rsidRPr="000444AC">
        <w:rPr>
          <w:rFonts w:ascii="Times New Roman" w:hAnsi="Times New Roman" w:cs="Times New Roman"/>
        </w:rPr>
        <w:t xml:space="preserve"> Part Three explains how courts have unhinged </w:t>
      </w:r>
      <w:r w:rsidR="00FB09A5" w:rsidRPr="000444AC">
        <w:rPr>
          <w:rFonts w:ascii="Times New Roman" w:hAnsi="Times New Roman" w:cs="Times New Roman"/>
          <w:i/>
        </w:rPr>
        <w:t>Matsushita</w:t>
      </w:r>
      <w:r w:rsidR="00FB09A5" w:rsidRPr="000444AC">
        <w:rPr>
          <w:rFonts w:ascii="Times New Roman" w:hAnsi="Times New Roman" w:cs="Times New Roman"/>
        </w:rPr>
        <w:t xml:space="preserve"> from its moorings. </w:t>
      </w:r>
    </w:p>
    <w:p w:rsidR="00023D0C" w:rsidRPr="000444AC" w:rsidRDefault="00023D0C" w:rsidP="00023D0C">
      <w:pPr>
        <w:rPr>
          <w:rFonts w:ascii="Times New Roman" w:hAnsi="Times New Roman" w:cs="Times New Roman"/>
        </w:rPr>
      </w:pPr>
    </w:p>
    <w:p w:rsidR="00A776F9" w:rsidRPr="000444AC" w:rsidRDefault="001C7777" w:rsidP="00FB09A5">
      <w:pPr>
        <w:ind w:left="720" w:firstLine="720"/>
        <w:rPr>
          <w:rFonts w:ascii="Times New Roman" w:hAnsi="Times New Roman" w:cs="Times New Roman"/>
          <w:b/>
        </w:rPr>
      </w:pPr>
      <w:r w:rsidRPr="000444AC">
        <w:rPr>
          <w:rFonts w:ascii="Times New Roman" w:hAnsi="Times New Roman" w:cs="Times New Roman"/>
          <w:b/>
        </w:rPr>
        <w:t>2</w:t>
      </w:r>
      <w:r w:rsidR="00A776F9" w:rsidRPr="000444AC">
        <w:rPr>
          <w:rFonts w:ascii="Times New Roman" w:hAnsi="Times New Roman" w:cs="Times New Roman"/>
          <w:b/>
        </w:rPr>
        <w:t>. Cargill</w:t>
      </w:r>
    </w:p>
    <w:p w:rsidR="00A776F9" w:rsidRPr="000444AC" w:rsidRDefault="00A776F9" w:rsidP="00A776F9">
      <w:pPr>
        <w:ind w:firstLine="720"/>
        <w:rPr>
          <w:rFonts w:ascii="Times New Roman" w:hAnsi="Times New Roman" w:cs="Times New Roman"/>
          <w:b/>
        </w:rPr>
      </w:pPr>
    </w:p>
    <w:p w:rsidR="007A34B5" w:rsidRPr="000444AC" w:rsidRDefault="00A776F9" w:rsidP="00FB09A5">
      <w:pPr>
        <w:pStyle w:val="xmsonormal"/>
        <w:shd w:val="clear" w:color="auto" w:fill="FFFFFF"/>
        <w:spacing w:before="0" w:beforeAutospacing="0" w:after="0" w:afterAutospacing="0"/>
        <w:ind w:firstLine="720"/>
        <w:rPr>
          <w:color w:val="000000"/>
        </w:rPr>
      </w:pPr>
      <w:r w:rsidRPr="000444AC">
        <w:t xml:space="preserve">In the second predatory pricing case of 1986, </w:t>
      </w:r>
      <w:r w:rsidR="007A34B5" w:rsidRPr="000444AC">
        <w:rPr>
          <w:i/>
          <w:color w:val="000000"/>
        </w:rPr>
        <w:t xml:space="preserve">Cargill, Inc. v. </w:t>
      </w:r>
      <w:proofErr w:type="spellStart"/>
      <w:r w:rsidR="007A34B5" w:rsidRPr="000444AC">
        <w:rPr>
          <w:i/>
          <w:color w:val="000000"/>
        </w:rPr>
        <w:t>Monfort</w:t>
      </w:r>
      <w:proofErr w:type="spellEnd"/>
      <w:r w:rsidR="007A34B5" w:rsidRPr="000444AC">
        <w:rPr>
          <w:i/>
          <w:color w:val="000000"/>
        </w:rPr>
        <w:t xml:space="preserve"> of Colorado, Inc</w:t>
      </w:r>
      <w:r w:rsidR="007A34B5" w:rsidRPr="000444AC">
        <w:rPr>
          <w:color w:val="000000"/>
        </w:rPr>
        <w:t>.,</w:t>
      </w:r>
      <w:r w:rsidR="007A34B5" w:rsidRPr="000444AC">
        <w:rPr>
          <w:rStyle w:val="a4"/>
          <w:rFonts w:eastAsiaTheme="minorEastAsia"/>
          <w:color w:val="000000"/>
        </w:rPr>
        <w:footnoteReference w:id="44"/>
      </w:r>
      <w:r w:rsidR="007A34B5" w:rsidRPr="000444AC">
        <w:rPr>
          <w:color w:val="000000"/>
        </w:rPr>
        <w:t xml:space="preserve"> the nation’s fifth largest beef backer sought to enjoin a merger between the second and third largest firms in the market. The plaintiff argued that the merged parties would engage in a “price-cost squeeze” that would cause the plaintiff to lose profits.</w:t>
      </w:r>
      <w:r w:rsidR="007A34B5" w:rsidRPr="000444AC">
        <w:rPr>
          <w:rStyle w:val="a4"/>
          <w:rFonts w:eastAsiaTheme="minorEastAsia"/>
          <w:color w:val="000000"/>
        </w:rPr>
        <w:footnoteReference w:id="45"/>
      </w:r>
      <w:r w:rsidR="007A34B5" w:rsidRPr="000444AC">
        <w:rPr>
          <w:color w:val="000000"/>
        </w:rPr>
        <w:t xml:space="preserve"> The Supreme Court invoked </w:t>
      </w:r>
      <w:r w:rsidR="007A34B5" w:rsidRPr="000444AC">
        <w:rPr>
          <w:i/>
          <w:color w:val="000000"/>
        </w:rPr>
        <w:t>Brunswick</w:t>
      </w:r>
      <w:r w:rsidR="007A34B5" w:rsidRPr="000444AC">
        <w:rPr>
          <w:color w:val="000000"/>
        </w:rPr>
        <w:t xml:space="preserve"> for the proposition that losses caused by an increase in competition do not constitute antitrust injury and, thus, cannot be the basis for an antitrust claim.</w:t>
      </w:r>
      <w:r w:rsidR="007A34B5" w:rsidRPr="000444AC">
        <w:rPr>
          <w:rStyle w:val="a4"/>
          <w:rFonts w:eastAsiaTheme="minorEastAsia"/>
          <w:color w:val="000000"/>
        </w:rPr>
        <w:footnoteReference w:id="46"/>
      </w:r>
      <w:r w:rsidR="007A34B5" w:rsidRPr="000444AC">
        <w:rPr>
          <w:color w:val="000000"/>
        </w:rPr>
        <w:t xml:space="preserve">  The Court rejected the notion that the merged parties could impose antitrust injury by charging low – but above-cost – prices, even if a more efficient merged entity could gain market share at the expense of less efficient rivals. The Court worried that “[t]o hold that the antitrust laws protect competitors from the loss of profits due to such price competition would, in effect, render illegal any decision by a firm to cut prices in order to increase market share. The antitrust laws require no such perverse result…”</w:t>
      </w:r>
      <w:r w:rsidR="007A34B5" w:rsidRPr="000444AC">
        <w:rPr>
          <w:rStyle w:val="a4"/>
          <w:rFonts w:eastAsiaTheme="minorEastAsia"/>
          <w:color w:val="000000"/>
        </w:rPr>
        <w:footnoteReference w:id="47"/>
      </w:r>
      <w:r w:rsidR="007A34B5" w:rsidRPr="000444AC">
        <w:rPr>
          <w:color w:val="000000"/>
        </w:rPr>
        <w:t xml:space="preserve"> </w:t>
      </w:r>
    </w:p>
    <w:p w:rsidR="007A34B5" w:rsidRPr="000444AC" w:rsidRDefault="007A34B5" w:rsidP="007A34B5">
      <w:pPr>
        <w:pStyle w:val="xmsonormal"/>
        <w:shd w:val="clear" w:color="auto" w:fill="FFFFFF"/>
        <w:spacing w:before="0" w:beforeAutospacing="0" w:after="0" w:afterAutospacing="0"/>
        <w:textAlignment w:val="baseline"/>
        <w:rPr>
          <w:color w:val="000000"/>
        </w:rPr>
      </w:pPr>
      <w:r w:rsidRPr="000444AC">
        <w:rPr>
          <w:color w:val="000000"/>
        </w:rPr>
        <w:t> </w:t>
      </w:r>
    </w:p>
    <w:p w:rsidR="007A34B5" w:rsidRPr="000444AC" w:rsidRDefault="007A34B5" w:rsidP="007A34B5">
      <w:pPr>
        <w:pStyle w:val="xmsonormal"/>
        <w:shd w:val="clear" w:color="auto" w:fill="FFFFFF"/>
        <w:spacing w:before="0" w:beforeAutospacing="0" w:after="0" w:afterAutospacing="0"/>
        <w:textAlignment w:val="baseline"/>
        <w:rPr>
          <w:color w:val="000000"/>
        </w:rPr>
      </w:pPr>
      <w:r w:rsidRPr="000444AC">
        <w:rPr>
          <w:color w:val="000000"/>
        </w:rPr>
        <w:lastRenderedPageBreak/>
        <w:tab/>
        <w:t xml:space="preserve">The </w:t>
      </w:r>
      <w:r w:rsidRPr="000444AC">
        <w:rPr>
          <w:i/>
          <w:color w:val="000000"/>
        </w:rPr>
        <w:t>Cargill</w:t>
      </w:r>
      <w:r w:rsidRPr="000444AC">
        <w:rPr>
          <w:color w:val="000000"/>
        </w:rPr>
        <w:t xml:space="preserve"> Court then ventured into a discussion of predatory pricing. The Court suggested that the proposed merger could demonstrate antitrust injury if it could show that it was threatened with removal from the market because the merged entity would engage in predatory pricing, which the court described as “a practice that harms both competitors </w:t>
      </w:r>
      <w:r w:rsidRPr="000444AC">
        <w:rPr>
          <w:i/>
          <w:color w:val="000000"/>
        </w:rPr>
        <w:t>and</w:t>
      </w:r>
      <w:r w:rsidRPr="000444AC">
        <w:rPr>
          <w:color w:val="000000"/>
        </w:rPr>
        <w:t xml:space="preserve"> competition.”</w:t>
      </w:r>
      <w:r w:rsidRPr="000444AC">
        <w:rPr>
          <w:rStyle w:val="a4"/>
          <w:rFonts w:eastAsiaTheme="minorEastAsia"/>
          <w:color w:val="000000"/>
        </w:rPr>
        <w:footnoteReference w:id="48"/>
      </w:r>
      <w:r w:rsidRPr="000444AC">
        <w:rPr>
          <w:color w:val="000000"/>
        </w:rPr>
        <w:t xml:space="preserve"> The </w:t>
      </w:r>
      <w:r w:rsidRPr="000444AC">
        <w:rPr>
          <w:i/>
          <w:color w:val="000000"/>
        </w:rPr>
        <w:t>Cargill</w:t>
      </w:r>
      <w:r w:rsidRPr="000444AC">
        <w:rPr>
          <w:color w:val="000000"/>
        </w:rPr>
        <w:t xml:space="preserve"> majority, however, concluded that the plaintiff had not properly raised a predatory pricing claim before the district court.</w:t>
      </w:r>
      <w:r w:rsidRPr="000444AC">
        <w:rPr>
          <w:rStyle w:val="a4"/>
          <w:rFonts w:eastAsiaTheme="minorEastAsia"/>
          <w:color w:val="000000"/>
        </w:rPr>
        <w:footnoteReference w:id="49"/>
      </w:r>
      <w:r w:rsidRPr="000444AC">
        <w:rPr>
          <w:color w:val="000000"/>
        </w:rPr>
        <w:t xml:space="preserve"> Nonetheless, the Court added in a footnote that even if the plaintiff had adequately pled predatory pricing, the majority Justices were doubtful the claim could succeed because the plaintiff did not present facts showing that the defendant had the ability to absorb its rivals’ market shares nor sufficiently high barriers to entry.</w:t>
      </w:r>
      <w:r w:rsidRPr="000444AC">
        <w:rPr>
          <w:rStyle w:val="a4"/>
          <w:rFonts w:eastAsiaTheme="minorEastAsia"/>
          <w:color w:val="000000"/>
        </w:rPr>
        <w:footnoteReference w:id="50"/>
      </w:r>
      <w:r w:rsidRPr="000444AC">
        <w:rPr>
          <w:color w:val="000000"/>
        </w:rPr>
        <w:t xml:space="preserve"> </w:t>
      </w:r>
    </w:p>
    <w:p w:rsidR="007A34B5" w:rsidRPr="000444AC" w:rsidRDefault="007A34B5" w:rsidP="007A34B5">
      <w:pPr>
        <w:pStyle w:val="xmsonormal"/>
        <w:shd w:val="clear" w:color="auto" w:fill="FFFFFF"/>
        <w:spacing w:before="0" w:beforeAutospacing="0" w:after="0" w:afterAutospacing="0"/>
        <w:textAlignment w:val="baseline"/>
        <w:rPr>
          <w:color w:val="000000"/>
        </w:rPr>
      </w:pPr>
      <w:r w:rsidRPr="000444AC">
        <w:rPr>
          <w:color w:val="000000"/>
        </w:rPr>
        <w:t> </w:t>
      </w:r>
    </w:p>
    <w:p w:rsidR="007A34B5" w:rsidRPr="000444AC" w:rsidRDefault="007A34B5" w:rsidP="007A34B5">
      <w:pPr>
        <w:pStyle w:val="xmsonormal"/>
        <w:shd w:val="clear" w:color="auto" w:fill="FFFFFF"/>
        <w:spacing w:before="0" w:beforeAutospacing="0" w:after="0" w:afterAutospacing="0"/>
        <w:textAlignment w:val="baseline"/>
        <w:rPr>
          <w:color w:val="000000"/>
        </w:rPr>
      </w:pPr>
      <w:r w:rsidRPr="000444AC">
        <w:rPr>
          <w:color w:val="000000"/>
        </w:rPr>
        <w:tab/>
        <w:t xml:space="preserve">At this point, the Cargill opinion seemed to simultaneously embrace and back away from some of the key language and assertions in </w:t>
      </w:r>
      <w:r w:rsidRPr="000444AC">
        <w:rPr>
          <w:i/>
          <w:color w:val="000000"/>
        </w:rPr>
        <w:t>Matsushita</w:t>
      </w:r>
      <w:r w:rsidRPr="000444AC">
        <w:rPr>
          <w:color w:val="000000"/>
        </w:rPr>
        <w:t>. For example, after rejecting the plaintiff’s particular predatory pricing theory, the Court went on to describe “predatory pricing is an anticompetitive practice forbidden by the antitrust laws. While firms may engage in the practice only infrequently, there is ample evidence suggesting that the practice does occur.”</w:t>
      </w:r>
      <w:r w:rsidRPr="000444AC">
        <w:rPr>
          <w:rStyle w:val="a4"/>
          <w:rFonts w:eastAsiaTheme="minorEastAsia"/>
          <w:color w:val="000000"/>
        </w:rPr>
        <w:footnoteReference w:id="51"/>
      </w:r>
      <w:r w:rsidRPr="000444AC">
        <w:rPr>
          <w:color w:val="000000"/>
        </w:rPr>
        <w:t xml:space="preserve"> While noting that there were obstacles to successful price predation, the </w:t>
      </w:r>
      <w:r w:rsidRPr="000444AC">
        <w:rPr>
          <w:i/>
          <w:color w:val="000000"/>
        </w:rPr>
        <w:t>Cargill</w:t>
      </w:r>
      <w:r w:rsidRPr="000444AC">
        <w:rPr>
          <w:color w:val="000000"/>
        </w:rPr>
        <w:t xml:space="preserve"> majority nonetheless acknowledged that there was no consensus on the wisdom of predatory pricing, noting that “the commentators disagree as to whether it is ever rational for a firm to engage in such conduct…”</w:t>
      </w:r>
      <w:r w:rsidRPr="000444AC">
        <w:rPr>
          <w:rStyle w:val="a4"/>
          <w:rFonts w:eastAsiaTheme="minorEastAsia"/>
          <w:color w:val="000000"/>
        </w:rPr>
        <w:footnoteReference w:id="52"/>
      </w:r>
      <w:r w:rsidRPr="000444AC">
        <w:rPr>
          <w:color w:val="000000"/>
        </w:rPr>
        <w:t xml:space="preserve"> After seeming to distance itself from </w:t>
      </w:r>
      <w:r w:rsidRPr="000444AC">
        <w:rPr>
          <w:i/>
          <w:color w:val="000000"/>
        </w:rPr>
        <w:t>Matsushita</w:t>
      </w:r>
      <w:r w:rsidRPr="000444AC">
        <w:rPr>
          <w:color w:val="000000"/>
        </w:rPr>
        <w:t xml:space="preserve">’s claim of academic unanimity regarding predatory pricing, the </w:t>
      </w:r>
      <w:r w:rsidRPr="000444AC">
        <w:rPr>
          <w:i/>
          <w:color w:val="000000"/>
        </w:rPr>
        <w:t>Cargill</w:t>
      </w:r>
      <w:r w:rsidRPr="000444AC">
        <w:rPr>
          <w:color w:val="000000"/>
        </w:rPr>
        <w:t xml:space="preserve"> Court went on to quote </w:t>
      </w:r>
      <w:r w:rsidRPr="000444AC">
        <w:rPr>
          <w:i/>
          <w:color w:val="000000"/>
        </w:rPr>
        <w:t>Matsushita</w:t>
      </w:r>
      <w:r w:rsidRPr="000444AC">
        <w:rPr>
          <w:color w:val="000000"/>
        </w:rPr>
        <w:t>’s assertion that “predatory pricing schemes are rarely tried, and even more rarely successful,”</w:t>
      </w:r>
      <w:r w:rsidRPr="000444AC">
        <w:rPr>
          <w:rStyle w:val="a4"/>
          <w:rFonts w:eastAsiaTheme="minorEastAsia"/>
          <w:color w:val="000000"/>
        </w:rPr>
        <w:footnoteReference w:id="53"/>
      </w:r>
      <w:r w:rsidRPr="000444AC">
        <w:rPr>
          <w:color w:val="000000"/>
        </w:rPr>
        <w:t xml:space="preserve"> albeit without the prefatory language that there was a consensus on these points. </w:t>
      </w:r>
    </w:p>
    <w:p w:rsidR="007A34B5" w:rsidRPr="000444AC" w:rsidRDefault="007A34B5" w:rsidP="007A34B5">
      <w:pPr>
        <w:pStyle w:val="xmsonormal"/>
        <w:shd w:val="clear" w:color="auto" w:fill="FFFFFF"/>
        <w:spacing w:before="0" w:beforeAutospacing="0" w:after="0" w:afterAutospacing="0"/>
        <w:textAlignment w:val="baseline"/>
        <w:rPr>
          <w:color w:val="000000"/>
        </w:rPr>
      </w:pPr>
    </w:p>
    <w:p w:rsidR="00A776F9" w:rsidRPr="000444AC" w:rsidRDefault="007A34B5" w:rsidP="007A34B5">
      <w:pPr>
        <w:widowControl w:val="0"/>
        <w:autoSpaceDE w:val="0"/>
        <w:autoSpaceDN w:val="0"/>
        <w:adjustRightInd w:val="0"/>
        <w:ind w:firstLine="720"/>
        <w:rPr>
          <w:rFonts w:ascii="Times New Roman" w:hAnsi="Times New Roman" w:cs="Times New Roman"/>
        </w:rPr>
      </w:pPr>
      <w:r w:rsidRPr="000444AC">
        <w:rPr>
          <w:rFonts w:ascii="Times New Roman" w:hAnsi="Times New Roman" w:cs="Times New Roman"/>
          <w:color w:val="000000"/>
        </w:rPr>
        <w:t>Finally, the Court concluded that even if predatory pricing is rare, it should still be condemned, noting that “[</w:t>
      </w:r>
      <w:proofErr w:type="spellStart"/>
      <w:r w:rsidRPr="000444AC">
        <w:rPr>
          <w:rFonts w:ascii="Times New Roman" w:hAnsi="Times New Roman" w:cs="Times New Roman"/>
          <w:color w:val="000000"/>
        </w:rPr>
        <w:t>i</w:t>
      </w:r>
      <w:proofErr w:type="spellEnd"/>
      <w:r w:rsidRPr="000444AC">
        <w:rPr>
          <w:rFonts w:ascii="Times New Roman" w:hAnsi="Times New Roman" w:cs="Times New Roman"/>
          <w:color w:val="000000"/>
        </w:rPr>
        <w:t>]t would be novel indeed for a court to deny standing to a party seeking an injunction against threatened injury merely because such injuries rarely occur.”</w:t>
      </w:r>
      <w:r w:rsidRPr="000444AC">
        <w:rPr>
          <w:rStyle w:val="a4"/>
          <w:rFonts w:ascii="Times New Roman" w:hAnsi="Times New Roman" w:cs="Times New Roman"/>
          <w:color w:val="000000"/>
        </w:rPr>
        <w:footnoteReference w:id="54"/>
      </w:r>
      <w:r w:rsidRPr="000444AC">
        <w:rPr>
          <w:rFonts w:ascii="Times New Roman" w:hAnsi="Times New Roman" w:cs="Times New Roman"/>
          <w:color w:val="000000"/>
        </w:rPr>
        <w:t>  And, again, the Court repeated its concern that the early stage of predatory pricing resembles price competition, which should not be condemned.</w:t>
      </w:r>
      <w:r w:rsidRPr="000444AC">
        <w:rPr>
          <w:rStyle w:val="a4"/>
          <w:rFonts w:ascii="Times New Roman" w:hAnsi="Times New Roman" w:cs="Times New Roman"/>
          <w:color w:val="000000"/>
        </w:rPr>
        <w:footnoteReference w:id="55"/>
      </w:r>
      <w:r w:rsidRPr="000444AC">
        <w:rPr>
          <w:rFonts w:ascii="Times New Roman" w:hAnsi="Times New Roman" w:cs="Times New Roman"/>
          <w:color w:val="000000"/>
        </w:rPr>
        <w:t xml:space="preserve"> </w:t>
      </w:r>
    </w:p>
    <w:p w:rsidR="00A776F9" w:rsidRPr="000444AC" w:rsidRDefault="00A776F9" w:rsidP="00154EF9">
      <w:pPr>
        <w:rPr>
          <w:rFonts w:ascii="Times New Roman" w:hAnsi="Times New Roman" w:cs="Times New Roman"/>
          <w:b/>
        </w:rPr>
      </w:pPr>
    </w:p>
    <w:p w:rsidR="00154EF9" w:rsidRPr="000444AC" w:rsidRDefault="00FB09A5" w:rsidP="00154EF9">
      <w:pPr>
        <w:rPr>
          <w:rFonts w:ascii="Times New Roman" w:hAnsi="Times New Roman" w:cs="Times New Roman"/>
        </w:rPr>
      </w:pPr>
      <w:r w:rsidRPr="000444AC">
        <w:rPr>
          <w:rFonts w:ascii="Times New Roman" w:hAnsi="Times New Roman" w:cs="Times New Roman"/>
          <w:b/>
        </w:rPr>
        <w:tab/>
      </w:r>
      <w:r w:rsidRPr="000444AC">
        <w:rPr>
          <w:rFonts w:ascii="Times New Roman" w:hAnsi="Times New Roman" w:cs="Times New Roman"/>
          <w:b/>
        </w:rPr>
        <w:tab/>
        <w:t>3</w:t>
      </w:r>
      <w:r w:rsidR="00154EF9" w:rsidRPr="000444AC">
        <w:rPr>
          <w:rFonts w:ascii="Times New Roman" w:hAnsi="Times New Roman" w:cs="Times New Roman"/>
          <w:b/>
        </w:rPr>
        <w:t>. Brooke Group</w:t>
      </w:r>
    </w:p>
    <w:p w:rsidR="001C7777" w:rsidRPr="000444AC" w:rsidRDefault="001C7777" w:rsidP="00154EF9">
      <w:pPr>
        <w:rPr>
          <w:rFonts w:ascii="Times New Roman" w:hAnsi="Times New Roman" w:cs="Times New Roman"/>
        </w:rPr>
      </w:pPr>
    </w:p>
    <w:p w:rsidR="001C7777" w:rsidRPr="000444AC" w:rsidRDefault="00625B93" w:rsidP="00625B93">
      <w:pPr>
        <w:widowControl w:val="0"/>
        <w:autoSpaceDE w:val="0"/>
        <w:autoSpaceDN w:val="0"/>
        <w:adjustRightInd w:val="0"/>
        <w:ind w:firstLine="720"/>
        <w:rPr>
          <w:rFonts w:ascii="Times New Roman" w:hAnsi="Times New Roman" w:cs="Times New Roman"/>
        </w:rPr>
      </w:pPr>
      <w:r w:rsidRPr="000444AC">
        <w:rPr>
          <w:rFonts w:ascii="Times New Roman" w:hAnsi="Times New Roman" w:cs="Times New Roman"/>
        </w:rPr>
        <w:t>The Supreme Court revisited the issue of predatory pricing in a different context in</w:t>
      </w:r>
      <w:r w:rsidR="0033446C" w:rsidRPr="000444AC">
        <w:rPr>
          <w:rFonts w:ascii="Times New Roman" w:hAnsi="Times New Roman" w:cs="Times New Roman"/>
        </w:rPr>
        <w:t xml:space="preserve"> </w:t>
      </w:r>
      <w:r w:rsidR="001C7777" w:rsidRPr="000444AC">
        <w:rPr>
          <w:rFonts w:ascii="Times New Roman" w:hAnsi="Times New Roman" w:cs="Times New Roman"/>
          <w:i/>
        </w:rPr>
        <w:t>Brooke Group v. Brown &amp; Williamson Tobacco Corp</w:t>
      </w:r>
      <w:r w:rsidR="001C7777" w:rsidRPr="000444AC">
        <w:rPr>
          <w:rFonts w:ascii="Times New Roman" w:hAnsi="Times New Roman" w:cs="Times New Roman"/>
        </w:rPr>
        <w:t>.</w:t>
      </w:r>
      <w:r w:rsidR="001C7777" w:rsidRPr="000444AC">
        <w:rPr>
          <w:rStyle w:val="a4"/>
          <w:rFonts w:ascii="Times New Roman" w:hAnsi="Times New Roman" w:cs="Times New Roman"/>
        </w:rPr>
        <w:footnoteReference w:id="56"/>
      </w:r>
      <w:r w:rsidR="0033446C" w:rsidRPr="000444AC">
        <w:rPr>
          <w:rFonts w:ascii="Times New Roman" w:hAnsi="Times New Roman" w:cs="Times New Roman"/>
        </w:rPr>
        <w:t xml:space="preserve"> </w:t>
      </w:r>
      <w:r w:rsidR="001C7777" w:rsidRPr="000444AC">
        <w:rPr>
          <w:rFonts w:ascii="Times New Roman" w:hAnsi="Times New Roman" w:cs="Times New Roman"/>
        </w:rPr>
        <w:t xml:space="preserve"> To expand its tobacco sales, Liggett began selling low-priced generic cigarettes, which proved quite popular and diverted sales from the branded-cigarette market. To diminish the competitive threat posed by generic cigarettes, Brown &amp; Williamson – which had been losing considerable sales in branded cigarettes – entered </w:t>
      </w:r>
      <w:r w:rsidR="001C7777" w:rsidRPr="000444AC">
        <w:rPr>
          <w:rFonts w:ascii="Times New Roman" w:hAnsi="Times New Roman" w:cs="Times New Roman"/>
        </w:rPr>
        <w:lastRenderedPageBreak/>
        <w:t>the generic cigarette</w:t>
      </w:r>
      <w:r w:rsidR="00B92A19" w:rsidRPr="000444AC">
        <w:rPr>
          <w:rFonts w:ascii="Times New Roman" w:hAnsi="Times New Roman" w:cs="Times New Roman"/>
        </w:rPr>
        <w:t xml:space="preserve"> market</w:t>
      </w:r>
      <w:r w:rsidR="001C7777" w:rsidRPr="000444AC">
        <w:rPr>
          <w:rFonts w:ascii="Times New Roman" w:hAnsi="Times New Roman" w:cs="Times New Roman"/>
        </w:rPr>
        <w:t xml:space="preserve"> while charging predatorily low prices. Its goal was not to monopolize the market for generic cigarettes, but to pressure Liggett to raise the price of its generic cigarettes so that generic cigarettes did not so effectively price discipline branded cigarettes.</w:t>
      </w:r>
      <w:r w:rsidR="001C7777" w:rsidRPr="000444AC">
        <w:rPr>
          <w:rStyle w:val="a4"/>
          <w:rFonts w:ascii="Times New Roman" w:hAnsi="Times New Roman" w:cs="Times New Roman"/>
        </w:rPr>
        <w:footnoteReference w:id="57"/>
      </w:r>
      <w:r w:rsidR="0033446C" w:rsidRPr="000444AC">
        <w:rPr>
          <w:rFonts w:ascii="Times New Roman" w:hAnsi="Times New Roman" w:cs="Times New Roman"/>
        </w:rPr>
        <w:t xml:space="preserve"> </w:t>
      </w:r>
      <w:r w:rsidR="001C7777" w:rsidRPr="000444AC">
        <w:rPr>
          <w:rFonts w:ascii="Times New Roman" w:hAnsi="Times New Roman" w:cs="Times New Roman"/>
        </w:rPr>
        <w:t xml:space="preserve">Liggett argued that B&amp;W would recoup its losses in the generic cigarette market through oligopoly pricing in the branded cigarette market, which would occur after Liggett raised the price of generic cigarettes and the threat of low-priced generic cigarettes stopped putting a damper on price increases in the branded-cigarettes market. </w:t>
      </w:r>
    </w:p>
    <w:p w:rsidR="00625B93" w:rsidRPr="000444AC" w:rsidRDefault="00625B93" w:rsidP="00625B93">
      <w:pPr>
        <w:widowControl w:val="0"/>
        <w:autoSpaceDE w:val="0"/>
        <w:autoSpaceDN w:val="0"/>
        <w:adjustRightInd w:val="0"/>
        <w:ind w:firstLine="720"/>
        <w:rPr>
          <w:rFonts w:ascii="Times New Roman" w:hAnsi="Times New Roman" w:cs="Times New Roman"/>
        </w:rPr>
      </w:pPr>
    </w:p>
    <w:p w:rsidR="001C7777" w:rsidRPr="000444AC" w:rsidRDefault="00625B93" w:rsidP="00625B93">
      <w:pPr>
        <w:widowControl w:val="0"/>
        <w:autoSpaceDE w:val="0"/>
        <w:autoSpaceDN w:val="0"/>
        <w:adjustRightInd w:val="0"/>
        <w:ind w:firstLine="720"/>
        <w:rPr>
          <w:rFonts w:ascii="Times New Roman" w:hAnsi="Times New Roman" w:cs="Times New Roman"/>
        </w:rPr>
      </w:pPr>
      <w:r w:rsidRPr="000444AC">
        <w:rPr>
          <w:rFonts w:ascii="Times New Roman" w:hAnsi="Times New Roman" w:cs="Times New Roman"/>
        </w:rPr>
        <w:t xml:space="preserve">Liggett sued B&amp;W for violating the Robinson-Patman Act, but the Supreme Court essentially treated the litigation as a Section 2 predatory pricing case. </w:t>
      </w:r>
      <w:r w:rsidR="001C7777" w:rsidRPr="000444AC">
        <w:rPr>
          <w:rFonts w:ascii="Times New Roman" w:hAnsi="Times New Roman" w:cs="Times New Roman"/>
        </w:rPr>
        <w:t xml:space="preserve">The </w:t>
      </w:r>
      <w:r w:rsidR="001C7777" w:rsidRPr="000444AC">
        <w:rPr>
          <w:rFonts w:ascii="Times New Roman" w:hAnsi="Times New Roman" w:cs="Times New Roman"/>
          <w:i/>
        </w:rPr>
        <w:t>Brooke Group</w:t>
      </w:r>
      <w:r w:rsidR="001C7777" w:rsidRPr="000444AC">
        <w:rPr>
          <w:rFonts w:ascii="Times New Roman" w:hAnsi="Times New Roman" w:cs="Times New Roman"/>
        </w:rPr>
        <w:t xml:space="preserve"> </w:t>
      </w:r>
      <w:r w:rsidRPr="000444AC">
        <w:rPr>
          <w:rFonts w:ascii="Times New Roman" w:hAnsi="Times New Roman" w:cs="Times New Roman"/>
        </w:rPr>
        <w:t xml:space="preserve">majority </w:t>
      </w:r>
      <w:r w:rsidR="001C7777" w:rsidRPr="000444AC">
        <w:rPr>
          <w:rFonts w:ascii="Times New Roman" w:hAnsi="Times New Roman" w:cs="Times New Roman"/>
        </w:rPr>
        <w:t xml:space="preserve">conflated the two </w:t>
      </w:r>
      <w:r w:rsidRPr="000444AC">
        <w:rPr>
          <w:rFonts w:ascii="Times New Roman" w:hAnsi="Times New Roman" w:cs="Times New Roman"/>
        </w:rPr>
        <w:t xml:space="preserve">statutes </w:t>
      </w:r>
      <w:r w:rsidR="001C7777" w:rsidRPr="000444AC">
        <w:rPr>
          <w:rFonts w:ascii="Times New Roman" w:hAnsi="Times New Roman" w:cs="Times New Roman"/>
        </w:rPr>
        <w:t>because “the essence of the claim under either statute is the same: A business rival has priced its products in an unfair manner with an object to eliminate or retard competition and thereby gain and exercise control over prices in the relevant market.”</w:t>
      </w:r>
      <w:r w:rsidR="001C7777" w:rsidRPr="000444AC">
        <w:rPr>
          <w:rStyle w:val="a4"/>
          <w:rFonts w:ascii="Times New Roman" w:hAnsi="Times New Roman" w:cs="Times New Roman"/>
        </w:rPr>
        <w:footnoteReference w:id="58"/>
      </w:r>
      <w:r w:rsidR="001C7777" w:rsidRPr="000444AC">
        <w:rPr>
          <w:rFonts w:ascii="Times New Roman" w:hAnsi="Times New Roman" w:cs="Times New Roman"/>
        </w:rPr>
        <w:t xml:space="preserve"> The Supreme Court imposed the same two elements for both statutes: (1) a price below cost, and (2) a reasonable probability of recoupment. To satisfy the recoupment requirement, the </w:t>
      </w:r>
      <w:r w:rsidR="001C7777" w:rsidRPr="000444AC">
        <w:rPr>
          <w:rFonts w:ascii="Times New Roman" w:hAnsi="Times New Roman" w:cs="Times New Roman"/>
          <w:i/>
        </w:rPr>
        <w:t>Brooke Group</w:t>
      </w:r>
      <w:r w:rsidR="001C7777" w:rsidRPr="000444AC">
        <w:rPr>
          <w:rFonts w:ascii="Times New Roman" w:hAnsi="Times New Roman" w:cs="Times New Roman"/>
        </w:rPr>
        <w:t xml:space="preserve"> majority opined that the plaintiff must be able to show that the defendant could both drive its rivals from the market through below-cost pricing and then charge a supra-competitive price long enough to recoup its investment. This second component of the recoupment requires the plaintiff show that it is unlikely that other firms will enter – or reenter – the market in response to the predator charging a </w:t>
      </w:r>
      <w:proofErr w:type="spellStart"/>
      <w:r w:rsidR="001C7777" w:rsidRPr="000444AC">
        <w:rPr>
          <w:rFonts w:ascii="Times New Roman" w:hAnsi="Times New Roman" w:cs="Times New Roman"/>
        </w:rPr>
        <w:t>supracompetitive</w:t>
      </w:r>
      <w:proofErr w:type="spellEnd"/>
      <w:r w:rsidR="001C7777" w:rsidRPr="000444AC">
        <w:rPr>
          <w:rFonts w:ascii="Times New Roman" w:hAnsi="Times New Roman" w:cs="Times New Roman"/>
        </w:rPr>
        <w:t xml:space="preserve"> price. </w:t>
      </w:r>
    </w:p>
    <w:p w:rsidR="00625B93" w:rsidRPr="000444AC" w:rsidRDefault="00625B93" w:rsidP="001C7777">
      <w:pPr>
        <w:rPr>
          <w:rFonts w:ascii="Times New Roman" w:hAnsi="Times New Roman" w:cs="Times New Roman"/>
        </w:rPr>
      </w:pPr>
    </w:p>
    <w:p w:rsidR="001C7777" w:rsidRPr="000444AC" w:rsidRDefault="00625B93" w:rsidP="00625B93">
      <w:pPr>
        <w:ind w:firstLine="720"/>
        <w:rPr>
          <w:rFonts w:ascii="Times New Roman" w:hAnsi="Times New Roman" w:cs="Times New Roman"/>
        </w:rPr>
      </w:pPr>
      <w:r w:rsidRPr="000444AC">
        <w:rPr>
          <w:rFonts w:ascii="Times New Roman" w:hAnsi="Times New Roman" w:cs="Times New Roman"/>
        </w:rPr>
        <w:t>This recoupment requirement represented a seismic shift in antitrust jurisprudence. P</w:t>
      </w:r>
      <w:r w:rsidR="001C7777" w:rsidRPr="000444AC">
        <w:rPr>
          <w:rFonts w:ascii="Times New Roman" w:hAnsi="Times New Roman" w:cs="Times New Roman"/>
        </w:rPr>
        <w:t>redatory pricing plaintiffs</w:t>
      </w:r>
      <w:r w:rsidRPr="000444AC">
        <w:rPr>
          <w:rFonts w:ascii="Times New Roman" w:hAnsi="Times New Roman" w:cs="Times New Roman"/>
        </w:rPr>
        <w:t xml:space="preserve"> now</w:t>
      </w:r>
      <w:r w:rsidR="001C7777" w:rsidRPr="000444AC">
        <w:rPr>
          <w:rFonts w:ascii="Times New Roman" w:hAnsi="Times New Roman" w:cs="Times New Roman"/>
        </w:rPr>
        <w:t xml:space="preserve"> faced a unique burden – it was not sufficient to prove that a monopolist acquired or maintained its monopoly power through anticompetitive conduct, not on the merits;</w:t>
      </w:r>
      <w:r w:rsidRPr="000444AC">
        <w:rPr>
          <w:rFonts w:ascii="Times New Roman" w:hAnsi="Times New Roman" w:cs="Times New Roman"/>
        </w:rPr>
        <w:t xml:space="preserve"> predatory pricing </w:t>
      </w:r>
      <w:r w:rsidR="001C7777" w:rsidRPr="000444AC">
        <w:rPr>
          <w:rFonts w:ascii="Times New Roman" w:hAnsi="Times New Roman" w:cs="Times New Roman"/>
        </w:rPr>
        <w:t>plaintiff</w:t>
      </w:r>
      <w:r w:rsidRPr="000444AC">
        <w:rPr>
          <w:rFonts w:ascii="Times New Roman" w:hAnsi="Times New Roman" w:cs="Times New Roman"/>
        </w:rPr>
        <w:t>s</w:t>
      </w:r>
      <w:r w:rsidR="001C7777" w:rsidRPr="000444AC">
        <w:rPr>
          <w:rFonts w:ascii="Times New Roman" w:hAnsi="Times New Roman" w:cs="Times New Roman"/>
        </w:rPr>
        <w:t xml:space="preserve"> now had to also prove that the predator’s scheme was profitable. This new burden made little sense because antitrust law does not give a whit about a monopolist’s profitability;</w:t>
      </w:r>
      <w:r w:rsidRPr="000444AC">
        <w:rPr>
          <w:rStyle w:val="a4"/>
          <w:rFonts w:ascii="Times New Roman" w:hAnsi="Times New Roman" w:cs="Times New Roman"/>
        </w:rPr>
        <w:footnoteReference w:id="59"/>
      </w:r>
      <w:r w:rsidR="001C7777" w:rsidRPr="000444AC">
        <w:rPr>
          <w:rFonts w:ascii="Times New Roman" w:hAnsi="Times New Roman" w:cs="Times New Roman"/>
        </w:rPr>
        <w:t xml:space="preserve"> rather, it cares about monopolists injuring the competitive process and, consequently, consumers.</w:t>
      </w:r>
    </w:p>
    <w:p w:rsidR="00625B93" w:rsidRPr="000444AC" w:rsidRDefault="00625B93" w:rsidP="00C84317">
      <w:pPr>
        <w:rPr>
          <w:rFonts w:ascii="Times New Roman" w:hAnsi="Times New Roman" w:cs="Times New Roman"/>
          <w:b/>
        </w:rPr>
      </w:pPr>
    </w:p>
    <w:p w:rsidR="002F73DD" w:rsidRPr="000444AC" w:rsidRDefault="00C84317" w:rsidP="00625B93">
      <w:pPr>
        <w:ind w:firstLine="720"/>
        <w:rPr>
          <w:rFonts w:ascii="Times New Roman" w:hAnsi="Times New Roman" w:cs="Times New Roman"/>
        </w:rPr>
      </w:pPr>
      <w:r w:rsidRPr="000444AC">
        <w:rPr>
          <w:rFonts w:ascii="Times New Roman" w:hAnsi="Times New Roman" w:cs="Times New Roman"/>
        </w:rPr>
        <w:t>The recoupment requirement is particularly problematic because federal judges often incorrectly conclude that recoupment is unlikely when recoupment is probable or, in many cases, has actually occurred.</w:t>
      </w:r>
      <w:r w:rsidR="0033446C" w:rsidRPr="000444AC">
        <w:rPr>
          <w:rFonts w:ascii="Times New Roman" w:hAnsi="Times New Roman" w:cs="Times New Roman"/>
        </w:rPr>
        <w:t xml:space="preserve"> </w:t>
      </w:r>
      <w:r w:rsidRPr="000444AC">
        <w:rPr>
          <w:rFonts w:ascii="Times New Roman" w:hAnsi="Times New Roman" w:cs="Times New Roman"/>
        </w:rPr>
        <w:t>In some markets, courts have interpreted the recoupment requirement in a fashion that makes it impossible for the plaintiff to prove recoupment even though the defendant has engaged in below-cost pricing and has su</w:t>
      </w:r>
      <w:r w:rsidR="00625B93" w:rsidRPr="000444AC">
        <w:rPr>
          <w:rFonts w:ascii="Times New Roman" w:hAnsi="Times New Roman" w:cs="Times New Roman"/>
        </w:rPr>
        <w:t>bsequently recouped its losses. As such, the recoupment requirement</w:t>
      </w:r>
      <w:r w:rsidR="002F73DD" w:rsidRPr="000444AC">
        <w:rPr>
          <w:rFonts w:ascii="Times New Roman" w:hAnsi="Times New Roman" w:cs="Times New Roman"/>
        </w:rPr>
        <w:t xml:space="preserve"> operates as a nonliability mandate. Professors Areeda and Hovenkamp have explained, “any requirement that a plaintiff actually provide evidence indicating that the monopoly ‘payoff’ will be greater than the predation investment involves undue speculation and becomes a virtual rule of nonliability.”</w:t>
      </w:r>
      <w:r w:rsidR="002F73DD" w:rsidRPr="000444AC">
        <w:rPr>
          <w:rStyle w:val="a4"/>
          <w:rFonts w:ascii="Times New Roman" w:hAnsi="Times New Roman" w:cs="Times New Roman"/>
        </w:rPr>
        <w:footnoteReference w:id="60"/>
      </w:r>
      <w:r w:rsidR="00625B93" w:rsidRPr="000444AC">
        <w:rPr>
          <w:rFonts w:ascii="Times New Roman" w:hAnsi="Times New Roman" w:cs="Times New Roman"/>
        </w:rPr>
        <w:t xml:space="preserve">  The courts’ cramped reading of the recoupment requirement has made it “virtually impossible” for predatory pricing plaintiffs to survive </w:t>
      </w:r>
      <w:r w:rsidR="00625B93" w:rsidRPr="000444AC">
        <w:rPr>
          <w:rFonts w:ascii="Times New Roman" w:hAnsi="Times New Roman" w:cs="Times New Roman"/>
        </w:rPr>
        <w:lastRenderedPageBreak/>
        <w:t>summary judgment.</w:t>
      </w:r>
      <w:bookmarkStart w:id="15" w:name="_Ref335338668"/>
      <w:r w:rsidR="00625B93" w:rsidRPr="000444AC">
        <w:rPr>
          <w:rStyle w:val="a4"/>
          <w:rFonts w:ascii="Times New Roman" w:hAnsi="Times New Roman" w:cs="Times New Roman"/>
        </w:rPr>
        <w:footnoteReference w:id="61"/>
      </w:r>
      <w:bookmarkEnd w:id="15"/>
      <w:r w:rsidR="00625B93" w:rsidRPr="000444AC">
        <w:rPr>
          <w:rFonts w:ascii="Times New Roman" w:hAnsi="Times New Roman" w:cs="Times New Roman"/>
        </w:rPr>
        <w:t xml:space="preserve"> </w:t>
      </w:r>
      <w:r w:rsidR="002F73DD" w:rsidRPr="000444AC">
        <w:rPr>
          <w:rFonts w:ascii="Times New Roman" w:hAnsi="Times New Roman" w:cs="Times New Roman"/>
        </w:rPr>
        <w:t>The recoupment requirement creates false negatives.</w:t>
      </w:r>
      <w:r w:rsidR="002F73DD" w:rsidRPr="000444AC">
        <w:rPr>
          <w:rStyle w:val="a4"/>
          <w:rFonts w:ascii="Times New Roman" w:hAnsi="Times New Roman" w:cs="Times New Roman"/>
        </w:rPr>
        <w:footnoteReference w:id="62"/>
      </w:r>
      <w:r w:rsidR="002F73DD" w:rsidRPr="000444AC">
        <w:rPr>
          <w:rFonts w:ascii="Times New Roman" w:hAnsi="Times New Roman" w:cs="Times New Roman"/>
        </w:rPr>
        <w:t xml:space="preserve"> By making predatory pricing claims virtually impossible to prove, the recoupment requirement rewards, and thus encourages, predatory conduct.</w:t>
      </w:r>
      <w:r w:rsidR="002F73DD" w:rsidRPr="000444AC">
        <w:rPr>
          <w:rStyle w:val="a4"/>
          <w:rFonts w:ascii="Times New Roman" w:hAnsi="Times New Roman" w:cs="Times New Roman"/>
        </w:rPr>
        <w:footnoteReference w:id="63"/>
      </w:r>
      <w:r w:rsidR="002F73DD" w:rsidRPr="000444AC">
        <w:rPr>
          <w:rFonts w:ascii="Times New Roman" w:hAnsi="Times New Roman" w:cs="Times New Roman"/>
        </w:rPr>
        <w:t xml:space="preserve"> </w:t>
      </w:r>
    </w:p>
    <w:p w:rsidR="002F73DD" w:rsidRPr="000444AC" w:rsidRDefault="002F73DD" w:rsidP="00C84317">
      <w:pPr>
        <w:rPr>
          <w:rFonts w:ascii="Times New Roman" w:hAnsi="Times New Roman" w:cs="Times New Roman"/>
        </w:rPr>
      </w:pPr>
    </w:p>
    <w:p w:rsidR="00F76A77" w:rsidRPr="000444AC" w:rsidRDefault="00625B93" w:rsidP="00F76A77">
      <w:pPr>
        <w:rPr>
          <w:rFonts w:ascii="Times New Roman" w:hAnsi="Times New Roman" w:cs="Times New Roman"/>
        </w:rPr>
      </w:pPr>
      <w:r w:rsidRPr="000444AC">
        <w:rPr>
          <w:rFonts w:ascii="Times New Roman" w:hAnsi="Times New Roman" w:cs="Times New Roman"/>
        </w:rPr>
        <w:tab/>
        <w:t xml:space="preserve">Nevertheless, the </w:t>
      </w:r>
      <w:r w:rsidRPr="000444AC">
        <w:rPr>
          <w:rFonts w:ascii="Times New Roman" w:hAnsi="Times New Roman" w:cs="Times New Roman"/>
          <w:i/>
        </w:rPr>
        <w:t>Brooke Group</w:t>
      </w:r>
      <w:r w:rsidRPr="000444AC">
        <w:rPr>
          <w:rFonts w:ascii="Times New Roman" w:hAnsi="Times New Roman" w:cs="Times New Roman"/>
        </w:rPr>
        <w:t xml:space="preserve"> Court rationalized this new too-difficult-to-satisfy element with several justifications. First, the Court reasoned that predatory pricing claims should be particularly difficult to prove because the initial conduct is price cutting, which initially benefits consumers. </w:t>
      </w:r>
      <w:r w:rsidR="00F76A77" w:rsidRPr="000444AC">
        <w:rPr>
          <w:rFonts w:ascii="Times New Roman" w:hAnsi="Times New Roman" w:cs="Times New Roman"/>
        </w:rPr>
        <w:t>The Court justified the recoupment requirement, in particular, because “unsuccessful predation is in general a boon to consumers.”</w:t>
      </w:r>
      <w:r w:rsidR="00F76A77" w:rsidRPr="000444AC">
        <w:rPr>
          <w:rStyle w:val="a4"/>
          <w:rFonts w:ascii="Times New Roman" w:hAnsi="Times New Roman" w:cs="Times New Roman"/>
        </w:rPr>
        <w:footnoteReference w:id="64"/>
      </w:r>
      <w:r w:rsidR="00F76A77" w:rsidRPr="000444AC">
        <w:rPr>
          <w:rFonts w:ascii="Times New Roman" w:hAnsi="Times New Roman" w:cs="Times New Roman"/>
        </w:rPr>
        <w:t xml:space="preserve"> </w:t>
      </w:r>
    </w:p>
    <w:p w:rsidR="00137326" w:rsidRPr="000444AC" w:rsidRDefault="00137326" w:rsidP="00F76A77">
      <w:pPr>
        <w:rPr>
          <w:rFonts w:ascii="Times New Roman" w:hAnsi="Times New Roman" w:cs="Times New Roman"/>
        </w:rPr>
      </w:pPr>
    </w:p>
    <w:p w:rsidR="009F3209" w:rsidRPr="000444AC" w:rsidRDefault="00F76A77" w:rsidP="009F3209">
      <w:pPr>
        <w:rPr>
          <w:rFonts w:ascii="Times New Roman" w:hAnsi="Times New Roman" w:cs="Times New Roman"/>
        </w:rPr>
      </w:pPr>
      <w:r w:rsidRPr="000444AC">
        <w:rPr>
          <w:rFonts w:ascii="Times New Roman" w:hAnsi="Times New Roman" w:cs="Times New Roman"/>
        </w:rPr>
        <w:tab/>
        <w:t>Second, and related, the Court</w:t>
      </w:r>
      <w:r w:rsidR="009F3209" w:rsidRPr="000444AC">
        <w:rPr>
          <w:rFonts w:ascii="Times New Roman" w:hAnsi="Times New Roman" w:cs="Times New Roman"/>
        </w:rPr>
        <w:t xml:space="preserve"> was concerned </w:t>
      </w:r>
      <w:r w:rsidR="00B92A19" w:rsidRPr="000444AC">
        <w:rPr>
          <w:rFonts w:ascii="Times New Roman" w:hAnsi="Times New Roman" w:cs="Times New Roman"/>
        </w:rPr>
        <w:t xml:space="preserve">about </w:t>
      </w:r>
      <w:r w:rsidR="009F3209" w:rsidRPr="000444AC">
        <w:rPr>
          <w:rFonts w:ascii="Times New Roman" w:hAnsi="Times New Roman" w:cs="Times New Roman"/>
        </w:rPr>
        <w:t xml:space="preserve">antitrust law deterring pro-competitive price cutting. Quoting its </w:t>
      </w:r>
      <w:r w:rsidR="009F3209" w:rsidRPr="000444AC">
        <w:rPr>
          <w:rFonts w:ascii="Times New Roman" w:hAnsi="Times New Roman" w:cs="Times New Roman"/>
          <w:i/>
        </w:rPr>
        <w:t>Cargill</w:t>
      </w:r>
      <w:r w:rsidR="009F3209" w:rsidRPr="000444AC">
        <w:rPr>
          <w:rFonts w:ascii="Times New Roman" w:hAnsi="Times New Roman" w:cs="Times New Roman"/>
        </w:rPr>
        <w:t xml:space="preserve"> opinion, which in turn quoted its </w:t>
      </w:r>
      <w:r w:rsidR="009F3209" w:rsidRPr="000444AC">
        <w:rPr>
          <w:rFonts w:ascii="Times New Roman" w:hAnsi="Times New Roman" w:cs="Times New Roman"/>
          <w:i/>
        </w:rPr>
        <w:t>Matsushita</w:t>
      </w:r>
      <w:r w:rsidR="009F3209" w:rsidRPr="000444AC">
        <w:rPr>
          <w:rFonts w:ascii="Times New Roman" w:hAnsi="Times New Roman" w:cs="Times New Roman"/>
        </w:rPr>
        <w:t xml:space="preserve"> opinion, the </w:t>
      </w:r>
      <w:r w:rsidR="009F3209" w:rsidRPr="000444AC">
        <w:rPr>
          <w:rFonts w:ascii="Times New Roman" w:hAnsi="Times New Roman" w:cs="Times New Roman"/>
          <w:i/>
        </w:rPr>
        <w:t>Brooke Group</w:t>
      </w:r>
      <w:r w:rsidR="009F3209" w:rsidRPr="000444AC">
        <w:rPr>
          <w:rFonts w:ascii="Times New Roman" w:hAnsi="Times New Roman" w:cs="Times New Roman"/>
        </w:rPr>
        <w:t xml:space="preserve"> reminded readers that </w:t>
      </w:r>
    </w:p>
    <w:p w:rsidR="009F3209" w:rsidRPr="000444AC" w:rsidRDefault="009F3209" w:rsidP="009F3209">
      <w:pPr>
        <w:rPr>
          <w:rFonts w:ascii="Times New Roman" w:hAnsi="Times New Roman" w:cs="Times New Roman"/>
        </w:rPr>
      </w:pPr>
    </w:p>
    <w:p w:rsidR="009F3209" w:rsidRPr="000444AC" w:rsidRDefault="009F3209" w:rsidP="009F3209">
      <w:pPr>
        <w:ind w:left="720"/>
        <w:rPr>
          <w:rFonts w:ascii="Times New Roman" w:hAnsi="Times New Roman" w:cs="Times New Roman"/>
        </w:rPr>
      </w:pPr>
      <w:r w:rsidRPr="000444AC">
        <w:rPr>
          <w:rFonts w:ascii="Times New Roman" w:hAnsi="Times New Roman" w:cs="Times New Roman"/>
        </w:rPr>
        <w:t>the mechanism by which a firm engages in predatory pricing—lowering prices—is the same mechanism by which a firm stimulates competition; because ‘cutting prices in order to increase business often is the very essence of competition ...[;] mistaken inferences ... are especially costly, because they chill the very conduct the antitrust laws are designed to protect.</w:t>
      </w:r>
      <w:r w:rsidRPr="000444AC">
        <w:rPr>
          <w:rStyle w:val="a4"/>
          <w:rFonts w:ascii="Times New Roman" w:hAnsi="Times New Roman" w:cs="Times New Roman"/>
        </w:rPr>
        <w:footnoteReference w:id="65"/>
      </w:r>
    </w:p>
    <w:p w:rsidR="009F3209" w:rsidRPr="000444AC" w:rsidRDefault="009F3209" w:rsidP="009F3209">
      <w:pPr>
        <w:rPr>
          <w:rFonts w:ascii="Times New Roman" w:hAnsi="Times New Roman" w:cs="Times New Roman"/>
        </w:rPr>
      </w:pPr>
    </w:p>
    <w:p w:rsidR="006E7EE6" w:rsidRPr="000444AC" w:rsidRDefault="006E7EE6" w:rsidP="006E7EE6">
      <w:pPr>
        <w:rPr>
          <w:rFonts w:ascii="Times New Roman" w:hAnsi="Times New Roman" w:cs="Times New Roman"/>
        </w:rPr>
      </w:pPr>
      <w:r w:rsidRPr="000444AC">
        <w:rPr>
          <w:rFonts w:ascii="Times New Roman" w:hAnsi="Times New Roman" w:cs="Times New Roman"/>
        </w:rPr>
        <w:t xml:space="preserve">In the context of predatory pricing claims, courts </w:t>
      </w:r>
      <w:r w:rsidR="009F3209" w:rsidRPr="000444AC">
        <w:rPr>
          <w:rFonts w:ascii="Times New Roman" w:hAnsi="Times New Roman" w:cs="Times New Roman"/>
        </w:rPr>
        <w:t xml:space="preserve">have often </w:t>
      </w:r>
      <w:r w:rsidRPr="000444AC">
        <w:rPr>
          <w:rFonts w:ascii="Times New Roman" w:hAnsi="Times New Roman" w:cs="Times New Roman"/>
        </w:rPr>
        <w:t>wondered that an insufficiently lenient standard could “‘chill the very behavior the antitrust laws seek to promote’”</w:t>
      </w:r>
      <w:r w:rsidRPr="000444AC">
        <w:rPr>
          <w:rStyle w:val="a4"/>
          <w:rFonts w:ascii="Times New Roman" w:hAnsi="Times New Roman" w:cs="Times New Roman"/>
        </w:rPr>
        <w:footnoteReference w:id="66"/>
      </w:r>
      <w:r w:rsidRPr="000444AC">
        <w:rPr>
          <w:rFonts w:ascii="Times New Roman" w:hAnsi="Times New Roman" w:cs="Times New Roman"/>
        </w:rPr>
        <w:t xml:space="preserve"> and “[r]</w:t>
      </w:r>
      <w:proofErr w:type="spellStart"/>
      <w:r w:rsidRPr="000444AC">
        <w:rPr>
          <w:rFonts w:ascii="Times New Roman" w:hAnsi="Times New Roman" w:cs="Times New Roman"/>
        </w:rPr>
        <w:t>isk</w:t>
      </w:r>
      <w:proofErr w:type="spellEnd"/>
      <w:r w:rsidRPr="000444AC">
        <w:rPr>
          <w:rFonts w:ascii="Times New Roman" w:hAnsi="Times New Roman" w:cs="Times New Roman"/>
        </w:rPr>
        <w:t xml:space="preserve"> averse firms in particular might avoid legitimate pricing strategies out of fear of prosecution or litigation.”</w:t>
      </w:r>
      <w:bookmarkStart w:id="17" w:name="_Ref335337545"/>
      <w:r w:rsidRPr="000444AC">
        <w:rPr>
          <w:rStyle w:val="a4"/>
          <w:rFonts w:ascii="Times New Roman" w:hAnsi="Times New Roman" w:cs="Times New Roman"/>
        </w:rPr>
        <w:footnoteReference w:id="67"/>
      </w:r>
      <w:bookmarkEnd w:id="17"/>
      <w:r w:rsidRPr="000444AC">
        <w:rPr>
          <w:rFonts w:ascii="Times New Roman" w:hAnsi="Times New Roman" w:cs="Times New Roman"/>
        </w:rPr>
        <w:t xml:space="preserve"> </w:t>
      </w:r>
      <w:r w:rsidR="00137326" w:rsidRPr="000444AC">
        <w:rPr>
          <w:rFonts w:ascii="Times New Roman" w:hAnsi="Times New Roman" w:cs="Times New Roman"/>
        </w:rPr>
        <w:t>The recoupment requirement is motivated and justified, in part, by the fear of deterring “competitive price cutting.”</w:t>
      </w:r>
      <w:r w:rsidR="00137326" w:rsidRPr="000444AC">
        <w:rPr>
          <w:rStyle w:val="a4"/>
          <w:rFonts w:ascii="Times New Roman" w:hAnsi="Times New Roman" w:cs="Times New Roman"/>
        </w:rPr>
        <w:footnoteReference w:id="68"/>
      </w:r>
      <w:r w:rsidR="00137326" w:rsidRPr="000444AC">
        <w:rPr>
          <w:rFonts w:ascii="Times New Roman" w:hAnsi="Times New Roman" w:cs="Times New Roman"/>
        </w:rPr>
        <w:t xml:space="preserve"> </w:t>
      </w:r>
      <w:r w:rsidRPr="000444AC">
        <w:rPr>
          <w:rFonts w:ascii="Times New Roman" w:hAnsi="Times New Roman" w:cs="Times New Roman"/>
        </w:rPr>
        <w:t xml:space="preserve">But this rationale was specific to predatory pricing </w:t>
      </w:r>
      <w:r w:rsidRPr="000444AC">
        <w:rPr>
          <w:rFonts w:ascii="Times New Roman" w:hAnsi="Times New Roman" w:cs="Times New Roman"/>
        </w:rPr>
        <w:lastRenderedPageBreak/>
        <w:t>claims, not other antitrust claims.</w:t>
      </w:r>
      <w:r w:rsidRPr="000444AC">
        <w:rPr>
          <w:rStyle w:val="a4"/>
          <w:rFonts w:ascii="Times New Roman" w:hAnsi="Times New Roman" w:cs="Times New Roman"/>
        </w:rPr>
        <w:footnoteReference w:id="69"/>
      </w:r>
      <w:r w:rsidRPr="000444AC">
        <w:rPr>
          <w:rFonts w:ascii="Times New Roman" w:hAnsi="Times New Roman" w:cs="Times New Roman"/>
        </w:rPr>
        <w:t xml:space="preserve"> </w:t>
      </w:r>
      <w:r w:rsidR="00137326" w:rsidRPr="000444AC">
        <w:rPr>
          <w:rFonts w:ascii="Times New Roman" w:hAnsi="Times New Roman" w:cs="Times New Roman"/>
        </w:rPr>
        <w:t>The antitrust jurisprudence that makes it so hard to prove predatory pricing claims is driven by a fear of false positives.</w:t>
      </w:r>
      <w:r w:rsidR="00137326" w:rsidRPr="000444AC">
        <w:rPr>
          <w:rStyle w:val="a4"/>
          <w:rFonts w:ascii="Times New Roman" w:hAnsi="Times New Roman" w:cs="Times New Roman"/>
        </w:rPr>
        <w:footnoteReference w:id="70"/>
      </w:r>
      <w:bookmarkStart w:id="18" w:name="citeas((Cite_as:_2006_Utah_L._Rev._605,_"/>
      <w:bookmarkEnd w:id="18"/>
      <w:r w:rsidR="00137326" w:rsidRPr="000444AC">
        <w:rPr>
          <w:rFonts w:ascii="Times New Roman" w:hAnsi="Times New Roman" w:cs="Times New Roman"/>
        </w:rPr>
        <w:t xml:space="preserve"> </w:t>
      </w:r>
    </w:p>
    <w:p w:rsidR="005F7138" w:rsidRPr="000444AC" w:rsidRDefault="005F7138" w:rsidP="00BD10F3">
      <w:pPr>
        <w:tabs>
          <w:tab w:val="left" w:pos="720"/>
          <w:tab w:val="left" w:pos="1440"/>
          <w:tab w:val="left" w:pos="2160"/>
          <w:tab w:val="left" w:pos="2880"/>
          <w:tab w:val="left" w:pos="3600"/>
          <w:tab w:val="left" w:pos="4320"/>
          <w:tab w:val="left" w:pos="5040"/>
          <w:tab w:val="left" w:pos="6728"/>
        </w:tabs>
        <w:rPr>
          <w:rFonts w:ascii="Times New Roman" w:hAnsi="Times New Roman" w:cs="Times New Roman"/>
          <w:b/>
        </w:rPr>
      </w:pPr>
    </w:p>
    <w:p w:rsidR="00F76A77" w:rsidRPr="000444AC" w:rsidRDefault="00F76A77" w:rsidP="00823458">
      <w:pPr>
        <w:ind w:firstLine="720"/>
        <w:rPr>
          <w:rFonts w:ascii="Times New Roman" w:eastAsia="Times New Roman" w:hAnsi="Times New Roman" w:cs="Times New Roman"/>
        </w:rPr>
      </w:pPr>
      <w:r w:rsidRPr="000444AC">
        <w:rPr>
          <w:rFonts w:ascii="Times New Roman" w:hAnsi="Times New Roman" w:cs="Times New Roman"/>
        </w:rPr>
        <w:t xml:space="preserve">Third, the Court suggested that there was no corresponding concern about false negatives because predatory pricing does not occur. The Court quoted </w:t>
      </w:r>
      <w:r w:rsidRPr="000444AC">
        <w:rPr>
          <w:rFonts w:ascii="Times New Roman" w:hAnsi="Times New Roman" w:cs="Times New Roman"/>
          <w:i/>
        </w:rPr>
        <w:t>Matsushita</w:t>
      </w:r>
      <w:r w:rsidRPr="000444AC">
        <w:rPr>
          <w:rFonts w:ascii="Times New Roman" w:hAnsi="Times New Roman" w:cs="Times New Roman"/>
        </w:rPr>
        <w:t xml:space="preserve"> from the assertion that “‘</w:t>
      </w:r>
      <w:r w:rsidRPr="000444AC">
        <w:rPr>
          <w:rFonts w:ascii="Times New Roman" w:eastAsia="Times New Roman" w:hAnsi="Times New Roman" w:cs="Times New Roman"/>
          <w:color w:val="000000"/>
          <w:shd w:val="clear" w:color="auto" w:fill="FFFFFF"/>
        </w:rPr>
        <w:t>predatory </w:t>
      </w:r>
      <w:r w:rsidRPr="000444AC">
        <w:rPr>
          <w:rFonts w:ascii="Times New Roman" w:eastAsia="Times New Roman" w:hAnsi="Times New Roman" w:cs="Times New Roman"/>
          <w:color w:val="000000"/>
          <w:bdr w:val="none" w:sz="0" w:space="0" w:color="auto" w:frame="1"/>
          <w:shd w:val="clear" w:color="auto" w:fill="FFFFFF"/>
        </w:rPr>
        <w:t>pricing</w:t>
      </w:r>
      <w:r w:rsidRPr="000444AC">
        <w:rPr>
          <w:rFonts w:ascii="Times New Roman" w:eastAsia="Times New Roman" w:hAnsi="Times New Roman" w:cs="Times New Roman"/>
          <w:color w:val="000000"/>
          <w:shd w:val="clear" w:color="auto" w:fill="FFFFFF"/>
        </w:rPr>
        <w:t> </w:t>
      </w:r>
      <w:r w:rsidRPr="000444AC">
        <w:rPr>
          <w:rFonts w:ascii="Times New Roman" w:eastAsia="Times New Roman" w:hAnsi="Times New Roman" w:cs="Times New Roman"/>
          <w:color w:val="000000"/>
          <w:bdr w:val="none" w:sz="0" w:space="0" w:color="auto" w:frame="1"/>
          <w:shd w:val="clear" w:color="auto" w:fill="FFFFFF"/>
        </w:rPr>
        <w:t>schemes</w:t>
      </w:r>
      <w:r w:rsidRPr="000444AC">
        <w:rPr>
          <w:rFonts w:ascii="Times New Roman" w:eastAsia="Times New Roman" w:hAnsi="Times New Roman" w:cs="Times New Roman"/>
          <w:color w:val="000000"/>
          <w:shd w:val="clear" w:color="auto" w:fill="FFFFFF"/>
        </w:rPr>
        <w:t> </w:t>
      </w:r>
      <w:r w:rsidRPr="000444AC">
        <w:rPr>
          <w:rFonts w:ascii="Times New Roman" w:eastAsia="Times New Roman" w:hAnsi="Times New Roman" w:cs="Times New Roman"/>
          <w:color w:val="000000"/>
          <w:bdr w:val="none" w:sz="0" w:space="0" w:color="auto" w:frame="1"/>
          <w:shd w:val="clear" w:color="auto" w:fill="FFFFFF"/>
        </w:rPr>
        <w:t>are</w:t>
      </w:r>
      <w:r w:rsidRPr="000444AC">
        <w:rPr>
          <w:rFonts w:ascii="Times New Roman" w:eastAsia="Times New Roman" w:hAnsi="Times New Roman" w:cs="Times New Roman"/>
          <w:color w:val="000000"/>
          <w:shd w:val="clear" w:color="auto" w:fill="FFFFFF"/>
        </w:rPr>
        <w:t> </w:t>
      </w:r>
      <w:r w:rsidRPr="000444AC">
        <w:rPr>
          <w:rFonts w:ascii="Times New Roman" w:eastAsia="Times New Roman" w:hAnsi="Times New Roman" w:cs="Times New Roman"/>
          <w:color w:val="000000"/>
          <w:bdr w:val="none" w:sz="0" w:space="0" w:color="auto" w:frame="1"/>
          <w:shd w:val="clear" w:color="auto" w:fill="FFFFFF"/>
        </w:rPr>
        <w:t>rarely</w:t>
      </w:r>
      <w:r w:rsidRPr="000444AC">
        <w:rPr>
          <w:rFonts w:ascii="Times New Roman" w:eastAsia="Times New Roman" w:hAnsi="Times New Roman" w:cs="Times New Roman"/>
          <w:color w:val="000000"/>
          <w:shd w:val="clear" w:color="auto" w:fill="FFFFFF"/>
        </w:rPr>
        <w:t> </w:t>
      </w:r>
      <w:r w:rsidRPr="000444AC">
        <w:rPr>
          <w:rFonts w:ascii="Times New Roman" w:eastAsia="Times New Roman" w:hAnsi="Times New Roman" w:cs="Times New Roman"/>
          <w:color w:val="000000"/>
          <w:bdr w:val="none" w:sz="0" w:space="0" w:color="auto" w:frame="1"/>
          <w:shd w:val="clear" w:color="auto" w:fill="FFFFFF"/>
        </w:rPr>
        <w:t>tried</w:t>
      </w:r>
      <w:r w:rsidRPr="000444AC">
        <w:rPr>
          <w:rFonts w:ascii="Times New Roman" w:eastAsia="Times New Roman" w:hAnsi="Times New Roman" w:cs="Times New Roman"/>
          <w:color w:val="000000"/>
          <w:shd w:val="clear" w:color="auto" w:fill="FFFFFF"/>
        </w:rPr>
        <w:t>, and even more rarely successful,’” and adding that “the costs of an erroneous finding of liability [of predatory pricing] are high.”</w:t>
      </w:r>
      <w:r w:rsidRPr="000444AC">
        <w:rPr>
          <w:rStyle w:val="a4"/>
          <w:rFonts w:ascii="Times New Roman" w:eastAsia="Times New Roman" w:hAnsi="Times New Roman" w:cs="Times New Roman"/>
          <w:color w:val="000000"/>
          <w:shd w:val="clear" w:color="auto" w:fill="FFFFFF"/>
        </w:rPr>
        <w:footnoteReference w:id="71"/>
      </w:r>
      <w:r w:rsidR="00137326" w:rsidRPr="000444AC">
        <w:rPr>
          <w:rFonts w:ascii="Times New Roman" w:eastAsia="Times New Roman" w:hAnsi="Times New Roman" w:cs="Times New Roman"/>
          <w:color w:val="000000"/>
          <w:shd w:val="clear" w:color="auto" w:fill="FFFFFF"/>
        </w:rPr>
        <w:t xml:space="preserve"> Given the Court’s beliefs that false negatives do not happen and that false positives are incredibly costly, it is not surprising that the Court invented an element that essentially eliminates all positives.</w:t>
      </w:r>
    </w:p>
    <w:p w:rsidR="00154EF9" w:rsidRPr="000444AC" w:rsidRDefault="00154EF9" w:rsidP="00154EF9">
      <w:pPr>
        <w:rPr>
          <w:rFonts w:ascii="Times New Roman" w:hAnsi="Times New Roman" w:cs="Times New Roman"/>
          <w:b/>
        </w:rPr>
      </w:pPr>
    </w:p>
    <w:p w:rsidR="00154EF9" w:rsidRPr="000444AC" w:rsidRDefault="00154EF9" w:rsidP="00154EF9">
      <w:pPr>
        <w:rPr>
          <w:rFonts w:ascii="Times New Roman" w:hAnsi="Times New Roman" w:cs="Times New Roman"/>
          <w:b/>
        </w:rPr>
      </w:pPr>
      <w:r w:rsidRPr="000444AC">
        <w:rPr>
          <w:rFonts w:ascii="Times New Roman" w:hAnsi="Times New Roman" w:cs="Times New Roman"/>
          <w:b/>
        </w:rPr>
        <w:t>II. The Flawed Premises of Predatory Pricing Jurisprudence</w:t>
      </w:r>
    </w:p>
    <w:p w:rsidR="00D5488E" w:rsidRPr="000444AC" w:rsidRDefault="00D5488E" w:rsidP="00154EF9">
      <w:pPr>
        <w:rPr>
          <w:rFonts w:ascii="Times New Roman" w:hAnsi="Times New Roman" w:cs="Times New Roman"/>
        </w:rPr>
      </w:pPr>
    </w:p>
    <w:p w:rsidR="00D5488E" w:rsidRPr="000444AC" w:rsidRDefault="00D5488E" w:rsidP="00D5488E">
      <w:pPr>
        <w:ind w:firstLine="720"/>
        <w:rPr>
          <w:rFonts w:ascii="Times New Roman" w:hAnsi="Times New Roman" w:cs="Times New Roman"/>
        </w:rPr>
      </w:pPr>
      <w:r w:rsidRPr="000444AC">
        <w:rPr>
          <w:rFonts w:ascii="Times New Roman" w:hAnsi="Times New Roman" w:cs="Times New Roman"/>
        </w:rPr>
        <w:t xml:space="preserve">The Supreme Court’s predatory pricing jurisprudence of the modern era is founded on several assumptions. First, the Court has assumed that predatory pricing does not occur because it is (theoretically) implausible and, therefore, the risks of false negatives are low. Second, the court has emphasized that the first step predatory pricing is </w:t>
      </w:r>
      <w:proofErr w:type="spellStart"/>
      <w:r w:rsidRPr="000444AC">
        <w:rPr>
          <w:rFonts w:ascii="Times New Roman" w:hAnsi="Times New Roman" w:cs="Times New Roman"/>
        </w:rPr>
        <w:t>proconsumer</w:t>
      </w:r>
      <w:proofErr w:type="spellEnd"/>
      <w:r w:rsidRPr="000444AC">
        <w:rPr>
          <w:rFonts w:ascii="Times New Roman" w:hAnsi="Times New Roman" w:cs="Times New Roman"/>
        </w:rPr>
        <w:t xml:space="preserve"> because consumers benefit from low prices. Third, and related, the Court expressed concern that unless predatory pricing claims are very difficult to bring and win, antitrust law could deter procompetitive price-cutting. And finally, the Court in </w:t>
      </w:r>
      <w:r w:rsidRPr="000444AC">
        <w:rPr>
          <w:rFonts w:ascii="Times New Roman" w:hAnsi="Times New Roman" w:cs="Times New Roman"/>
          <w:i/>
        </w:rPr>
        <w:t xml:space="preserve">Brooke Group </w:t>
      </w:r>
      <w:r w:rsidRPr="000444AC">
        <w:rPr>
          <w:rFonts w:ascii="Times New Roman" w:hAnsi="Times New Roman" w:cs="Times New Roman"/>
        </w:rPr>
        <w:t>assumed that below cost pricing cannot injure consumers or competition unless the predator recoups its investment in predatory pricing. This was the justification for imposing a recoupment requirement that makes it significantly harder for predatory pricing plaintiffs to prevail.</w:t>
      </w:r>
    </w:p>
    <w:p w:rsidR="00D5488E" w:rsidRPr="000444AC" w:rsidRDefault="00D5488E" w:rsidP="00D5488E">
      <w:pPr>
        <w:ind w:firstLine="720"/>
        <w:rPr>
          <w:rFonts w:ascii="Times New Roman" w:hAnsi="Times New Roman" w:cs="Times New Roman"/>
        </w:rPr>
      </w:pPr>
    </w:p>
    <w:p w:rsidR="00D5488E" w:rsidRPr="000444AC" w:rsidRDefault="00D5488E" w:rsidP="00D5488E">
      <w:pPr>
        <w:ind w:firstLine="720"/>
        <w:rPr>
          <w:rFonts w:ascii="Times New Roman" w:hAnsi="Times New Roman" w:cs="Times New Roman"/>
        </w:rPr>
      </w:pPr>
      <w:r w:rsidRPr="000444AC">
        <w:rPr>
          <w:rFonts w:ascii="Times New Roman" w:hAnsi="Times New Roman" w:cs="Times New Roman"/>
        </w:rPr>
        <w:t>Two of these assumptions – the first and the last – are demonstrably wrong. As a matter of economic theory, predatory pricing can be a rational and profitable business strategy. Thus, it is not surprising that there are several empirical examples of major corporations coming to dominate markets through below cost pricing. Regarding the recoupment requirement, monopolization through predatory pricing can injure the competitive process and a distinct group of consumers regardless of whether the predator earns more in monopoly profits than it lost on its below-cost sales.</w:t>
      </w:r>
    </w:p>
    <w:p w:rsidR="0081526F" w:rsidRPr="000444AC" w:rsidRDefault="0081526F" w:rsidP="00154EF9">
      <w:pPr>
        <w:rPr>
          <w:rFonts w:ascii="Times New Roman" w:hAnsi="Times New Roman" w:cs="Times New Roman"/>
        </w:rPr>
      </w:pPr>
    </w:p>
    <w:p w:rsidR="00154EF9" w:rsidRPr="000444AC" w:rsidRDefault="00154EF9" w:rsidP="00154EF9">
      <w:pPr>
        <w:rPr>
          <w:rFonts w:ascii="Times New Roman" w:hAnsi="Times New Roman" w:cs="Times New Roman"/>
          <w:b/>
        </w:rPr>
      </w:pPr>
      <w:r w:rsidRPr="000444AC">
        <w:rPr>
          <w:rFonts w:ascii="Times New Roman" w:hAnsi="Times New Roman" w:cs="Times New Roman"/>
          <w:b/>
        </w:rPr>
        <w:tab/>
        <w:t>A. Predatory Pricing Does Occur</w:t>
      </w:r>
    </w:p>
    <w:p w:rsidR="00B241BD" w:rsidRPr="000444AC" w:rsidRDefault="00B241BD" w:rsidP="00154EF9">
      <w:pPr>
        <w:rPr>
          <w:rFonts w:ascii="Times New Roman" w:hAnsi="Times New Roman" w:cs="Times New Roman"/>
          <w:b/>
        </w:rPr>
      </w:pPr>
    </w:p>
    <w:p w:rsidR="00C929C5" w:rsidRPr="000444AC" w:rsidRDefault="00C929C5" w:rsidP="00197C25">
      <w:pPr>
        <w:ind w:firstLine="720"/>
        <w:rPr>
          <w:rFonts w:ascii="Times New Roman" w:hAnsi="Times New Roman" w:cs="Times New Roman"/>
        </w:rPr>
      </w:pPr>
      <w:r w:rsidRPr="000444AC">
        <w:rPr>
          <w:rFonts w:ascii="Times New Roman" w:hAnsi="Times New Roman" w:cs="Times New Roman"/>
        </w:rPr>
        <w:lastRenderedPageBreak/>
        <w:t>The assumption that predatory pricing does not happen drove the Court’s adoption of a unique legal recoupment requirement for predatory pricing claims.</w:t>
      </w:r>
      <w:r w:rsidRPr="000444AC">
        <w:rPr>
          <w:rStyle w:val="a4"/>
          <w:rFonts w:ascii="Times New Roman" w:hAnsi="Times New Roman" w:cs="Times New Roman"/>
        </w:rPr>
        <w:footnoteReference w:id="72"/>
      </w:r>
      <w:r w:rsidRPr="000444AC">
        <w:rPr>
          <w:rFonts w:ascii="Times New Roman" w:hAnsi="Times New Roman" w:cs="Times New Roman"/>
        </w:rPr>
        <w:t xml:space="preserve"> </w:t>
      </w:r>
      <w:r w:rsidR="00D5488E" w:rsidRPr="000444AC">
        <w:rPr>
          <w:rFonts w:ascii="Times New Roman" w:hAnsi="Times New Roman" w:cs="Times New Roman"/>
        </w:rPr>
        <w:t xml:space="preserve">For example, the </w:t>
      </w:r>
      <w:r w:rsidRPr="000444AC">
        <w:rPr>
          <w:rFonts w:ascii="Times New Roman" w:hAnsi="Times New Roman" w:cs="Times New Roman"/>
          <w:i/>
        </w:rPr>
        <w:t>Matsushita</w:t>
      </w:r>
      <w:r w:rsidR="00D5488E" w:rsidRPr="000444AC">
        <w:rPr>
          <w:rFonts w:ascii="Times New Roman" w:hAnsi="Times New Roman" w:cs="Times New Roman"/>
        </w:rPr>
        <w:t xml:space="preserve"> opinion </w:t>
      </w:r>
      <w:r w:rsidRPr="000444AC">
        <w:rPr>
          <w:rFonts w:ascii="Times New Roman" w:hAnsi="Times New Roman" w:cs="Times New Roman"/>
        </w:rPr>
        <w:t xml:space="preserve">is founded on the Court’s assumption that predatory pricing does not happen. </w:t>
      </w:r>
      <w:r w:rsidR="00D5488E" w:rsidRPr="000444AC">
        <w:rPr>
          <w:rFonts w:ascii="Times New Roman" w:hAnsi="Times New Roman" w:cs="Times New Roman"/>
        </w:rPr>
        <w:t xml:space="preserve">The Fifth Circuit described </w:t>
      </w:r>
      <w:r w:rsidR="00197C25" w:rsidRPr="000444AC">
        <w:rPr>
          <w:rFonts w:ascii="Times New Roman" w:hAnsi="Times New Roman" w:cs="Times New Roman"/>
        </w:rPr>
        <w:t xml:space="preserve">the </w:t>
      </w:r>
      <w:r w:rsidR="00197C25" w:rsidRPr="000444AC">
        <w:rPr>
          <w:rFonts w:ascii="Times New Roman" w:hAnsi="Times New Roman" w:cs="Times New Roman"/>
          <w:i/>
        </w:rPr>
        <w:t xml:space="preserve">Matsushita </w:t>
      </w:r>
      <w:r w:rsidR="00197C25" w:rsidRPr="000444AC">
        <w:rPr>
          <w:rFonts w:ascii="Times New Roman" w:hAnsi="Times New Roman" w:cs="Times New Roman"/>
        </w:rPr>
        <w:t>court as holding “that the economic disincentives to predatory pricing often will justify a presumption that an allegation of such behavior is implausible.”</w:t>
      </w:r>
      <w:r w:rsidR="00197C25" w:rsidRPr="000444AC">
        <w:rPr>
          <w:rStyle w:val="a4"/>
          <w:rFonts w:ascii="Times New Roman" w:hAnsi="Times New Roman" w:cs="Times New Roman"/>
        </w:rPr>
        <w:footnoteReference w:id="73"/>
      </w:r>
      <w:r w:rsidR="00197C25" w:rsidRPr="000444AC">
        <w:rPr>
          <w:rFonts w:ascii="Times New Roman" w:hAnsi="Times New Roman" w:cs="Times New Roman"/>
        </w:rPr>
        <w:t xml:space="preserve"> Similarly, the Third Circuit noted that </w:t>
      </w:r>
      <w:r w:rsidRPr="000444AC">
        <w:rPr>
          <w:rFonts w:ascii="Times New Roman" w:hAnsi="Times New Roman" w:cs="Times New Roman"/>
        </w:rPr>
        <w:t>“</w:t>
      </w:r>
      <w:r w:rsidRPr="000444AC">
        <w:rPr>
          <w:rFonts w:ascii="Times New Roman" w:hAnsi="Times New Roman" w:cs="Times New Roman"/>
          <w:i/>
        </w:rPr>
        <w:t>Matsushita</w:t>
      </w:r>
      <w:r w:rsidRPr="000444AC">
        <w:rPr>
          <w:rFonts w:ascii="Times New Roman" w:hAnsi="Times New Roman" w:cs="Times New Roman"/>
        </w:rPr>
        <w:t>... created a legal presumption, based on economic logic, that predatory pricing is unlik</w:t>
      </w:r>
      <w:r w:rsidR="00197C25" w:rsidRPr="000444AC">
        <w:rPr>
          <w:rFonts w:ascii="Times New Roman" w:hAnsi="Times New Roman" w:cs="Times New Roman"/>
        </w:rPr>
        <w:t>ely to threaten competition.”</w:t>
      </w:r>
      <w:r w:rsidR="00197C25" w:rsidRPr="000444AC">
        <w:rPr>
          <w:rStyle w:val="a4"/>
          <w:rFonts w:ascii="Times New Roman" w:hAnsi="Times New Roman" w:cs="Times New Roman"/>
        </w:rPr>
        <w:footnoteReference w:id="74"/>
      </w:r>
      <w:r w:rsidR="00197C25" w:rsidRPr="000444AC">
        <w:rPr>
          <w:rFonts w:ascii="Times New Roman" w:hAnsi="Times New Roman" w:cs="Times New Roman"/>
        </w:rPr>
        <w:t xml:space="preserve"> </w:t>
      </w:r>
    </w:p>
    <w:p w:rsidR="00211600" w:rsidRPr="000444AC" w:rsidRDefault="00211600" w:rsidP="00154EF9">
      <w:pPr>
        <w:rPr>
          <w:rFonts w:ascii="Times New Roman" w:hAnsi="Times New Roman" w:cs="Times New Roman"/>
          <w:b/>
        </w:rPr>
      </w:pPr>
    </w:p>
    <w:p w:rsidR="00154EF9" w:rsidRPr="000444AC" w:rsidRDefault="00197C25" w:rsidP="00154EF9">
      <w:pPr>
        <w:rPr>
          <w:rFonts w:ascii="Times New Roman" w:hAnsi="Times New Roman" w:cs="Times New Roman"/>
        </w:rPr>
      </w:pPr>
      <w:r w:rsidRPr="000444AC">
        <w:rPr>
          <w:rFonts w:ascii="Times New Roman" w:hAnsi="Times New Roman" w:cs="Times New Roman"/>
        </w:rPr>
        <w:tab/>
        <w:t>As a matter of both economic theory and historical truth, however, t</w:t>
      </w:r>
      <w:r w:rsidR="00154EF9" w:rsidRPr="000444AC">
        <w:rPr>
          <w:rFonts w:ascii="Times New Roman" w:eastAsia="Times New Roman" w:hAnsi="Times New Roman" w:cs="Times New Roman"/>
        </w:rPr>
        <w:t>he Supreme Court was wrong to assert that predatory pricing does not happen.</w:t>
      </w:r>
      <w:r w:rsidRPr="000444AC">
        <w:rPr>
          <w:rFonts w:ascii="Times New Roman" w:eastAsia="Times New Roman" w:hAnsi="Times New Roman" w:cs="Times New Roman"/>
        </w:rPr>
        <w:t xml:space="preserve"> The following two sections explain why.</w:t>
      </w:r>
    </w:p>
    <w:p w:rsidR="00154EF9" w:rsidRPr="000444AC" w:rsidRDefault="00154EF9" w:rsidP="00154EF9">
      <w:pPr>
        <w:rPr>
          <w:rFonts w:ascii="Times New Roman" w:eastAsia="Times New Roman" w:hAnsi="Times New Roman" w:cs="Times New Roman"/>
        </w:rPr>
      </w:pPr>
    </w:p>
    <w:p w:rsidR="00B241BD" w:rsidRPr="000444AC" w:rsidRDefault="00B241BD" w:rsidP="00154EF9">
      <w:pPr>
        <w:rPr>
          <w:rFonts w:ascii="Times New Roman" w:eastAsia="Times New Roman" w:hAnsi="Times New Roman" w:cs="Times New Roman"/>
          <w:b/>
        </w:rPr>
      </w:pPr>
      <w:r w:rsidRPr="000444AC">
        <w:rPr>
          <w:rFonts w:ascii="Times New Roman" w:eastAsia="Times New Roman" w:hAnsi="Times New Roman" w:cs="Times New Roman"/>
        </w:rPr>
        <w:tab/>
      </w:r>
      <w:r w:rsidRPr="000444AC">
        <w:rPr>
          <w:rFonts w:ascii="Times New Roman" w:eastAsia="Times New Roman" w:hAnsi="Times New Roman" w:cs="Times New Roman"/>
        </w:rPr>
        <w:tab/>
      </w:r>
      <w:r w:rsidRPr="000444AC">
        <w:rPr>
          <w:rFonts w:ascii="Times New Roman" w:eastAsia="Times New Roman" w:hAnsi="Times New Roman" w:cs="Times New Roman"/>
          <w:b/>
        </w:rPr>
        <w:t>1. The Theoretical Plausibility of Predatory Pricing</w:t>
      </w:r>
    </w:p>
    <w:p w:rsidR="00B241BD" w:rsidRPr="000444AC" w:rsidRDefault="00B241BD" w:rsidP="00154EF9">
      <w:pPr>
        <w:rPr>
          <w:rFonts w:ascii="Times New Roman" w:eastAsia="Times New Roman" w:hAnsi="Times New Roman" w:cs="Times New Roman"/>
        </w:rPr>
      </w:pPr>
    </w:p>
    <w:p w:rsidR="00B241BD" w:rsidRPr="000444AC" w:rsidRDefault="00B241BD" w:rsidP="00197C25">
      <w:pPr>
        <w:ind w:firstLine="720"/>
        <w:rPr>
          <w:rFonts w:ascii="Times New Roman" w:hAnsi="Times New Roman" w:cs="Times New Roman"/>
        </w:rPr>
      </w:pPr>
      <w:r w:rsidRPr="000444AC">
        <w:rPr>
          <w:rFonts w:ascii="Times New Roman" w:hAnsi="Times New Roman" w:cs="Times New Roman"/>
        </w:rPr>
        <w:t>Influenced by</w:t>
      </w:r>
      <w:r w:rsidR="00197C25" w:rsidRPr="000444AC">
        <w:rPr>
          <w:rFonts w:ascii="Times New Roman" w:hAnsi="Times New Roman" w:cs="Times New Roman"/>
        </w:rPr>
        <w:t xml:space="preserve"> Supreme Court precedent and</w:t>
      </w:r>
      <w:r w:rsidRPr="000444AC">
        <w:rPr>
          <w:rFonts w:ascii="Times New Roman" w:hAnsi="Times New Roman" w:cs="Times New Roman"/>
        </w:rPr>
        <w:t xml:space="preserve"> the Chicago School theorists, many judges have asserted that firms do not attempt predatory pricing because they are unwilling to incur the guaranteed costs for the uncertain possibility of a later payoff.</w:t>
      </w:r>
      <w:r w:rsidRPr="000444AC">
        <w:rPr>
          <w:rStyle w:val="a4"/>
          <w:rFonts w:ascii="Times New Roman" w:hAnsi="Times New Roman" w:cs="Times New Roman"/>
        </w:rPr>
        <w:footnoteReference w:id="75"/>
      </w:r>
      <w:r w:rsidRPr="000444AC">
        <w:rPr>
          <w:rFonts w:ascii="Times New Roman" w:hAnsi="Times New Roman" w:cs="Times New Roman"/>
        </w:rPr>
        <w:t xml:space="preserve"> This reasoning assumes that firms are risk averse and, consequently, too reluctant to pursue a (perceived) high-stakes tactic like predatory pricing. This line of thinking seems disconnected from the fact that most avenues to secure an illegal monopoly involve high-cost, high-risk strategies, such as buying one’s competitors</w:t>
      </w:r>
      <w:r w:rsidR="00074391" w:rsidRPr="000444AC">
        <w:rPr>
          <w:rFonts w:ascii="Times New Roman" w:hAnsi="Times New Roman" w:cs="Times New Roman"/>
        </w:rPr>
        <w:t xml:space="preserve"> and destroying their factories</w:t>
      </w:r>
      <w:r w:rsidR="00074391" w:rsidRPr="000444AC">
        <w:rPr>
          <w:rStyle w:val="a4"/>
          <w:rFonts w:ascii="Times New Roman" w:hAnsi="Times New Roman" w:cs="Times New Roman"/>
        </w:rPr>
        <w:footnoteReference w:id="76"/>
      </w:r>
      <w:r w:rsidRPr="000444AC">
        <w:rPr>
          <w:rFonts w:ascii="Times New Roman" w:hAnsi="Times New Roman" w:cs="Times New Roman"/>
        </w:rPr>
        <w:t xml:space="preserve"> </w:t>
      </w:r>
      <w:r w:rsidR="00074391" w:rsidRPr="000444AC">
        <w:rPr>
          <w:rFonts w:ascii="Times New Roman" w:hAnsi="Times New Roman" w:cs="Times New Roman"/>
        </w:rPr>
        <w:t xml:space="preserve">or </w:t>
      </w:r>
      <w:r w:rsidRPr="000444AC">
        <w:rPr>
          <w:rFonts w:ascii="Times New Roman" w:hAnsi="Times New Roman" w:cs="Times New Roman"/>
        </w:rPr>
        <w:t>committing fraud against the Patent &amp; Trademark Office and then enforcing the fra</w:t>
      </w:r>
      <w:r w:rsidR="00074391" w:rsidRPr="000444AC">
        <w:rPr>
          <w:rFonts w:ascii="Times New Roman" w:hAnsi="Times New Roman" w:cs="Times New Roman"/>
        </w:rPr>
        <w:t>udulent patent in federal court</w:t>
      </w:r>
      <w:r w:rsidRPr="000444AC">
        <w:rPr>
          <w:rFonts w:ascii="Times New Roman" w:hAnsi="Times New Roman" w:cs="Times New Roman"/>
        </w:rPr>
        <w:t>.</w:t>
      </w:r>
      <w:r w:rsidR="00074391" w:rsidRPr="000444AC">
        <w:rPr>
          <w:rStyle w:val="a4"/>
          <w:rFonts w:ascii="Times New Roman" w:hAnsi="Times New Roman" w:cs="Times New Roman"/>
        </w:rPr>
        <w:footnoteReference w:id="77"/>
      </w:r>
      <w:r w:rsidRPr="000444AC">
        <w:rPr>
          <w:rFonts w:ascii="Times New Roman" w:hAnsi="Times New Roman" w:cs="Times New Roman"/>
        </w:rPr>
        <w:t xml:space="preserve"> </w:t>
      </w:r>
    </w:p>
    <w:p w:rsidR="00B241BD" w:rsidRPr="000444AC" w:rsidRDefault="00B241BD" w:rsidP="00154EF9">
      <w:pPr>
        <w:rPr>
          <w:rFonts w:ascii="Times New Roman" w:eastAsia="Times New Roman" w:hAnsi="Times New Roman" w:cs="Times New Roman"/>
        </w:rPr>
      </w:pPr>
    </w:p>
    <w:p w:rsidR="001C2647" w:rsidRPr="000444AC" w:rsidRDefault="00074391" w:rsidP="001C2647">
      <w:pPr>
        <w:rPr>
          <w:rFonts w:ascii="Times New Roman" w:hAnsi="Times New Roman" w:cs="Times New Roman"/>
        </w:rPr>
      </w:pPr>
      <w:r w:rsidRPr="000444AC">
        <w:rPr>
          <w:rFonts w:ascii="Times New Roman" w:eastAsia="Times New Roman" w:hAnsi="Times New Roman" w:cs="Times New Roman"/>
        </w:rPr>
        <w:tab/>
        <w:t>More importantly, the theoretical argument against predatory pricing is based on false assumptions that are disproven by business history. Professors</w:t>
      </w:r>
      <w:r w:rsidRPr="000444AC">
        <w:rPr>
          <w:rFonts w:ascii="Times New Roman" w:hAnsi="Times New Roman" w:cs="Times New Roman"/>
        </w:rPr>
        <w:t xml:space="preserve"> Bork and McGee asserted that predatory pricing is irrational because the predator must incur disproportionate losses, as compared to the predator’s targets.</w:t>
      </w:r>
      <w:r w:rsidRPr="000444AC">
        <w:rPr>
          <w:rStyle w:val="a4"/>
          <w:rFonts w:ascii="Times New Roman" w:hAnsi="Times New Roman" w:cs="Times New Roman"/>
        </w:rPr>
        <w:footnoteReference w:id="78"/>
      </w:r>
      <w:r w:rsidR="008E6474" w:rsidRPr="000444AC">
        <w:rPr>
          <w:rFonts w:ascii="Times New Roman" w:hAnsi="Times New Roman" w:cs="Times New Roman"/>
        </w:rPr>
        <w:t xml:space="preserve"> influenced by such academic writings, t</w:t>
      </w:r>
      <w:r w:rsidR="001C2647" w:rsidRPr="000444AC">
        <w:rPr>
          <w:rFonts w:ascii="Times New Roman" w:eastAsia="Times New Roman" w:hAnsi="Times New Roman" w:cs="Times New Roman"/>
          <w:color w:val="000000"/>
        </w:rPr>
        <w:t xml:space="preserve">he </w:t>
      </w:r>
      <w:r w:rsidR="001C2647" w:rsidRPr="000444AC">
        <w:rPr>
          <w:rFonts w:ascii="Times New Roman" w:eastAsia="Times New Roman" w:hAnsi="Times New Roman" w:cs="Times New Roman"/>
          <w:i/>
          <w:color w:val="000000"/>
        </w:rPr>
        <w:t>Matsushita</w:t>
      </w:r>
      <w:r w:rsidR="001C2647" w:rsidRPr="000444AC">
        <w:rPr>
          <w:rFonts w:ascii="Times New Roman" w:eastAsia="Times New Roman" w:hAnsi="Times New Roman" w:cs="Times New Roman"/>
          <w:color w:val="000000"/>
        </w:rPr>
        <w:t xml:space="preserve"> majority assumed: “The predators' losses must actually </w:t>
      </w:r>
      <w:r w:rsidR="001C2647" w:rsidRPr="000444AC">
        <w:rPr>
          <w:rFonts w:ascii="Times New Roman" w:eastAsia="Times New Roman" w:hAnsi="Times New Roman" w:cs="Times New Roman"/>
          <w:i/>
          <w:iCs/>
          <w:color w:val="000000"/>
        </w:rPr>
        <w:t>increase</w:t>
      </w:r>
      <w:r w:rsidR="001C2647" w:rsidRPr="000444AC">
        <w:rPr>
          <w:rFonts w:ascii="Times New Roman" w:eastAsia="Times New Roman" w:hAnsi="Times New Roman" w:cs="Times New Roman"/>
          <w:color w:val="000000"/>
        </w:rPr>
        <w:t> as the conspiracy nears its objective: the greater the predators' market share, the more products the predators sell; but since every sale brings with it a loss, an increase in market share also means an increase in predatory losses.”</w:t>
      </w:r>
      <w:r w:rsidR="008E6474" w:rsidRPr="000444AC">
        <w:rPr>
          <w:rStyle w:val="a4"/>
          <w:rFonts w:ascii="Times New Roman" w:eastAsia="Times New Roman" w:hAnsi="Times New Roman" w:cs="Times New Roman"/>
          <w:color w:val="000000"/>
        </w:rPr>
        <w:footnoteReference w:id="79"/>
      </w:r>
      <w:r w:rsidR="001C2647" w:rsidRPr="000444AC">
        <w:rPr>
          <w:rFonts w:ascii="Times New Roman" w:eastAsia="Times New Roman" w:hAnsi="Times New Roman" w:cs="Times New Roman"/>
          <w:color w:val="000000"/>
        </w:rPr>
        <w:t xml:space="preserve"> </w:t>
      </w:r>
      <w:r w:rsidR="001C2647" w:rsidRPr="000444AC">
        <w:rPr>
          <w:rFonts w:ascii="Times New Roman" w:hAnsi="Times New Roman" w:cs="Times New Roman"/>
        </w:rPr>
        <w:t>That is incorrect because price predators, such as Standard Oil, limited their below-cost pricing to specific customers of a particular rival targeted by the predator.</w:t>
      </w:r>
      <w:r w:rsidR="001C2647" w:rsidRPr="000444AC">
        <w:rPr>
          <w:rStyle w:val="a4"/>
          <w:rFonts w:ascii="Times New Roman" w:hAnsi="Times New Roman" w:cs="Times New Roman"/>
        </w:rPr>
        <w:footnoteReference w:id="80"/>
      </w:r>
      <w:r w:rsidR="008E6474" w:rsidRPr="000444AC">
        <w:rPr>
          <w:rFonts w:ascii="Times New Roman" w:eastAsia="Times New Roman" w:hAnsi="Times New Roman" w:cs="Times New Roman"/>
          <w:color w:val="000000"/>
        </w:rPr>
        <w:t xml:space="preserve"> </w:t>
      </w:r>
      <w:r w:rsidR="001C2647" w:rsidRPr="000444AC">
        <w:rPr>
          <w:rFonts w:ascii="Times New Roman" w:hAnsi="Times New Roman" w:cs="Times New Roman"/>
        </w:rPr>
        <w:t xml:space="preserve">In order to deny its </w:t>
      </w:r>
      <w:r w:rsidR="001C2647" w:rsidRPr="000444AC">
        <w:rPr>
          <w:rFonts w:ascii="Times New Roman" w:hAnsi="Times New Roman" w:cs="Times New Roman"/>
        </w:rPr>
        <w:lastRenderedPageBreak/>
        <w:t>current customers access to its lower prices, Standard created bogus shell companies that purported to be independent oil companies.</w:t>
      </w:r>
      <w:r w:rsidR="001C2647" w:rsidRPr="000444AC">
        <w:rPr>
          <w:rStyle w:val="a4"/>
          <w:rFonts w:ascii="Times New Roman" w:hAnsi="Times New Roman" w:cs="Times New Roman"/>
        </w:rPr>
        <w:footnoteReference w:id="81"/>
      </w:r>
      <w:r w:rsidR="001C2647" w:rsidRPr="000444AC">
        <w:rPr>
          <w:rFonts w:ascii="Times New Roman" w:hAnsi="Times New Roman" w:cs="Times New Roman"/>
        </w:rPr>
        <w:t xml:space="preserve"> </w:t>
      </w:r>
      <w:r w:rsidR="008E6474" w:rsidRPr="000444AC">
        <w:rPr>
          <w:rFonts w:ascii="Times New Roman" w:hAnsi="Times New Roman" w:cs="Times New Roman"/>
        </w:rPr>
        <w:t>Standard Oil used its bogus shell companies to sell oil at below-cost prices.</w:t>
      </w:r>
      <w:r w:rsidR="008E6474" w:rsidRPr="000444AC">
        <w:rPr>
          <w:rStyle w:val="a4"/>
          <w:rFonts w:ascii="Times New Roman" w:hAnsi="Times New Roman" w:cs="Times New Roman"/>
        </w:rPr>
        <w:footnoteReference w:id="82"/>
      </w:r>
      <w:r w:rsidR="008E6474" w:rsidRPr="000444AC">
        <w:rPr>
          <w:rFonts w:ascii="Times New Roman" w:hAnsi="Times New Roman" w:cs="Times New Roman"/>
        </w:rPr>
        <w:t xml:space="preserve"> </w:t>
      </w:r>
      <w:r w:rsidR="001C2647" w:rsidRPr="000444AC">
        <w:rPr>
          <w:rFonts w:ascii="Times New Roman" w:hAnsi="Times New Roman" w:cs="Times New Roman"/>
        </w:rPr>
        <w:t>These bogus companies would target the customers of Standard’s competitors with predatory prices.</w:t>
      </w:r>
      <w:r w:rsidR="001C2647" w:rsidRPr="000444AC">
        <w:rPr>
          <w:rStyle w:val="a4"/>
          <w:rFonts w:ascii="Times New Roman" w:hAnsi="Times New Roman" w:cs="Times New Roman"/>
        </w:rPr>
        <w:footnoteReference w:id="83"/>
      </w:r>
      <w:r w:rsidR="008E6474" w:rsidRPr="000444AC">
        <w:rPr>
          <w:rFonts w:ascii="Times New Roman" w:hAnsi="Times New Roman" w:cs="Times New Roman"/>
        </w:rPr>
        <w:t xml:space="preserve"> </w:t>
      </w:r>
      <w:r w:rsidR="001C2647" w:rsidRPr="000444AC">
        <w:rPr>
          <w:rFonts w:ascii="Times New Roman" w:hAnsi="Times New Roman" w:cs="Times New Roman"/>
        </w:rPr>
        <w:t>After Standard’s bogus company vanquished a targeted rival, that bogus company would vanish, leaving the customers at the mercy of Standard Oil and its elevated prices in the newly monopolized region.</w:t>
      </w:r>
      <w:r w:rsidR="001C2647" w:rsidRPr="000444AC">
        <w:rPr>
          <w:rStyle w:val="a4"/>
          <w:rFonts w:ascii="Times New Roman" w:hAnsi="Times New Roman" w:cs="Times New Roman"/>
        </w:rPr>
        <w:footnoteReference w:id="84"/>
      </w:r>
      <w:r w:rsidR="001C2647" w:rsidRPr="000444AC">
        <w:rPr>
          <w:rFonts w:ascii="Times New Roman" w:hAnsi="Times New Roman" w:cs="Times New Roman"/>
        </w:rPr>
        <w:t xml:space="preserve"> </w:t>
      </w:r>
      <w:bookmarkStart w:id="19" w:name="citeas((Cite_as:_90_B.U._L._Rev._1543,_*"/>
      <w:bookmarkEnd w:id="19"/>
      <w:r w:rsidR="008E6474" w:rsidRPr="000444AC">
        <w:rPr>
          <w:rFonts w:ascii="Times New Roman" w:hAnsi="Times New Roman" w:cs="Times New Roman"/>
        </w:rPr>
        <w:t xml:space="preserve">This vanquish-and-vanish strategy demonstrates why Bork, McGee, and </w:t>
      </w:r>
      <w:r w:rsidR="008E6474" w:rsidRPr="000444AC">
        <w:rPr>
          <w:rFonts w:ascii="Times New Roman" w:hAnsi="Times New Roman" w:cs="Times New Roman"/>
          <w:i/>
        </w:rPr>
        <w:t>Matsushita</w:t>
      </w:r>
      <w:r w:rsidR="008E6474" w:rsidRPr="000444AC">
        <w:rPr>
          <w:rFonts w:ascii="Times New Roman" w:hAnsi="Times New Roman" w:cs="Times New Roman"/>
        </w:rPr>
        <w:t xml:space="preserve"> were wrong to assert that predatory pricing is implausible because the predator’s losses must be disproportionately higher than the target’s losses.</w:t>
      </w:r>
    </w:p>
    <w:p w:rsidR="008E6474" w:rsidRPr="000444AC" w:rsidRDefault="008E6474" w:rsidP="001C2647">
      <w:pPr>
        <w:rPr>
          <w:rFonts w:ascii="Times New Roman" w:eastAsia="Times New Roman" w:hAnsi="Times New Roman" w:cs="Times New Roman"/>
          <w:color w:val="000000"/>
        </w:rPr>
      </w:pPr>
    </w:p>
    <w:p w:rsidR="00E13FB4" w:rsidRPr="000444AC" w:rsidRDefault="008E6474" w:rsidP="00E13FB4">
      <w:pPr>
        <w:rPr>
          <w:rFonts w:ascii="Times New Roman" w:hAnsi="Times New Roman" w:cs="Times New Roman"/>
        </w:rPr>
      </w:pPr>
      <w:r w:rsidRPr="000444AC">
        <w:rPr>
          <w:rFonts w:ascii="Times New Roman" w:hAnsi="Times New Roman" w:cs="Times New Roman"/>
        </w:rPr>
        <w:tab/>
        <w:t xml:space="preserve">Although courts continue to trot out the </w:t>
      </w:r>
      <w:r w:rsidRPr="000444AC">
        <w:rPr>
          <w:rFonts w:ascii="Times New Roman" w:hAnsi="Times New Roman" w:cs="Times New Roman"/>
          <w:i/>
        </w:rPr>
        <w:t>Matsushita</w:t>
      </w:r>
      <w:r w:rsidRPr="000444AC">
        <w:rPr>
          <w:rFonts w:ascii="Times New Roman" w:hAnsi="Times New Roman" w:cs="Times New Roman"/>
        </w:rPr>
        <w:t xml:space="preserve"> opinion’s assertion that </w:t>
      </w:r>
      <w:r w:rsidR="00E13FB4" w:rsidRPr="000444AC">
        <w:rPr>
          <w:rFonts w:ascii="Times New Roman" w:hAnsi="Times New Roman" w:cs="Times New Roman"/>
        </w:rPr>
        <w:t>“there is a consensus among commentators that predatory pricing schemes are rarely tried, and even more rarely successful,”</w:t>
      </w:r>
      <w:r w:rsidR="00E13FB4" w:rsidRPr="000444AC">
        <w:rPr>
          <w:rStyle w:val="a4"/>
          <w:rFonts w:ascii="Times New Roman" w:hAnsi="Times New Roman" w:cs="Times New Roman"/>
        </w:rPr>
        <w:footnoteReference w:id="85"/>
      </w:r>
      <w:r w:rsidR="00E13FB4" w:rsidRPr="000444AC">
        <w:rPr>
          <w:rFonts w:ascii="Times New Roman" w:hAnsi="Times New Roman" w:cs="Times New Roman"/>
        </w:rPr>
        <w:t xml:space="preserve"> this assertion was wrong when the court made it and it gets more incorrect with each passing year. Before </w:t>
      </w:r>
      <w:r w:rsidR="00E13FB4" w:rsidRPr="000444AC">
        <w:rPr>
          <w:rFonts w:ascii="Times New Roman" w:hAnsi="Times New Roman" w:cs="Times New Roman"/>
          <w:i/>
        </w:rPr>
        <w:t>Matsushita</w:t>
      </w:r>
      <w:r w:rsidR="00E13FB4" w:rsidRPr="000444AC">
        <w:rPr>
          <w:rFonts w:ascii="Times New Roman" w:hAnsi="Times New Roman" w:cs="Times New Roman"/>
        </w:rPr>
        <w:t xml:space="preserve">, a significant body of economic literature had explained the rationality of predatory pricing. After </w:t>
      </w:r>
      <w:r w:rsidR="00E13FB4" w:rsidRPr="000444AC">
        <w:rPr>
          <w:rFonts w:ascii="Times New Roman" w:hAnsi="Times New Roman" w:cs="Times New Roman"/>
          <w:i/>
        </w:rPr>
        <w:t>Matsushita</w:t>
      </w:r>
      <w:r w:rsidR="00E13FB4" w:rsidRPr="000444AC">
        <w:rPr>
          <w:rFonts w:ascii="Times New Roman" w:hAnsi="Times New Roman" w:cs="Times New Roman"/>
        </w:rPr>
        <w:t>’s false claim of a consensus, more economist and legal academics explained how predatory pricing is rational and profitable.</w:t>
      </w:r>
      <w:r w:rsidR="006A3BE7" w:rsidRPr="000444AC">
        <w:rPr>
          <w:rStyle w:val="a4"/>
          <w:rFonts w:ascii="Times New Roman" w:hAnsi="Times New Roman" w:cs="Times New Roman"/>
        </w:rPr>
        <w:footnoteReference w:id="86"/>
      </w:r>
    </w:p>
    <w:p w:rsidR="0070700D" w:rsidRPr="000444AC" w:rsidRDefault="0070700D" w:rsidP="00154EF9">
      <w:pPr>
        <w:rPr>
          <w:rFonts w:ascii="Times New Roman" w:eastAsia="Times New Roman" w:hAnsi="Times New Roman" w:cs="Times New Roman"/>
        </w:rPr>
      </w:pPr>
    </w:p>
    <w:p w:rsidR="00B241BD" w:rsidRPr="000444AC" w:rsidRDefault="00B241BD" w:rsidP="00154EF9">
      <w:pPr>
        <w:rPr>
          <w:rFonts w:ascii="Times New Roman" w:eastAsia="Times New Roman" w:hAnsi="Times New Roman" w:cs="Times New Roman"/>
          <w:b/>
        </w:rPr>
      </w:pPr>
      <w:r w:rsidRPr="000444AC">
        <w:rPr>
          <w:rFonts w:ascii="Times New Roman" w:eastAsia="Times New Roman" w:hAnsi="Times New Roman" w:cs="Times New Roman"/>
        </w:rPr>
        <w:tab/>
      </w:r>
      <w:r w:rsidRPr="000444AC">
        <w:rPr>
          <w:rFonts w:ascii="Times New Roman" w:eastAsia="Times New Roman" w:hAnsi="Times New Roman" w:cs="Times New Roman"/>
        </w:rPr>
        <w:tab/>
      </w:r>
      <w:r w:rsidRPr="000444AC">
        <w:rPr>
          <w:rFonts w:ascii="Times New Roman" w:eastAsia="Times New Roman" w:hAnsi="Times New Roman" w:cs="Times New Roman"/>
          <w:b/>
        </w:rPr>
        <w:t>2. The Empirical Record of Predatory Pricing</w:t>
      </w:r>
    </w:p>
    <w:p w:rsidR="00DF383D" w:rsidRPr="000444AC" w:rsidRDefault="00DF383D" w:rsidP="00DF383D">
      <w:pPr>
        <w:rPr>
          <w:rFonts w:ascii="Times New Roman" w:hAnsi="Times New Roman" w:cs="Times New Roman"/>
        </w:rPr>
      </w:pPr>
    </w:p>
    <w:p w:rsidR="00DF383D" w:rsidRPr="000444AC" w:rsidRDefault="00DF383D" w:rsidP="00DF383D">
      <w:pPr>
        <w:ind w:firstLine="720"/>
        <w:rPr>
          <w:rFonts w:ascii="Times New Roman" w:hAnsi="Times New Roman" w:cs="Times New Roman"/>
        </w:rPr>
      </w:pPr>
      <w:r w:rsidRPr="000444AC">
        <w:rPr>
          <w:rFonts w:ascii="Times New Roman" w:hAnsi="Times New Roman" w:cs="Times New Roman"/>
        </w:rPr>
        <w:t xml:space="preserve">The </w:t>
      </w:r>
      <w:r w:rsidRPr="000444AC">
        <w:rPr>
          <w:rFonts w:ascii="Times New Roman" w:hAnsi="Times New Roman" w:cs="Times New Roman"/>
          <w:i/>
        </w:rPr>
        <w:t xml:space="preserve">Matsushita </w:t>
      </w:r>
      <w:r w:rsidRPr="000444AC">
        <w:rPr>
          <w:rFonts w:ascii="Times New Roman" w:hAnsi="Times New Roman" w:cs="Times New Roman"/>
        </w:rPr>
        <w:t>majority claimed that “there is a consensus among commentators that predatory pricing schemes are rarely tried, and even more rarely successful.”</w:t>
      </w:r>
      <w:r w:rsidRPr="000444AC">
        <w:rPr>
          <w:rStyle w:val="a4"/>
          <w:rFonts w:ascii="Times New Roman" w:hAnsi="Times New Roman" w:cs="Times New Roman"/>
        </w:rPr>
        <w:footnoteReference w:id="87"/>
      </w:r>
      <w:r w:rsidRPr="000444AC">
        <w:rPr>
          <w:rFonts w:ascii="Times New Roman" w:hAnsi="Times New Roman" w:cs="Times New Roman"/>
        </w:rPr>
        <w:t xml:space="preserve"> The only allegedly empirical work that the Court cites is McGee’s case study of the Standard Oil case of 1911. McGee’s work was incredibly influential.</w:t>
      </w:r>
      <w:r w:rsidRPr="000444AC">
        <w:rPr>
          <w:rStyle w:val="a4"/>
          <w:rFonts w:ascii="Times New Roman" w:hAnsi="Times New Roman" w:cs="Times New Roman"/>
        </w:rPr>
        <w:footnoteReference w:id="88"/>
      </w:r>
      <w:r w:rsidRPr="000444AC">
        <w:rPr>
          <w:rFonts w:ascii="Times New Roman" w:hAnsi="Times New Roman" w:cs="Times New Roman"/>
        </w:rPr>
        <w:t xml:space="preserve"> Scholars have asserted that McGee proved that </w:t>
      </w:r>
      <w:r w:rsidRPr="000444AC">
        <w:rPr>
          <w:rFonts w:ascii="Times New Roman" w:hAnsi="Times New Roman" w:cs="Times New Roman"/>
        </w:rPr>
        <w:lastRenderedPageBreak/>
        <w:t>predatory pricing is “seldom used”,</w:t>
      </w:r>
      <w:r w:rsidRPr="000444AC">
        <w:rPr>
          <w:rStyle w:val="a4"/>
          <w:rFonts w:ascii="Times New Roman" w:hAnsi="Times New Roman" w:cs="Times New Roman"/>
        </w:rPr>
        <w:footnoteReference w:id="89"/>
      </w:r>
      <w:r w:rsidRPr="000444AC">
        <w:rPr>
          <w:rFonts w:ascii="Times New Roman" w:hAnsi="Times New Roman" w:cs="Times New Roman"/>
        </w:rPr>
        <w:t xml:space="preserve"> </w:t>
      </w:r>
      <w:bookmarkStart w:id="20" w:name="sp_1135_267"/>
      <w:bookmarkStart w:id="21" w:name="SDU_267"/>
      <w:bookmarkStart w:id="22" w:name="citeas((Cite_as:_44_Emory_L.J._267,_*267"/>
      <w:bookmarkEnd w:id="20"/>
      <w:bookmarkEnd w:id="21"/>
      <w:bookmarkEnd w:id="22"/>
      <w:r w:rsidRPr="000444AC">
        <w:rPr>
          <w:rFonts w:ascii="Times New Roman" w:hAnsi="Times New Roman" w:cs="Times New Roman"/>
        </w:rPr>
        <w:t>“extremely rare”</w:t>
      </w:r>
      <w:bookmarkStart w:id="23" w:name="sp_1359_301"/>
      <w:bookmarkStart w:id="24" w:name="SDU_301"/>
      <w:bookmarkEnd w:id="23"/>
      <w:bookmarkEnd w:id="24"/>
      <w:r w:rsidRPr="000444AC">
        <w:rPr>
          <w:rFonts w:ascii="Times New Roman" w:hAnsi="Times New Roman" w:cs="Times New Roman"/>
        </w:rPr>
        <w:t>,</w:t>
      </w:r>
      <w:r w:rsidRPr="000444AC">
        <w:rPr>
          <w:rStyle w:val="a4"/>
          <w:rFonts w:ascii="Times New Roman" w:hAnsi="Times New Roman" w:cs="Times New Roman"/>
        </w:rPr>
        <w:footnoteReference w:id="90"/>
      </w:r>
      <w:r w:rsidRPr="000444AC">
        <w:rPr>
          <w:rFonts w:ascii="Times New Roman" w:hAnsi="Times New Roman" w:cs="Times New Roman"/>
        </w:rPr>
        <w:t xml:space="preserve"> and “does not exist.”</w:t>
      </w:r>
      <w:r w:rsidRPr="000444AC">
        <w:rPr>
          <w:rStyle w:val="a4"/>
          <w:rFonts w:ascii="Times New Roman" w:hAnsi="Times New Roman" w:cs="Times New Roman"/>
        </w:rPr>
        <w:footnoteReference w:id="91"/>
      </w:r>
      <w:r w:rsidRPr="000444AC">
        <w:rPr>
          <w:rFonts w:ascii="Times New Roman" w:hAnsi="Times New Roman" w:cs="Times New Roman"/>
        </w:rPr>
        <w:t xml:space="preserve"> Scholars mistakenly refer to McGee’s article an “empirical study.”</w:t>
      </w:r>
      <w:r w:rsidRPr="000444AC">
        <w:rPr>
          <w:rStyle w:val="a4"/>
          <w:rFonts w:ascii="Times New Roman" w:hAnsi="Times New Roman" w:cs="Times New Roman"/>
        </w:rPr>
        <w:footnoteReference w:id="92"/>
      </w:r>
      <w:r w:rsidRPr="000444AC">
        <w:rPr>
          <w:rFonts w:ascii="Times New Roman" w:hAnsi="Times New Roman" w:cs="Times New Roman"/>
        </w:rPr>
        <w:t xml:space="preserve"> Scholars assert that McGee showed that Standard Oil “never actually used” predatory pricing.</w:t>
      </w:r>
      <w:r w:rsidRPr="000444AC">
        <w:rPr>
          <w:rStyle w:val="a4"/>
          <w:rFonts w:ascii="Times New Roman" w:hAnsi="Times New Roman" w:cs="Times New Roman"/>
        </w:rPr>
        <w:footnoteReference w:id="93"/>
      </w:r>
      <w:r w:rsidRPr="000444AC">
        <w:rPr>
          <w:rFonts w:ascii="Times New Roman" w:hAnsi="Times New Roman" w:cs="Times New Roman"/>
        </w:rPr>
        <w:t xml:space="preserve"> Post-</w:t>
      </w:r>
      <w:r w:rsidRPr="000444AC">
        <w:rPr>
          <w:rFonts w:ascii="Times New Roman" w:hAnsi="Times New Roman" w:cs="Times New Roman"/>
          <w:i/>
        </w:rPr>
        <w:t>Matsushita</w:t>
      </w:r>
      <w:r w:rsidRPr="000444AC">
        <w:rPr>
          <w:rFonts w:ascii="Times New Roman" w:hAnsi="Times New Roman" w:cs="Times New Roman"/>
        </w:rPr>
        <w:t xml:space="preserve"> opinions have invoked McGee’s scholarship as “empirical work” that proves “turn-of-the-century ‘robber barons’” did not “commonly practice[] predatory pricing to eliminate competitors.”</w:t>
      </w:r>
      <w:r w:rsidRPr="000444AC">
        <w:rPr>
          <w:rStyle w:val="a4"/>
          <w:rFonts w:ascii="Times New Roman" w:hAnsi="Times New Roman" w:cs="Times New Roman"/>
        </w:rPr>
        <w:footnoteReference w:id="94"/>
      </w:r>
      <w:r w:rsidRPr="000444AC">
        <w:rPr>
          <w:rFonts w:ascii="Times New Roman" w:hAnsi="Times New Roman" w:cs="Times New Roman"/>
        </w:rPr>
        <w:t xml:space="preserve"> </w:t>
      </w:r>
    </w:p>
    <w:p w:rsidR="00DF383D" w:rsidRPr="000444AC" w:rsidRDefault="00DF383D" w:rsidP="00DF383D">
      <w:pPr>
        <w:rPr>
          <w:rFonts w:ascii="Times New Roman" w:hAnsi="Times New Roman" w:cs="Times New Roman"/>
        </w:rPr>
      </w:pPr>
    </w:p>
    <w:p w:rsidR="008D1D66" w:rsidRPr="000444AC" w:rsidRDefault="00DF383D" w:rsidP="008D1D66">
      <w:pPr>
        <w:rPr>
          <w:rFonts w:ascii="Times New Roman" w:hAnsi="Times New Roman" w:cs="Times New Roman"/>
        </w:rPr>
      </w:pPr>
      <w:r w:rsidRPr="000444AC">
        <w:rPr>
          <w:rFonts w:ascii="Times New Roman" w:hAnsi="Times New Roman" w:cs="Times New Roman"/>
        </w:rPr>
        <w:tab/>
        <w:t xml:space="preserve">The reliance on McGee for the proposition that Standard did not engage in predatory pricing – let alone that predatory pricing doesn’t happen in general – is misplaced. McGee claimed to have reviewed the trial record of </w:t>
      </w:r>
      <w:r w:rsidRPr="000444AC">
        <w:rPr>
          <w:rFonts w:ascii="Times New Roman" w:hAnsi="Times New Roman" w:cs="Times New Roman"/>
          <w:i/>
        </w:rPr>
        <w:t>Standard Oil</w:t>
      </w:r>
      <w:r w:rsidRPr="000444AC">
        <w:rPr>
          <w:rFonts w:ascii="Times New Roman" w:hAnsi="Times New Roman" w:cs="Times New Roman"/>
        </w:rPr>
        <w:t xml:space="preserve"> and declared: “</w:t>
      </w:r>
      <w:r w:rsidRPr="000444AC">
        <w:rPr>
          <w:rFonts w:ascii="Times New Roman" w:hAnsi="Times New Roman" w:cs="Times New Roman"/>
          <w:color w:val="000000"/>
        </w:rPr>
        <w:t xml:space="preserve">I </w:t>
      </w:r>
      <w:proofErr w:type="spellStart"/>
      <w:r w:rsidRPr="000444AC">
        <w:rPr>
          <w:rFonts w:ascii="Times New Roman" w:hAnsi="Times New Roman" w:cs="Times New Roman"/>
          <w:color w:val="000000"/>
        </w:rPr>
        <w:t>can not</w:t>
      </w:r>
      <w:proofErr w:type="spellEnd"/>
      <w:r w:rsidRPr="000444AC">
        <w:rPr>
          <w:rFonts w:ascii="Times New Roman" w:hAnsi="Times New Roman" w:cs="Times New Roman"/>
          <w:color w:val="000000"/>
        </w:rPr>
        <w:t xml:space="preserve"> find a single instance in which Standard used predatory price cutting to force a rival refiner to sell out, to reduce asset values for purchase, or to drive a competitor out of business. I do not believe that Standard even tried to do it; if it tried, it did not work.</w:t>
      </w:r>
      <w:r w:rsidRPr="000444AC">
        <w:rPr>
          <w:rFonts w:ascii="Times New Roman" w:hAnsi="Times New Roman" w:cs="Times New Roman"/>
        </w:rPr>
        <w:t>”</w:t>
      </w:r>
      <w:bookmarkStart w:id="35" w:name="_Ref294557101"/>
      <w:r w:rsidRPr="000444AC">
        <w:rPr>
          <w:rStyle w:val="a4"/>
          <w:rFonts w:ascii="Times New Roman" w:hAnsi="Times New Roman" w:cs="Times New Roman"/>
        </w:rPr>
        <w:footnoteReference w:id="95"/>
      </w:r>
      <w:bookmarkEnd w:id="35"/>
      <w:r w:rsidRPr="000444AC">
        <w:rPr>
          <w:rFonts w:ascii="Times New Roman" w:hAnsi="Times New Roman" w:cs="Times New Roman"/>
        </w:rPr>
        <w:t xml:space="preserve"> McGee’s final assertion is facially false: How can he say that it didn’t work given that Standard monopolized the market? More importantly, McGee’s approach cannot support his conclusion.</w:t>
      </w:r>
      <w:r w:rsidR="008D1D66" w:rsidRPr="000444AC">
        <w:rPr>
          <w:rFonts w:ascii="Times New Roman" w:hAnsi="Times New Roman" w:cs="Times New Roman"/>
        </w:rPr>
        <w:t xml:space="preserve"> McGee never examined either price data or cost data for Standard Oil, even though both components are necessary to prove that Standard never charged a price below cost. McGee interpreted the vague denials of Standard employees as proof positive that predatory pricing did not occur.</w:t>
      </w:r>
      <w:r w:rsidR="008D1D66" w:rsidRPr="000444AC">
        <w:rPr>
          <w:rStyle w:val="a4"/>
          <w:rFonts w:ascii="Times New Roman" w:hAnsi="Times New Roman" w:cs="Times New Roman"/>
        </w:rPr>
        <w:footnoteReference w:id="96"/>
      </w:r>
      <w:r w:rsidR="008D1D66" w:rsidRPr="000444AC">
        <w:rPr>
          <w:rFonts w:ascii="Times New Roman" w:hAnsi="Times New Roman" w:cs="Times New Roman"/>
        </w:rPr>
        <w:t xml:space="preserve"> McGee discounted the testimony of former Standard employees who related their first-hand experiences of Standard Oil engaging in predatory pricing.</w:t>
      </w:r>
      <w:r w:rsidR="008D1D66" w:rsidRPr="000444AC">
        <w:rPr>
          <w:rStyle w:val="a4"/>
          <w:rFonts w:ascii="Times New Roman" w:hAnsi="Times New Roman" w:cs="Times New Roman"/>
        </w:rPr>
        <w:footnoteReference w:id="97"/>
      </w:r>
      <w:r w:rsidR="008D1D66" w:rsidRPr="000444AC">
        <w:rPr>
          <w:rFonts w:ascii="Times New Roman" w:hAnsi="Times New Roman" w:cs="Times New Roman"/>
        </w:rPr>
        <w:t xml:space="preserve"> Economists Ja</w:t>
      </w:r>
      <w:r w:rsidR="00127643" w:rsidRPr="000444AC">
        <w:rPr>
          <w:rFonts w:ascii="Times New Roman" w:hAnsi="Times New Roman" w:cs="Times New Roman"/>
        </w:rPr>
        <w:t xml:space="preserve">mes Dalton and Louis Esposito </w:t>
      </w:r>
      <w:r w:rsidR="008D1D66" w:rsidRPr="000444AC">
        <w:rPr>
          <w:rFonts w:ascii="Times New Roman" w:hAnsi="Times New Roman" w:cs="Times New Roman"/>
        </w:rPr>
        <w:t xml:space="preserve">closely inspected the trial record from </w:t>
      </w:r>
      <w:r w:rsidR="008D1D66" w:rsidRPr="000444AC">
        <w:rPr>
          <w:rFonts w:ascii="Times New Roman" w:hAnsi="Times New Roman" w:cs="Times New Roman"/>
          <w:i/>
        </w:rPr>
        <w:t>Standard Oil</w:t>
      </w:r>
      <w:r w:rsidR="008D1D66" w:rsidRPr="000444AC">
        <w:rPr>
          <w:rFonts w:ascii="Times New Roman" w:hAnsi="Times New Roman" w:cs="Times New Roman"/>
        </w:rPr>
        <w:t xml:space="preserve"> and concluded that “the Record contains considerable evidence of predatory pricing. Simply stated, the Record does not support McGee's conclusion </w:t>
      </w:r>
      <w:r w:rsidR="008D1D66" w:rsidRPr="000444AC">
        <w:rPr>
          <w:rFonts w:ascii="Times New Roman" w:hAnsi="Times New Roman" w:cs="Times New Roman"/>
        </w:rPr>
        <w:lastRenderedPageBreak/>
        <w:t>that Standard Oil did not engage in predatory pricing.”</w:t>
      </w:r>
      <w:r w:rsidR="008D1D66" w:rsidRPr="000444AC">
        <w:rPr>
          <w:rStyle w:val="a4"/>
          <w:rFonts w:ascii="Times New Roman" w:hAnsi="Times New Roman" w:cs="Times New Roman"/>
        </w:rPr>
        <w:footnoteReference w:id="98"/>
      </w:r>
      <w:r w:rsidR="008D1D66" w:rsidRPr="000444AC">
        <w:rPr>
          <w:rFonts w:ascii="Times New Roman" w:hAnsi="Times New Roman" w:cs="Times New Roman"/>
        </w:rPr>
        <w:t xml:space="preserve"> Dalton and Esposito presented evidence that Standard charged a price below its cost in several geographic markets, including Minnesota, New York, Boston, and Colorado, among others.</w:t>
      </w:r>
      <w:r w:rsidR="008D1D66" w:rsidRPr="000444AC">
        <w:rPr>
          <w:rStyle w:val="a4"/>
          <w:rFonts w:ascii="Times New Roman" w:hAnsi="Times New Roman" w:cs="Times New Roman"/>
        </w:rPr>
        <w:footnoteReference w:id="99"/>
      </w:r>
      <w:r w:rsidR="008D1D66" w:rsidRPr="000444AC">
        <w:rPr>
          <w:rFonts w:ascii="Times New Roman" w:hAnsi="Times New Roman" w:cs="Times New Roman"/>
        </w:rPr>
        <w:t xml:space="preserve"> </w:t>
      </w:r>
    </w:p>
    <w:p w:rsidR="00DF383D" w:rsidRPr="000444AC" w:rsidRDefault="00DF383D" w:rsidP="00DF383D">
      <w:pPr>
        <w:rPr>
          <w:rFonts w:ascii="Times New Roman" w:hAnsi="Times New Roman" w:cs="Times New Roman"/>
        </w:rPr>
      </w:pPr>
    </w:p>
    <w:p w:rsidR="002026CE" w:rsidRPr="000444AC" w:rsidRDefault="00127643" w:rsidP="002026CE">
      <w:pPr>
        <w:rPr>
          <w:rFonts w:ascii="Times New Roman" w:hAnsi="Times New Roman" w:cs="Times New Roman"/>
        </w:rPr>
      </w:pPr>
      <w:r w:rsidRPr="000444AC">
        <w:rPr>
          <w:rFonts w:ascii="Times New Roman" w:eastAsia="Times New Roman" w:hAnsi="Times New Roman" w:cs="Times New Roman"/>
        </w:rPr>
        <w:tab/>
        <w:t xml:space="preserve">McGee’s impressionistic approach pales in comparison to the work of Ida Tarbell. </w:t>
      </w:r>
      <w:r w:rsidR="00E52482" w:rsidRPr="000444AC">
        <w:rPr>
          <w:rFonts w:ascii="Times New Roman" w:hAnsi="Times New Roman" w:cs="Times New Roman"/>
        </w:rPr>
        <w:t>Tarbell had comprehensive access to Standard’s records because Mark Twain, a friend of Standard director H.H. Rogers, had introduced the two and Rogers provided candid assessments to Tarbell, as well as meeting with her regularly for two years and providing her with a desk at Standard’s Manhattan offices where she reviewed Standard’s documents relating to its practices and prices.</w:t>
      </w:r>
      <w:r w:rsidR="00E52482" w:rsidRPr="000444AC">
        <w:rPr>
          <w:rStyle w:val="a4"/>
          <w:rFonts w:ascii="Times New Roman" w:hAnsi="Times New Roman" w:cs="Times New Roman"/>
        </w:rPr>
        <w:footnoteReference w:id="100"/>
      </w:r>
      <w:r w:rsidR="00E52482" w:rsidRPr="000444AC">
        <w:rPr>
          <w:rFonts w:ascii="Times New Roman" w:eastAsia="Times New Roman" w:hAnsi="Times New Roman" w:cs="Times New Roman"/>
        </w:rPr>
        <w:t xml:space="preserve"> </w:t>
      </w:r>
      <w:r w:rsidR="002026CE" w:rsidRPr="000444AC">
        <w:rPr>
          <w:rFonts w:ascii="Times New Roman" w:hAnsi="Times New Roman" w:cs="Times New Roman"/>
        </w:rPr>
        <w:t xml:space="preserve">Tarbell </w:t>
      </w:r>
      <w:r w:rsidR="00E16DCD" w:rsidRPr="000444AC">
        <w:rPr>
          <w:rFonts w:ascii="Times New Roman" w:hAnsi="Times New Roman" w:cs="Times New Roman"/>
        </w:rPr>
        <w:t xml:space="preserve">also </w:t>
      </w:r>
      <w:r w:rsidR="002026CE" w:rsidRPr="000444AC">
        <w:rPr>
          <w:rFonts w:ascii="Times New Roman" w:hAnsi="Times New Roman" w:cs="Times New Roman"/>
        </w:rPr>
        <w:t>surveyed state investigations of Standard Oil and reported several examples from across the country of the company engaging in predatory pricing.</w:t>
      </w:r>
      <w:r w:rsidR="002026CE" w:rsidRPr="000444AC">
        <w:rPr>
          <w:rStyle w:val="a4"/>
          <w:rFonts w:ascii="Times New Roman" w:hAnsi="Times New Roman" w:cs="Times New Roman"/>
        </w:rPr>
        <w:footnoteReference w:id="101"/>
      </w:r>
      <w:r w:rsidR="002026CE" w:rsidRPr="000444AC">
        <w:rPr>
          <w:rFonts w:ascii="Times New Roman" w:hAnsi="Times New Roman" w:cs="Times New Roman"/>
        </w:rPr>
        <w:t xml:space="preserve">  </w:t>
      </w:r>
      <w:r w:rsidR="00E16DCD" w:rsidRPr="000444AC">
        <w:rPr>
          <w:rFonts w:ascii="Times New Roman" w:hAnsi="Times New Roman" w:cs="Times New Roman"/>
        </w:rPr>
        <w:t xml:space="preserve">She showed how </w:t>
      </w:r>
      <w:r w:rsidR="002026CE" w:rsidRPr="000444AC">
        <w:rPr>
          <w:rFonts w:ascii="Times New Roman" w:hAnsi="Times New Roman" w:cs="Times New Roman"/>
        </w:rPr>
        <w:t>Standard used threats of predatory pricing to coerce dealers into not purchasing oil from Standard’s rivals.</w:t>
      </w:r>
      <w:r w:rsidR="002026CE" w:rsidRPr="000444AC">
        <w:rPr>
          <w:rStyle w:val="a4"/>
          <w:rFonts w:ascii="Times New Roman" w:hAnsi="Times New Roman" w:cs="Times New Roman"/>
        </w:rPr>
        <w:footnoteReference w:id="102"/>
      </w:r>
      <w:r w:rsidR="002026CE" w:rsidRPr="000444AC">
        <w:rPr>
          <w:rFonts w:ascii="Times New Roman" w:hAnsi="Times New Roman" w:cs="Times New Roman"/>
        </w:rPr>
        <w:t xml:space="preserve"> </w:t>
      </w:r>
      <w:r w:rsidR="00E16DCD" w:rsidRPr="000444AC">
        <w:rPr>
          <w:rFonts w:ascii="Times New Roman" w:hAnsi="Times New Roman" w:cs="Times New Roman"/>
        </w:rPr>
        <w:t>Moreover, she documented how a</w:t>
      </w:r>
      <w:r w:rsidR="002026CE" w:rsidRPr="000444AC">
        <w:rPr>
          <w:rFonts w:ascii="Times New Roman" w:hAnsi="Times New Roman" w:cs="Times New Roman"/>
        </w:rPr>
        <w:t>fter Standard succeeded in driving its rivals from a regional market, it would hike its prices back into profitable levels.</w:t>
      </w:r>
      <w:r w:rsidR="002026CE" w:rsidRPr="000444AC">
        <w:rPr>
          <w:rStyle w:val="a4"/>
          <w:rFonts w:ascii="Times New Roman" w:hAnsi="Times New Roman" w:cs="Times New Roman"/>
        </w:rPr>
        <w:footnoteReference w:id="103"/>
      </w:r>
      <w:r w:rsidR="002026CE" w:rsidRPr="000444AC">
        <w:rPr>
          <w:rFonts w:ascii="Times New Roman" w:hAnsi="Times New Roman" w:cs="Times New Roman"/>
        </w:rPr>
        <w:t xml:space="preserve"> </w:t>
      </w:r>
    </w:p>
    <w:p w:rsidR="002026CE" w:rsidRPr="000444AC" w:rsidRDefault="002026CE" w:rsidP="00E52482">
      <w:pPr>
        <w:ind w:firstLine="720"/>
        <w:jc w:val="right"/>
        <w:rPr>
          <w:rFonts w:ascii="Times New Roman" w:hAnsi="Times New Roman" w:cs="Times New Roman"/>
        </w:rPr>
      </w:pPr>
    </w:p>
    <w:p w:rsidR="00E52482" w:rsidRPr="000444AC" w:rsidRDefault="00E52482" w:rsidP="00E52482">
      <w:pPr>
        <w:ind w:firstLine="720"/>
        <w:rPr>
          <w:rFonts w:ascii="Times New Roman" w:hAnsi="Times New Roman" w:cs="Times New Roman"/>
        </w:rPr>
      </w:pPr>
      <w:r w:rsidRPr="000444AC">
        <w:rPr>
          <w:rFonts w:ascii="Times New Roman" w:hAnsi="Times New Roman" w:cs="Times New Roman"/>
        </w:rPr>
        <w:t>In addition to Tarbell’s meticulous work, government researchers, and several scholars have all cataloged numerous examples of Standard charging a price below cost in order to successfully drive its rivals from various geographic markets. After controlling for product quality, delivery methods, and timing, the U.S. Bureau of Corporations documented many instances of Standard engaging in predatory pricing.</w:t>
      </w:r>
      <w:r w:rsidRPr="000444AC">
        <w:rPr>
          <w:rStyle w:val="a4"/>
          <w:rFonts w:ascii="Times New Roman" w:hAnsi="Times New Roman" w:cs="Times New Roman"/>
        </w:rPr>
        <w:t xml:space="preserve"> </w:t>
      </w:r>
      <w:r w:rsidRPr="000444AC">
        <w:rPr>
          <w:rStyle w:val="a4"/>
          <w:rFonts w:ascii="Times New Roman" w:hAnsi="Times New Roman" w:cs="Times New Roman"/>
        </w:rPr>
        <w:footnoteReference w:id="104"/>
      </w:r>
      <w:r w:rsidRPr="000444AC">
        <w:rPr>
          <w:rFonts w:ascii="Times New Roman" w:hAnsi="Times New Roman" w:cs="Times New Roman"/>
        </w:rPr>
        <w:t xml:space="preserve"> Unlike McGee, the BOC study examined and reported hundreds of pages of actual data.</w:t>
      </w:r>
    </w:p>
    <w:p w:rsidR="00E52482" w:rsidRPr="000444AC" w:rsidRDefault="00E52482" w:rsidP="00E52482">
      <w:pPr>
        <w:ind w:firstLine="720"/>
        <w:rPr>
          <w:rFonts w:ascii="Times New Roman" w:hAnsi="Times New Roman" w:cs="Times New Roman"/>
        </w:rPr>
      </w:pPr>
    </w:p>
    <w:p w:rsidR="000734FF" w:rsidRPr="000444AC" w:rsidRDefault="00E52482" w:rsidP="00E52482">
      <w:pPr>
        <w:ind w:firstLine="720"/>
        <w:rPr>
          <w:rFonts w:ascii="Times New Roman" w:hAnsi="Times New Roman" w:cs="Times New Roman"/>
        </w:rPr>
      </w:pPr>
      <w:r w:rsidRPr="000444AC">
        <w:rPr>
          <w:rFonts w:ascii="Times New Roman" w:hAnsi="Times New Roman" w:cs="Times New Roman"/>
        </w:rPr>
        <w:t>Additionally</w:t>
      </w:r>
      <w:r w:rsidR="00E16DCD" w:rsidRPr="000444AC">
        <w:rPr>
          <w:rFonts w:ascii="Times New Roman" w:hAnsi="Times New Roman" w:cs="Times New Roman"/>
        </w:rPr>
        <w:t xml:space="preserve">, contemporary government research identified specific instances of Standard pricing below cost. </w:t>
      </w:r>
      <w:r w:rsidR="002026CE" w:rsidRPr="000444AC">
        <w:rPr>
          <w:rFonts w:ascii="Times New Roman" w:hAnsi="Times New Roman" w:cs="Times New Roman"/>
        </w:rPr>
        <w:t>In its brief, the Department of Justice faulted Standard Oil for committing predatory pricing in over one hundred local markets.</w:t>
      </w:r>
      <w:r w:rsidR="002026CE" w:rsidRPr="000444AC">
        <w:rPr>
          <w:rStyle w:val="a4"/>
          <w:rFonts w:ascii="Times New Roman" w:hAnsi="Times New Roman" w:cs="Times New Roman"/>
        </w:rPr>
        <w:footnoteReference w:id="105"/>
      </w:r>
      <w:r w:rsidR="002026CE" w:rsidRPr="000444AC">
        <w:rPr>
          <w:rFonts w:ascii="Times New Roman" w:hAnsi="Times New Roman" w:cs="Times New Roman"/>
        </w:rPr>
        <w:t xml:space="preserve"> </w:t>
      </w:r>
      <w:r w:rsidRPr="000444AC">
        <w:rPr>
          <w:rFonts w:ascii="Times New Roman" w:hAnsi="Times New Roman" w:cs="Times New Roman"/>
        </w:rPr>
        <w:t>Ultimately, scholars examining the actual files of Standard Oil have proven that the behemoth used predatory pricing to monopolize several regional markets.</w:t>
      </w:r>
      <w:bookmarkStart w:id="36" w:name="_Ref294558929"/>
      <w:r w:rsidR="000734FF" w:rsidRPr="000444AC">
        <w:rPr>
          <w:rStyle w:val="a4"/>
          <w:rFonts w:ascii="Times New Roman" w:hAnsi="Times New Roman" w:cs="Times New Roman"/>
        </w:rPr>
        <w:footnoteReference w:id="106"/>
      </w:r>
      <w:bookmarkEnd w:id="36"/>
      <w:r w:rsidR="000734FF" w:rsidRPr="000444AC">
        <w:rPr>
          <w:rFonts w:ascii="Times New Roman" w:hAnsi="Times New Roman" w:cs="Times New Roman"/>
        </w:rPr>
        <w:t xml:space="preserve">  </w:t>
      </w:r>
    </w:p>
    <w:p w:rsidR="000734FF" w:rsidRPr="000444AC" w:rsidRDefault="000734FF" w:rsidP="00154EF9">
      <w:pPr>
        <w:rPr>
          <w:rFonts w:ascii="Times New Roman" w:hAnsi="Times New Roman" w:cs="Times New Roman"/>
        </w:rPr>
      </w:pPr>
    </w:p>
    <w:p w:rsidR="008D1D66" w:rsidRPr="000444AC" w:rsidRDefault="00E16061" w:rsidP="00E52482">
      <w:pPr>
        <w:rPr>
          <w:rFonts w:ascii="Times New Roman" w:eastAsia="Times New Roman" w:hAnsi="Times New Roman" w:cs="Times New Roman"/>
        </w:rPr>
      </w:pPr>
      <w:r w:rsidRPr="000444AC">
        <w:rPr>
          <w:rFonts w:ascii="Times New Roman" w:hAnsi="Times New Roman" w:cs="Times New Roman"/>
        </w:rPr>
        <w:tab/>
        <w:t>Beyond Standard Oil, scholars have identified several historical and recent examples of monopolists acquiring or maintaining their market power through predatory pricing.</w:t>
      </w:r>
      <w:r w:rsidRPr="000444AC">
        <w:rPr>
          <w:rStyle w:val="a4"/>
          <w:rFonts w:ascii="Times New Roman" w:hAnsi="Times New Roman" w:cs="Times New Roman"/>
        </w:rPr>
        <w:footnoteReference w:id="107"/>
      </w:r>
      <w:r w:rsidRPr="000444AC">
        <w:rPr>
          <w:rFonts w:ascii="Times New Roman" w:hAnsi="Times New Roman" w:cs="Times New Roman"/>
        </w:rPr>
        <w:t xml:space="preserve"> </w:t>
      </w:r>
      <w:r w:rsidRPr="000444AC">
        <w:rPr>
          <w:rFonts w:ascii="Times New Roman" w:eastAsia="Times New Roman" w:hAnsi="Times New Roman" w:cs="Times New Roman"/>
        </w:rPr>
        <w:t xml:space="preserve">The </w:t>
      </w:r>
      <w:r w:rsidRPr="000444AC">
        <w:rPr>
          <w:rFonts w:ascii="Times New Roman" w:eastAsia="Times New Roman" w:hAnsi="Times New Roman" w:cs="Times New Roman"/>
        </w:rPr>
        <w:lastRenderedPageBreak/>
        <w:t>recent scholarship discussing historical cases of predatory pricing are far more sophisticated than the “more impressionistic surveys” of yesteryear.</w:t>
      </w:r>
      <w:r w:rsidRPr="000444AC">
        <w:rPr>
          <w:rStyle w:val="a4"/>
          <w:rFonts w:ascii="Times New Roman" w:eastAsia="Times New Roman" w:hAnsi="Times New Roman" w:cs="Times New Roman"/>
        </w:rPr>
        <w:footnoteReference w:id="108"/>
      </w:r>
      <w:r w:rsidRPr="000444AC">
        <w:rPr>
          <w:rFonts w:ascii="Times New Roman" w:eastAsia="Times New Roman" w:hAnsi="Times New Roman" w:cs="Times New Roman"/>
        </w:rPr>
        <w:t xml:space="preserve"> In contrast, s</w:t>
      </w:r>
      <w:r w:rsidR="00DD66AD" w:rsidRPr="000444AC">
        <w:rPr>
          <w:rFonts w:ascii="Times New Roman" w:hAnsi="Times New Roman" w:cs="Times New Roman"/>
        </w:rPr>
        <w:t>tudies that claim that predatory pricing does not happen suffer from systematic underreporting.</w:t>
      </w:r>
      <w:r w:rsidR="00DD66AD" w:rsidRPr="000444AC">
        <w:rPr>
          <w:rStyle w:val="a4"/>
          <w:rFonts w:ascii="Times New Roman" w:hAnsi="Times New Roman" w:cs="Times New Roman"/>
        </w:rPr>
        <w:footnoteReference w:id="109"/>
      </w:r>
    </w:p>
    <w:p w:rsidR="00127643" w:rsidRPr="000444AC" w:rsidRDefault="00127643" w:rsidP="00127643">
      <w:pPr>
        <w:rPr>
          <w:rFonts w:ascii="Times New Roman" w:eastAsia="Times New Roman" w:hAnsi="Times New Roman" w:cs="Times New Roman"/>
        </w:rPr>
      </w:pPr>
    </w:p>
    <w:p w:rsidR="00154EF9" w:rsidRPr="000444AC" w:rsidRDefault="00154EF9" w:rsidP="00154EF9">
      <w:pPr>
        <w:ind w:firstLine="720"/>
        <w:rPr>
          <w:rFonts w:ascii="Times New Roman" w:eastAsia="Times New Roman" w:hAnsi="Times New Roman" w:cs="Times New Roman"/>
          <w:b/>
        </w:rPr>
      </w:pPr>
      <w:r w:rsidRPr="000444AC">
        <w:rPr>
          <w:rFonts w:ascii="Times New Roman" w:hAnsi="Times New Roman" w:cs="Times New Roman"/>
          <w:b/>
        </w:rPr>
        <w:t>B. Predatory Pricing is Anticompetitive Even Without Recoupment</w:t>
      </w:r>
    </w:p>
    <w:p w:rsidR="00154EF9" w:rsidRPr="000444AC" w:rsidRDefault="00154EF9" w:rsidP="00154EF9">
      <w:pPr>
        <w:rPr>
          <w:rFonts w:ascii="Times New Roman" w:hAnsi="Times New Roman" w:cs="Times New Roman"/>
          <w:b/>
        </w:rPr>
      </w:pPr>
    </w:p>
    <w:p w:rsidR="008E7B87" w:rsidRPr="000444AC" w:rsidRDefault="008E7B87" w:rsidP="008E7B87">
      <w:pPr>
        <w:ind w:firstLine="720"/>
        <w:rPr>
          <w:rFonts w:ascii="Times New Roman" w:hAnsi="Times New Roman" w:cs="Times New Roman"/>
        </w:rPr>
      </w:pPr>
      <w:r w:rsidRPr="000444AC">
        <w:rPr>
          <w:rFonts w:ascii="Times New Roman" w:hAnsi="Times New Roman" w:cs="Times New Roman"/>
        </w:rPr>
        <w:t>Courts have justified</w:t>
      </w:r>
      <w:r w:rsidR="00C164D6" w:rsidRPr="000444AC">
        <w:rPr>
          <w:rFonts w:ascii="Times New Roman" w:hAnsi="Times New Roman" w:cs="Times New Roman"/>
        </w:rPr>
        <w:t xml:space="preserve"> the recoupment requirement </w:t>
      </w:r>
      <w:r w:rsidRPr="000444AC">
        <w:rPr>
          <w:rFonts w:ascii="Times New Roman" w:hAnsi="Times New Roman" w:cs="Times New Roman"/>
        </w:rPr>
        <w:t>by asserting</w:t>
      </w:r>
      <w:r w:rsidR="00C164D6" w:rsidRPr="000444AC">
        <w:rPr>
          <w:rFonts w:ascii="Times New Roman" w:hAnsi="Times New Roman" w:cs="Times New Roman"/>
        </w:rPr>
        <w:t xml:space="preserve"> that “[p]</w:t>
      </w:r>
      <w:proofErr w:type="spellStart"/>
      <w:r w:rsidR="00C164D6" w:rsidRPr="000444AC">
        <w:rPr>
          <w:rFonts w:ascii="Times New Roman" w:hAnsi="Times New Roman" w:cs="Times New Roman"/>
        </w:rPr>
        <w:t>redatory</w:t>
      </w:r>
      <w:proofErr w:type="spellEnd"/>
      <w:r w:rsidR="00C164D6" w:rsidRPr="000444AC">
        <w:rPr>
          <w:rFonts w:ascii="Times New Roman" w:hAnsi="Times New Roman" w:cs="Times New Roman"/>
        </w:rPr>
        <w:t xml:space="preserve"> pricing is only harmful when the predator succeeds in recouping the losses it suffered by its earlier below-cost pricing.”</w:t>
      </w:r>
      <w:r w:rsidR="00C164D6" w:rsidRPr="000444AC">
        <w:rPr>
          <w:rStyle w:val="a4"/>
          <w:rFonts w:ascii="Times New Roman" w:hAnsi="Times New Roman" w:cs="Times New Roman"/>
        </w:rPr>
        <w:footnoteReference w:id="110"/>
      </w:r>
      <w:r w:rsidR="00C164D6" w:rsidRPr="000444AC">
        <w:rPr>
          <w:rFonts w:ascii="Times New Roman" w:hAnsi="Times New Roman" w:cs="Times New Roman"/>
        </w:rPr>
        <w:t xml:space="preserve"> This is based on the belief that the below-cost pricing during the predation stage is beneficial for consumers. For example, courts have emphasized that the first stage of predatory pricing benefits consumers who are able to purchase products or service at low prices.</w:t>
      </w:r>
      <w:r w:rsidR="00C164D6" w:rsidRPr="000444AC">
        <w:rPr>
          <w:rStyle w:val="a4"/>
          <w:rFonts w:ascii="Times New Roman" w:hAnsi="Times New Roman" w:cs="Times New Roman"/>
        </w:rPr>
        <w:footnoteReference w:id="111"/>
      </w:r>
      <w:r w:rsidR="00C164D6" w:rsidRPr="000444AC">
        <w:rPr>
          <w:rFonts w:ascii="Times New Roman" w:hAnsi="Times New Roman" w:cs="Times New Roman"/>
        </w:rPr>
        <w:t xml:space="preserve">  The </w:t>
      </w:r>
      <w:r w:rsidR="00C164D6" w:rsidRPr="000444AC">
        <w:rPr>
          <w:rFonts w:ascii="Times New Roman" w:hAnsi="Times New Roman" w:cs="Times New Roman"/>
          <w:i/>
        </w:rPr>
        <w:t>Brooke Group</w:t>
      </w:r>
      <w:r w:rsidR="00C164D6" w:rsidRPr="000444AC">
        <w:rPr>
          <w:rFonts w:ascii="Times New Roman" w:hAnsi="Times New Roman" w:cs="Times New Roman"/>
        </w:rPr>
        <w:t xml:space="preserve"> majority, for example, observed that absent recoupment, “predatory pricing produces lower aggregate prices in the market, and consumer welfare is enhanced.”</w:t>
      </w:r>
      <w:r w:rsidR="00C164D6" w:rsidRPr="000444AC">
        <w:rPr>
          <w:rStyle w:val="a4"/>
          <w:rFonts w:ascii="Times New Roman" w:hAnsi="Times New Roman" w:cs="Times New Roman"/>
        </w:rPr>
        <w:footnoteReference w:id="112"/>
      </w:r>
      <w:r w:rsidR="00C164D6" w:rsidRPr="000444AC">
        <w:rPr>
          <w:rFonts w:ascii="Times New Roman" w:hAnsi="Times New Roman" w:cs="Times New Roman"/>
        </w:rPr>
        <w:t xml:space="preserve"> Similarly, lower federal courts have reasoned that “futile below-cost pricing effectively bestows a gift on consumers, and the Sherman Act does not condemn such inadvertent charity.”</w:t>
      </w:r>
      <w:r w:rsidR="00C164D6" w:rsidRPr="000444AC">
        <w:rPr>
          <w:rStyle w:val="a4"/>
          <w:rFonts w:ascii="Times New Roman" w:hAnsi="Times New Roman" w:cs="Times New Roman"/>
        </w:rPr>
        <w:footnoteReference w:id="113"/>
      </w:r>
    </w:p>
    <w:p w:rsidR="008E7B87" w:rsidRPr="000444AC" w:rsidRDefault="008E7B87" w:rsidP="008E7B87">
      <w:pPr>
        <w:ind w:firstLine="720"/>
        <w:rPr>
          <w:rFonts w:ascii="Times New Roman" w:hAnsi="Times New Roman" w:cs="Times New Roman"/>
        </w:rPr>
      </w:pPr>
    </w:p>
    <w:p w:rsidR="008E7B87" w:rsidRPr="000444AC" w:rsidRDefault="008E7B87" w:rsidP="008E7B87">
      <w:pPr>
        <w:ind w:firstLine="720"/>
        <w:rPr>
          <w:rFonts w:ascii="Times New Roman" w:hAnsi="Times New Roman" w:cs="Times New Roman"/>
        </w:rPr>
      </w:pPr>
      <w:r w:rsidRPr="000444AC">
        <w:rPr>
          <w:rFonts w:ascii="Times New Roman" w:hAnsi="Times New Roman" w:cs="Times New Roman"/>
        </w:rPr>
        <w:t>Whether the monopolist earns enough supra-competitive profits in the post-predation period to cover its losses has no effect on the anti-competitive injury imposed on efficient rivals or on the amount of the overcharges actually paid by consumers in the second phase.</w:t>
      </w:r>
      <w:r w:rsidRPr="000444AC">
        <w:rPr>
          <w:rStyle w:val="a4"/>
          <w:rFonts w:ascii="Times New Roman" w:hAnsi="Times New Roman" w:cs="Times New Roman"/>
        </w:rPr>
        <w:footnoteReference w:id="114"/>
      </w:r>
      <w:r w:rsidRPr="000444AC">
        <w:rPr>
          <w:rFonts w:ascii="Times New Roman" w:hAnsi="Times New Roman" w:cs="Times New Roman"/>
        </w:rPr>
        <w:t xml:space="preserve"> Recoupment is unnecessary for predatory pricing to have anticompetitive effects.</w:t>
      </w:r>
      <w:r w:rsidRPr="000444AC">
        <w:rPr>
          <w:rStyle w:val="a4"/>
          <w:rFonts w:ascii="Times New Roman" w:hAnsi="Times New Roman" w:cs="Times New Roman"/>
        </w:rPr>
        <w:footnoteReference w:id="115"/>
      </w:r>
      <w:r w:rsidRPr="000444AC">
        <w:rPr>
          <w:rFonts w:ascii="Times New Roman" w:hAnsi="Times New Roman" w:cs="Times New Roman"/>
        </w:rPr>
        <w:t xml:space="preserve"> For example, an equally efficient competitor who is eliminated from the market by a monopolist’s below-cost pricing suffers the same antitrust injury whether or not the predator recoups its losses.</w:t>
      </w:r>
    </w:p>
    <w:p w:rsidR="008E7B87" w:rsidRPr="000444AC" w:rsidRDefault="008E7B87" w:rsidP="008E7B87">
      <w:pPr>
        <w:ind w:firstLine="720"/>
        <w:rPr>
          <w:rFonts w:ascii="Times New Roman" w:hAnsi="Times New Roman" w:cs="Times New Roman"/>
        </w:rPr>
      </w:pPr>
    </w:p>
    <w:p w:rsidR="0026021A" w:rsidRPr="000444AC" w:rsidRDefault="00C164D6" w:rsidP="008E7B87">
      <w:pPr>
        <w:ind w:firstLine="720"/>
        <w:rPr>
          <w:rFonts w:ascii="Times New Roman" w:hAnsi="Times New Roman" w:cs="Times New Roman"/>
        </w:rPr>
      </w:pPr>
      <w:r w:rsidRPr="000444AC">
        <w:rPr>
          <w:rFonts w:ascii="Times New Roman" w:hAnsi="Times New Roman" w:cs="Times New Roman"/>
        </w:rPr>
        <w:t>Consumers who pay a supra-competitive price during the recoupment phase suffer antitrust injury regardless of whether the predator recoups its losses.</w:t>
      </w:r>
      <w:r w:rsidRPr="000444AC">
        <w:rPr>
          <w:rStyle w:val="a4"/>
          <w:rFonts w:ascii="Times New Roman" w:hAnsi="Times New Roman" w:cs="Times New Roman"/>
        </w:rPr>
        <w:footnoteReference w:id="116"/>
      </w:r>
      <w:r w:rsidRPr="000444AC">
        <w:rPr>
          <w:rFonts w:ascii="Times New Roman" w:hAnsi="Times New Roman" w:cs="Times New Roman"/>
        </w:rPr>
        <w:t xml:space="preserve"> The Areeda and Hovenkamp treatise explains that “post-predation prices can be significantly </w:t>
      </w:r>
      <w:proofErr w:type="spellStart"/>
      <w:r w:rsidRPr="000444AC">
        <w:rPr>
          <w:rFonts w:ascii="Times New Roman" w:hAnsi="Times New Roman" w:cs="Times New Roman"/>
        </w:rPr>
        <w:t>supracompetitive</w:t>
      </w:r>
      <w:proofErr w:type="spellEnd"/>
      <w:r w:rsidRPr="000444AC">
        <w:rPr>
          <w:rFonts w:ascii="Times New Roman" w:hAnsi="Times New Roman" w:cs="Times New Roman"/>
        </w:rPr>
        <w:t xml:space="preserve">, </w:t>
      </w:r>
      <w:r w:rsidRPr="000444AC">
        <w:rPr>
          <w:rFonts w:ascii="Times New Roman" w:hAnsi="Times New Roman" w:cs="Times New Roman"/>
        </w:rPr>
        <w:lastRenderedPageBreak/>
        <w:t>thereby injuring consumers, and yet be insufficient in size or duration to provide full recoupment for the defendant’s investment in predation.”</w:t>
      </w:r>
      <w:r w:rsidRPr="000444AC">
        <w:rPr>
          <w:rStyle w:val="a4"/>
          <w:rFonts w:ascii="Times New Roman" w:hAnsi="Times New Roman" w:cs="Times New Roman"/>
        </w:rPr>
        <w:footnoteReference w:id="117"/>
      </w:r>
      <w:r w:rsidRPr="000444AC">
        <w:rPr>
          <w:rFonts w:ascii="Times New Roman" w:hAnsi="Times New Roman" w:cs="Times New Roman"/>
        </w:rPr>
        <w:t xml:space="preserve"> Courts are mistaken to treat “consumers” as a monolithic group over time. The consumer group who are overcharged during the recoupment phase may have a different composition than the earlier group of purchasers. A consumer who pays a monopoly price receive no compensation or offset from those different consumers who paid a below-cost price during the predation phase.</w:t>
      </w:r>
    </w:p>
    <w:p w:rsidR="0026021A" w:rsidRPr="000444AC" w:rsidRDefault="0026021A" w:rsidP="0026021A">
      <w:pPr>
        <w:rPr>
          <w:rFonts w:ascii="Times New Roman" w:hAnsi="Times New Roman" w:cs="Times New Roman"/>
        </w:rPr>
      </w:pPr>
    </w:p>
    <w:p w:rsidR="00E16061" w:rsidRPr="000444AC" w:rsidRDefault="0026021A" w:rsidP="00E16061">
      <w:pPr>
        <w:ind w:firstLine="720"/>
        <w:rPr>
          <w:rFonts w:ascii="Times New Roman" w:hAnsi="Times New Roman" w:cs="Times New Roman"/>
        </w:rPr>
      </w:pPr>
      <w:r w:rsidRPr="000444AC">
        <w:rPr>
          <w:rFonts w:ascii="Times New Roman" w:hAnsi="Times New Roman" w:cs="Times New Roman"/>
        </w:rPr>
        <w:t>Antitrust law does not care about a monopolist’s profitability.</w:t>
      </w:r>
      <w:r w:rsidRPr="000444AC">
        <w:rPr>
          <w:rStyle w:val="a4"/>
          <w:rFonts w:ascii="Times New Roman" w:hAnsi="Times New Roman" w:cs="Times New Roman"/>
        </w:rPr>
        <w:footnoteReference w:id="118"/>
      </w:r>
      <w:r w:rsidRPr="000444AC">
        <w:rPr>
          <w:rFonts w:ascii="Times New Roman" w:hAnsi="Times New Roman" w:cs="Times New Roman"/>
        </w:rPr>
        <w:t xml:space="preserve"> As Professors Areeda and Hovenkamp note in their treatise, “[t]he law embodies no general principle that the legal system should not punish business conduct simply because the conduct is unprofitable to the defendant.”</w:t>
      </w:r>
      <w:r w:rsidRPr="000444AC">
        <w:rPr>
          <w:rStyle w:val="a4"/>
          <w:rFonts w:ascii="Times New Roman" w:hAnsi="Times New Roman" w:cs="Times New Roman"/>
        </w:rPr>
        <w:footnoteReference w:id="119"/>
      </w:r>
      <w:r w:rsidRPr="000444AC">
        <w:rPr>
          <w:rFonts w:ascii="Times New Roman" w:hAnsi="Times New Roman" w:cs="Times New Roman"/>
        </w:rPr>
        <w:t xml:space="preserve"> Instead, antitrust law cares about the competitive process, efficient competitors, and consumers.</w:t>
      </w:r>
    </w:p>
    <w:p w:rsidR="00E16061" w:rsidRPr="000444AC" w:rsidRDefault="00E16061" w:rsidP="00E16061">
      <w:pPr>
        <w:ind w:firstLine="720"/>
        <w:rPr>
          <w:rFonts w:ascii="Times New Roman" w:hAnsi="Times New Roman" w:cs="Times New Roman"/>
        </w:rPr>
      </w:pPr>
    </w:p>
    <w:p w:rsidR="0026021A" w:rsidRPr="000444AC" w:rsidRDefault="0026021A" w:rsidP="00E16061">
      <w:pPr>
        <w:ind w:firstLine="720"/>
        <w:rPr>
          <w:rFonts w:ascii="Times New Roman" w:hAnsi="Times New Roman" w:cs="Times New Roman"/>
        </w:rPr>
      </w:pPr>
      <w:r w:rsidRPr="000444AC">
        <w:rPr>
          <w:rFonts w:ascii="Times New Roman" w:hAnsi="Times New Roman" w:cs="Times New Roman"/>
        </w:rPr>
        <w:t>The recoupment element does not assist judges and jurors in determining whether a defendant’s aggressive pricing is anticompetitive or merely foolhardy. The recoupment inquiry only asks whether a monopolist’s conduct is lucrative. But antitrust law cares little about a monopolist’s profits; rather, antitrust law cares about whether a monopolist has acquired or maintained its monopoly power in predatory acts that injure efficient competitors and, ultimately, an identifiable class of consumers. Predatory pricing can do this even when a monopolist fails to recoup its investment in predation.</w:t>
      </w:r>
    </w:p>
    <w:p w:rsidR="008E7B87" w:rsidRPr="000444AC" w:rsidRDefault="008E7B87" w:rsidP="0026021A">
      <w:pPr>
        <w:rPr>
          <w:rFonts w:ascii="Times New Roman" w:hAnsi="Times New Roman" w:cs="Times New Roman"/>
        </w:rPr>
      </w:pPr>
    </w:p>
    <w:p w:rsidR="0026021A" w:rsidRPr="000444AC" w:rsidRDefault="0026021A" w:rsidP="008E7B87">
      <w:pPr>
        <w:ind w:firstLine="720"/>
        <w:rPr>
          <w:rFonts w:ascii="Times New Roman" w:hAnsi="Times New Roman" w:cs="Times New Roman"/>
        </w:rPr>
      </w:pPr>
      <w:r w:rsidRPr="000444AC">
        <w:rPr>
          <w:rFonts w:ascii="Times New Roman" w:hAnsi="Times New Roman" w:cs="Times New Roman"/>
        </w:rPr>
        <w:t>In short, courts should focus on whether a monopolist’s conduct is unnecessarily exclusionary, not whether it is profitable.</w:t>
      </w:r>
    </w:p>
    <w:p w:rsidR="00C164D6" w:rsidRPr="000444AC" w:rsidRDefault="00C164D6" w:rsidP="00C84317">
      <w:pPr>
        <w:rPr>
          <w:rFonts w:ascii="Times New Roman" w:hAnsi="Times New Roman" w:cs="Times New Roman"/>
        </w:rPr>
      </w:pPr>
    </w:p>
    <w:p w:rsidR="00C84317" w:rsidRPr="000444AC" w:rsidRDefault="00A700DB" w:rsidP="00154EF9">
      <w:pPr>
        <w:rPr>
          <w:rFonts w:ascii="Times New Roman" w:hAnsi="Times New Roman" w:cs="Times New Roman"/>
          <w:b/>
        </w:rPr>
      </w:pPr>
      <w:r w:rsidRPr="000444AC">
        <w:rPr>
          <w:rFonts w:ascii="Times New Roman" w:hAnsi="Times New Roman" w:cs="Times New Roman"/>
          <w:b/>
        </w:rPr>
        <w:tab/>
        <w:t xml:space="preserve">C. </w:t>
      </w:r>
      <w:r w:rsidR="00823458" w:rsidRPr="000444AC">
        <w:rPr>
          <w:rFonts w:ascii="Times New Roman" w:hAnsi="Times New Roman" w:cs="Times New Roman"/>
          <w:b/>
        </w:rPr>
        <w:t>The</w:t>
      </w:r>
      <w:r w:rsidRPr="000444AC">
        <w:rPr>
          <w:rFonts w:ascii="Times New Roman" w:hAnsi="Times New Roman" w:cs="Times New Roman"/>
          <w:b/>
        </w:rPr>
        <w:t xml:space="preserve"> </w:t>
      </w:r>
      <w:r w:rsidR="00823458" w:rsidRPr="000444AC">
        <w:rPr>
          <w:rFonts w:ascii="Times New Roman" w:hAnsi="Times New Roman" w:cs="Times New Roman"/>
          <w:b/>
        </w:rPr>
        <w:t xml:space="preserve">Misapplication of the </w:t>
      </w:r>
      <w:r w:rsidRPr="000444AC">
        <w:rPr>
          <w:rFonts w:ascii="Times New Roman" w:hAnsi="Times New Roman" w:cs="Times New Roman"/>
          <w:b/>
        </w:rPr>
        <w:t xml:space="preserve">Recoupment </w:t>
      </w:r>
      <w:r w:rsidR="00823458" w:rsidRPr="000444AC">
        <w:rPr>
          <w:rFonts w:ascii="Times New Roman" w:hAnsi="Times New Roman" w:cs="Times New Roman"/>
          <w:b/>
        </w:rPr>
        <w:t>Requirement</w:t>
      </w:r>
    </w:p>
    <w:p w:rsidR="00A700DB" w:rsidRPr="000444AC" w:rsidRDefault="00A700DB" w:rsidP="00154EF9">
      <w:pPr>
        <w:rPr>
          <w:rFonts w:ascii="Times New Roman" w:hAnsi="Times New Roman" w:cs="Times New Roman"/>
          <w:b/>
        </w:rPr>
      </w:pPr>
    </w:p>
    <w:p w:rsidR="00A700DB" w:rsidRPr="000444AC" w:rsidRDefault="0061549C" w:rsidP="00A700DB">
      <w:pPr>
        <w:rPr>
          <w:rFonts w:ascii="Times New Roman" w:hAnsi="Times New Roman" w:cs="Times New Roman"/>
        </w:rPr>
      </w:pPr>
      <w:r w:rsidRPr="000444AC">
        <w:rPr>
          <w:rFonts w:ascii="Times New Roman" w:hAnsi="Times New Roman" w:cs="Times New Roman"/>
        </w:rPr>
        <w:tab/>
        <w:t xml:space="preserve">The recoupment requirement represents more than simply the addition of an unnecessary element. As applied by federal judges, it is too often an insurmountable burden, an element that is impossible to satisfy. </w:t>
      </w:r>
      <w:r w:rsidR="00A700DB" w:rsidRPr="000444AC">
        <w:rPr>
          <w:rFonts w:ascii="Times New Roman" w:hAnsi="Times New Roman" w:cs="Times New Roman"/>
        </w:rPr>
        <w:t xml:space="preserve">Courts consistently </w:t>
      </w:r>
      <w:r w:rsidRPr="000444AC">
        <w:rPr>
          <w:rFonts w:ascii="Times New Roman" w:hAnsi="Times New Roman" w:cs="Times New Roman"/>
        </w:rPr>
        <w:t xml:space="preserve">bungle </w:t>
      </w:r>
      <w:r w:rsidR="00A700DB" w:rsidRPr="000444AC">
        <w:rPr>
          <w:rFonts w:ascii="Times New Roman" w:hAnsi="Times New Roman" w:cs="Times New Roman"/>
        </w:rPr>
        <w:t>the recoupment analysis, too quickly concluding that recoupment is improbable based on unrealistic assumptions and improper legal analysis.</w:t>
      </w:r>
      <w:r w:rsidRPr="000444AC">
        <w:rPr>
          <w:rFonts w:ascii="Times New Roman" w:hAnsi="Times New Roman" w:cs="Times New Roman"/>
        </w:rPr>
        <w:t xml:space="preserve"> For example, many courts</w:t>
      </w:r>
      <w:r w:rsidR="00A700DB" w:rsidRPr="000444AC">
        <w:rPr>
          <w:rFonts w:ascii="Times New Roman" w:hAnsi="Times New Roman" w:cs="Times New Roman"/>
        </w:rPr>
        <w:t xml:space="preserve"> improperly find no probability of recoupment because they incorrectly conclude that market entry is easier than it is.</w:t>
      </w:r>
      <w:r w:rsidR="00A700DB" w:rsidRPr="000444AC">
        <w:rPr>
          <w:rStyle w:val="a4"/>
          <w:rFonts w:ascii="Times New Roman" w:hAnsi="Times New Roman" w:cs="Times New Roman"/>
        </w:rPr>
        <w:footnoteReference w:id="120"/>
      </w:r>
      <w:r w:rsidR="00A700DB" w:rsidRPr="000444AC">
        <w:rPr>
          <w:rFonts w:ascii="Times New Roman" w:hAnsi="Times New Roman" w:cs="Times New Roman"/>
        </w:rPr>
        <w:t xml:space="preserve"> And</w:t>
      </w:r>
      <w:r w:rsidRPr="000444AC">
        <w:rPr>
          <w:rFonts w:ascii="Times New Roman" w:hAnsi="Times New Roman" w:cs="Times New Roman"/>
        </w:rPr>
        <w:t xml:space="preserve"> courts assume</w:t>
      </w:r>
      <w:r w:rsidR="00A700DB" w:rsidRPr="000444AC">
        <w:rPr>
          <w:rFonts w:ascii="Times New Roman" w:hAnsi="Times New Roman" w:cs="Times New Roman"/>
        </w:rPr>
        <w:t xml:space="preserve"> that vanquished rivals will simply reenter the market when the monopolist attempts to rec</w:t>
      </w:r>
      <w:r w:rsidRPr="000444AC">
        <w:rPr>
          <w:rFonts w:ascii="Times New Roman" w:hAnsi="Times New Roman" w:cs="Times New Roman"/>
        </w:rPr>
        <w:t>oup its losses by raising price,</w:t>
      </w:r>
      <w:r w:rsidR="00A700DB" w:rsidRPr="000444AC">
        <w:rPr>
          <w:rStyle w:val="a4"/>
          <w:rFonts w:ascii="Times New Roman" w:hAnsi="Times New Roman" w:cs="Times New Roman"/>
        </w:rPr>
        <w:footnoteReference w:id="121"/>
      </w:r>
      <w:r w:rsidR="00A700DB" w:rsidRPr="000444AC">
        <w:rPr>
          <w:rFonts w:ascii="Times New Roman" w:hAnsi="Times New Roman" w:cs="Times New Roman"/>
        </w:rPr>
        <w:t xml:space="preserve"> </w:t>
      </w:r>
      <w:r w:rsidRPr="000444AC">
        <w:rPr>
          <w:rFonts w:ascii="Times New Roman" w:hAnsi="Times New Roman" w:cs="Times New Roman"/>
        </w:rPr>
        <w:t>even though that is often unlikely.</w:t>
      </w:r>
      <w:r w:rsidRPr="000444AC">
        <w:rPr>
          <w:rStyle w:val="a4"/>
          <w:rFonts w:ascii="Times New Roman" w:hAnsi="Times New Roman" w:cs="Times New Roman"/>
        </w:rPr>
        <w:footnoteReference w:id="122"/>
      </w:r>
      <w:r w:rsidR="0033446C" w:rsidRPr="000444AC">
        <w:rPr>
          <w:rFonts w:ascii="Times New Roman" w:hAnsi="Times New Roman" w:cs="Times New Roman"/>
        </w:rPr>
        <w:t xml:space="preserve"> </w:t>
      </w:r>
      <w:r w:rsidR="00A700DB" w:rsidRPr="000444AC">
        <w:rPr>
          <w:rFonts w:ascii="Times New Roman" w:hAnsi="Times New Roman" w:cs="Times New Roman"/>
        </w:rPr>
        <w:t xml:space="preserve">Predatory-pricing cynics incorrectly assume that capital markets will fund entry of new competitors and reentry by firms driven out by the </w:t>
      </w:r>
      <w:r w:rsidR="00A700DB" w:rsidRPr="000444AC">
        <w:rPr>
          <w:rFonts w:ascii="Times New Roman" w:hAnsi="Times New Roman" w:cs="Times New Roman"/>
        </w:rPr>
        <w:lastRenderedPageBreak/>
        <w:t>defendant’s previous below-cost pricing, despite the fact that predatory pricing deters venture capitalists from backing firms that will challenge a monopolist willing to incur losses.</w:t>
      </w:r>
      <w:r w:rsidR="00A700DB" w:rsidRPr="000444AC">
        <w:rPr>
          <w:rStyle w:val="a4"/>
          <w:rFonts w:ascii="Times New Roman" w:hAnsi="Times New Roman" w:cs="Times New Roman"/>
        </w:rPr>
        <w:footnoteReference w:id="123"/>
      </w:r>
      <w:r w:rsidR="00A700DB" w:rsidRPr="000444AC">
        <w:rPr>
          <w:rFonts w:ascii="Times New Roman" w:hAnsi="Times New Roman" w:cs="Times New Roman"/>
        </w:rPr>
        <w:t xml:space="preserve"> </w:t>
      </w:r>
    </w:p>
    <w:p w:rsidR="00A700DB" w:rsidRPr="000444AC" w:rsidRDefault="00A700DB" w:rsidP="00A700DB">
      <w:pPr>
        <w:ind w:right="-396"/>
        <w:rPr>
          <w:rFonts w:ascii="Times New Roman" w:hAnsi="Times New Roman" w:cs="Times New Roman"/>
        </w:rPr>
      </w:pPr>
    </w:p>
    <w:p w:rsidR="00A700DB" w:rsidRPr="000444AC" w:rsidRDefault="00A700DB" w:rsidP="0061549C">
      <w:pPr>
        <w:ind w:right="-396"/>
        <w:rPr>
          <w:rFonts w:ascii="Times New Roman" w:hAnsi="Times New Roman" w:cs="Times New Roman"/>
        </w:rPr>
      </w:pPr>
      <w:r w:rsidRPr="000444AC">
        <w:rPr>
          <w:rFonts w:ascii="Times New Roman" w:hAnsi="Times New Roman" w:cs="Times New Roman"/>
        </w:rPr>
        <w:tab/>
        <w:t xml:space="preserve">Courts </w:t>
      </w:r>
      <w:r w:rsidR="0061549C" w:rsidRPr="000444AC">
        <w:rPr>
          <w:rFonts w:ascii="Times New Roman" w:hAnsi="Times New Roman" w:cs="Times New Roman"/>
        </w:rPr>
        <w:t>habitually don’t understand the varied ways that a predator can recoup its investment in below-cost pricing.</w:t>
      </w:r>
      <w:r w:rsidR="0033446C" w:rsidRPr="000444AC">
        <w:rPr>
          <w:rFonts w:ascii="Times New Roman" w:hAnsi="Times New Roman" w:cs="Times New Roman"/>
        </w:rPr>
        <w:t xml:space="preserve"> </w:t>
      </w:r>
      <w:r w:rsidRPr="000444AC">
        <w:rPr>
          <w:rFonts w:ascii="Times New Roman" w:hAnsi="Times New Roman" w:cs="Times New Roman"/>
        </w:rPr>
        <w:t xml:space="preserve"> Courts routinely fail to appreciate that a predator’s recoupment can occur in another product market than the market in which the monopolist incurred its losses.</w:t>
      </w:r>
      <w:r w:rsidRPr="000444AC">
        <w:rPr>
          <w:rStyle w:val="a4"/>
          <w:rFonts w:ascii="Times New Roman" w:hAnsi="Times New Roman" w:cs="Times New Roman"/>
        </w:rPr>
        <w:footnoteReference w:id="124"/>
      </w:r>
      <w:r w:rsidR="0033446C" w:rsidRPr="000444AC">
        <w:rPr>
          <w:rFonts w:ascii="Times New Roman" w:hAnsi="Times New Roman" w:cs="Times New Roman"/>
        </w:rPr>
        <w:t xml:space="preserve"> </w:t>
      </w:r>
      <w:r w:rsidRPr="000444AC">
        <w:rPr>
          <w:rFonts w:ascii="Times New Roman" w:hAnsi="Times New Roman" w:cs="Times New Roman"/>
        </w:rPr>
        <w:t xml:space="preserve"> For example, courts don’t appreciate how recoupment can occur in a complementary product market,</w:t>
      </w:r>
      <w:r w:rsidRPr="000444AC">
        <w:rPr>
          <w:rStyle w:val="a4"/>
          <w:rFonts w:ascii="Times New Roman" w:hAnsi="Times New Roman" w:cs="Times New Roman"/>
        </w:rPr>
        <w:footnoteReference w:id="125"/>
      </w:r>
      <w:r w:rsidRPr="000444AC">
        <w:rPr>
          <w:rFonts w:ascii="Times New Roman" w:hAnsi="Times New Roman" w:cs="Times New Roman"/>
        </w:rPr>
        <w:t xml:space="preserve"> in a substitute product market,</w:t>
      </w:r>
      <w:r w:rsidRPr="000444AC">
        <w:rPr>
          <w:rStyle w:val="a4"/>
          <w:rFonts w:ascii="Times New Roman" w:hAnsi="Times New Roman" w:cs="Times New Roman"/>
        </w:rPr>
        <w:footnoteReference w:id="126"/>
      </w:r>
      <w:r w:rsidRPr="000444AC">
        <w:rPr>
          <w:rFonts w:ascii="Times New Roman" w:hAnsi="Times New Roman" w:cs="Times New Roman"/>
        </w:rPr>
        <w:t xml:space="preserve"> or in a replacement product market.</w:t>
      </w:r>
      <w:r w:rsidRPr="000444AC">
        <w:rPr>
          <w:rStyle w:val="a4"/>
          <w:rFonts w:ascii="Times New Roman" w:hAnsi="Times New Roman" w:cs="Times New Roman"/>
        </w:rPr>
        <w:footnoteReference w:id="127"/>
      </w:r>
      <w:r w:rsidR="0061549C" w:rsidRPr="000444AC">
        <w:rPr>
          <w:rFonts w:ascii="Times New Roman" w:hAnsi="Times New Roman" w:cs="Times New Roman"/>
        </w:rPr>
        <w:t xml:space="preserve"> </w:t>
      </w:r>
      <w:r w:rsidR="0033446C" w:rsidRPr="000444AC">
        <w:rPr>
          <w:rFonts w:ascii="Times New Roman" w:hAnsi="Times New Roman" w:cs="Times New Roman"/>
        </w:rPr>
        <w:t xml:space="preserve"> </w:t>
      </w:r>
      <w:r w:rsidRPr="000444AC">
        <w:rPr>
          <w:rFonts w:ascii="Times New Roman" w:hAnsi="Times New Roman" w:cs="Times New Roman"/>
        </w:rPr>
        <w:t xml:space="preserve"> Nor do courts recognize how recoupment can take place in different geographic market.</w:t>
      </w:r>
      <w:r w:rsidRPr="000444AC">
        <w:rPr>
          <w:rStyle w:val="a4"/>
          <w:rFonts w:ascii="Times New Roman" w:hAnsi="Times New Roman" w:cs="Times New Roman"/>
        </w:rPr>
        <w:footnoteReference w:id="128"/>
      </w:r>
    </w:p>
    <w:p w:rsidR="00A700DB" w:rsidRPr="000444AC" w:rsidRDefault="00A700DB" w:rsidP="00A700DB">
      <w:pPr>
        <w:rPr>
          <w:rFonts w:ascii="Times New Roman" w:hAnsi="Times New Roman" w:cs="Times New Roman"/>
        </w:rPr>
      </w:pPr>
    </w:p>
    <w:p w:rsidR="00A700DB" w:rsidRPr="000444AC" w:rsidRDefault="006D3CD4" w:rsidP="00A700DB">
      <w:pPr>
        <w:rPr>
          <w:rFonts w:ascii="Times New Roman" w:hAnsi="Times New Roman" w:cs="Times New Roman"/>
        </w:rPr>
      </w:pPr>
      <w:r w:rsidRPr="000444AC">
        <w:rPr>
          <w:rFonts w:ascii="Times New Roman" w:hAnsi="Times New Roman" w:cs="Times New Roman"/>
        </w:rPr>
        <w:tab/>
      </w:r>
      <w:r w:rsidR="00823458" w:rsidRPr="000444AC">
        <w:rPr>
          <w:rFonts w:ascii="Times New Roman" w:hAnsi="Times New Roman" w:cs="Times New Roman"/>
        </w:rPr>
        <w:t xml:space="preserve">The Supreme Court, in particular, can’t fathom how recoupment can succeed in cartelized or </w:t>
      </w:r>
      <w:proofErr w:type="spellStart"/>
      <w:r w:rsidR="00823458" w:rsidRPr="000444AC">
        <w:rPr>
          <w:rFonts w:ascii="Times New Roman" w:hAnsi="Times New Roman" w:cs="Times New Roman"/>
        </w:rPr>
        <w:t>oligopolized</w:t>
      </w:r>
      <w:proofErr w:type="spellEnd"/>
      <w:r w:rsidR="00823458" w:rsidRPr="000444AC">
        <w:rPr>
          <w:rFonts w:ascii="Times New Roman" w:hAnsi="Times New Roman" w:cs="Times New Roman"/>
        </w:rPr>
        <w:t xml:space="preserve"> markets. For example, a</w:t>
      </w:r>
      <w:r w:rsidR="00A700DB" w:rsidRPr="000444AC">
        <w:rPr>
          <w:rFonts w:ascii="Times New Roman" w:hAnsi="Times New Roman" w:cs="Times New Roman"/>
        </w:rPr>
        <w:t xml:space="preserve">lthough the </w:t>
      </w:r>
      <w:r w:rsidR="00A700DB" w:rsidRPr="000444AC">
        <w:rPr>
          <w:rFonts w:ascii="Times New Roman" w:hAnsi="Times New Roman" w:cs="Times New Roman"/>
          <w:i/>
        </w:rPr>
        <w:t>Matsushita</w:t>
      </w:r>
      <w:r w:rsidR="00A700DB" w:rsidRPr="000444AC">
        <w:rPr>
          <w:rFonts w:ascii="Times New Roman" w:hAnsi="Times New Roman" w:cs="Times New Roman"/>
        </w:rPr>
        <w:t xml:space="preserve"> Court found it implausible that Japanese electronics cartel could recoup its losses in the American market,</w:t>
      </w:r>
      <w:r w:rsidR="00A700DB" w:rsidRPr="000444AC">
        <w:rPr>
          <w:rStyle w:val="a4"/>
          <w:rFonts w:ascii="Times New Roman" w:hAnsi="Times New Roman" w:cs="Times New Roman"/>
        </w:rPr>
        <w:footnoteReference w:id="129"/>
      </w:r>
      <w:r w:rsidR="00823458" w:rsidRPr="000444AC">
        <w:rPr>
          <w:rFonts w:ascii="Times New Roman" w:hAnsi="Times New Roman" w:cs="Times New Roman"/>
        </w:rPr>
        <w:t xml:space="preserve"> much law and economics scholarship shows how recoupment can be achieved through oligopoly pricing.</w:t>
      </w:r>
      <w:r w:rsidR="00823458" w:rsidRPr="000444AC">
        <w:rPr>
          <w:rStyle w:val="a4"/>
          <w:rFonts w:ascii="Times New Roman" w:hAnsi="Times New Roman" w:cs="Times New Roman"/>
        </w:rPr>
        <w:footnoteReference w:id="130"/>
      </w:r>
      <w:r w:rsidR="0033446C" w:rsidRPr="000444AC">
        <w:rPr>
          <w:rFonts w:ascii="Times New Roman" w:hAnsi="Times New Roman" w:cs="Times New Roman"/>
        </w:rPr>
        <w:t xml:space="preserve"> </w:t>
      </w:r>
      <w:r w:rsidR="00A700DB" w:rsidRPr="000444AC">
        <w:rPr>
          <w:rFonts w:ascii="Times New Roman" w:hAnsi="Times New Roman" w:cs="Times New Roman"/>
        </w:rPr>
        <w:t xml:space="preserve"> </w:t>
      </w:r>
      <w:r w:rsidR="00823458" w:rsidRPr="000444AC">
        <w:rPr>
          <w:rFonts w:ascii="Times New Roman" w:hAnsi="Times New Roman" w:cs="Times New Roman"/>
        </w:rPr>
        <w:t>Similarly, t</w:t>
      </w:r>
      <w:r w:rsidR="00A700DB" w:rsidRPr="000444AC">
        <w:rPr>
          <w:rFonts w:ascii="Times New Roman" w:hAnsi="Times New Roman" w:cs="Times New Roman"/>
        </w:rPr>
        <w:t xml:space="preserve">he </w:t>
      </w:r>
      <w:r w:rsidR="00A700DB" w:rsidRPr="000444AC">
        <w:rPr>
          <w:rFonts w:ascii="Times New Roman" w:hAnsi="Times New Roman" w:cs="Times New Roman"/>
          <w:i/>
        </w:rPr>
        <w:t>Brooke Group</w:t>
      </w:r>
      <w:r w:rsidR="00A700DB" w:rsidRPr="000444AC">
        <w:rPr>
          <w:rFonts w:ascii="Times New Roman" w:hAnsi="Times New Roman" w:cs="Times New Roman"/>
        </w:rPr>
        <w:t xml:space="preserve"> majority was wrong to hold that the tobacco companies could not raise market prices through oligopoly pricing,</w:t>
      </w:r>
      <w:r w:rsidR="00A700DB" w:rsidRPr="000444AC">
        <w:rPr>
          <w:rStyle w:val="a4"/>
          <w:rFonts w:ascii="Times New Roman" w:hAnsi="Times New Roman" w:cs="Times New Roman"/>
        </w:rPr>
        <w:footnoteReference w:id="131"/>
      </w:r>
      <w:r w:rsidR="00A700DB" w:rsidRPr="000444AC">
        <w:rPr>
          <w:rFonts w:ascii="Times New Roman" w:hAnsi="Times New Roman" w:cs="Times New Roman"/>
        </w:rPr>
        <w:t xml:space="preserve"> because the industry was a stable oligopoly as the </w:t>
      </w:r>
      <w:r w:rsidR="00A700DB" w:rsidRPr="000444AC">
        <w:rPr>
          <w:rFonts w:ascii="Times New Roman" w:hAnsi="Times New Roman" w:cs="Times New Roman"/>
          <w:i/>
        </w:rPr>
        <w:t>Brooke Group</w:t>
      </w:r>
      <w:r w:rsidR="00A700DB" w:rsidRPr="000444AC">
        <w:rPr>
          <w:rFonts w:ascii="Times New Roman" w:hAnsi="Times New Roman" w:cs="Times New Roman"/>
        </w:rPr>
        <w:t xml:space="preserve"> opinion conceded.</w:t>
      </w:r>
      <w:r w:rsidR="00A700DB" w:rsidRPr="000444AC">
        <w:rPr>
          <w:rStyle w:val="a4"/>
          <w:rFonts w:ascii="Times New Roman" w:hAnsi="Times New Roman" w:cs="Times New Roman"/>
        </w:rPr>
        <w:footnoteReference w:id="132"/>
      </w:r>
      <w:r w:rsidR="00A700DB" w:rsidRPr="000444AC">
        <w:rPr>
          <w:rFonts w:ascii="Times New Roman" w:hAnsi="Times New Roman" w:cs="Times New Roman"/>
        </w:rPr>
        <w:t xml:space="preserve"> Indeed, the list prices increased significantly, raising twice a year in similar amounts that “</w:t>
      </w:r>
      <w:r w:rsidR="00A700DB" w:rsidRPr="000444AC">
        <w:rPr>
          <w:rFonts w:ascii="Times New Roman" w:hAnsi="Times New Roman" w:cs="Times New Roman"/>
          <w:color w:val="000000"/>
        </w:rPr>
        <w:t>outpaced increases in cost, taxes, and promotional expenditures.</w:t>
      </w:r>
      <w:bookmarkStart w:id="38" w:name="FNRF69104635382"/>
      <w:bookmarkEnd w:id="38"/>
      <w:r w:rsidR="00A700DB" w:rsidRPr="000444AC">
        <w:rPr>
          <w:rFonts w:ascii="Times New Roman" w:hAnsi="Times New Roman" w:cs="Times New Roman"/>
          <w:color w:val="000000"/>
        </w:rPr>
        <w:t>”</w:t>
      </w:r>
      <w:r w:rsidR="00A700DB" w:rsidRPr="000444AC">
        <w:rPr>
          <w:rStyle w:val="a4"/>
          <w:rFonts w:ascii="Times New Roman" w:hAnsi="Times New Roman" w:cs="Times New Roman"/>
          <w:color w:val="000000"/>
        </w:rPr>
        <w:footnoteReference w:id="133"/>
      </w:r>
      <w:r w:rsidR="00A700DB" w:rsidRPr="000444AC">
        <w:rPr>
          <w:rFonts w:ascii="Times New Roman" w:hAnsi="Times New Roman" w:cs="Times New Roman"/>
          <w:color w:val="000000"/>
        </w:rPr>
        <w:t xml:space="preserve"> </w:t>
      </w:r>
    </w:p>
    <w:p w:rsidR="00A700DB" w:rsidRPr="000444AC" w:rsidRDefault="00A700DB" w:rsidP="00A700DB">
      <w:pPr>
        <w:rPr>
          <w:rFonts w:ascii="Times New Roman" w:hAnsi="Times New Roman" w:cs="Times New Roman"/>
        </w:rPr>
      </w:pPr>
    </w:p>
    <w:p w:rsidR="00C84317" w:rsidRPr="000444AC" w:rsidRDefault="00823458" w:rsidP="00154EF9">
      <w:pPr>
        <w:rPr>
          <w:rFonts w:ascii="Times New Roman" w:hAnsi="Times New Roman" w:cs="Times New Roman"/>
        </w:rPr>
      </w:pPr>
      <w:r w:rsidRPr="000444AC">
        <w:rPr>
          <w:rFonts w:ascii="Times New Roman" w:hAnsi="Times New Roman" w:cs="Times New Roman"/>
        </w:rPr>
        <w:tab/>
      </w:r>
      <w:r w:rsidR="000920D7" w:rsidRPr="000444AC">
        <w:rPr>
          <w:rFonts w:ascii="Times New Roman" w:hAnsi="Times New Roman" w:cs="Times New Roman"/>
        </w:rPr>
        <w:t>Summary of Part 2:</w:t>
      </w:r>
    </w:p>
    <w:p w:rsidR="00823458" w:rsidRPr="000444AC" w:rsidRDefault="00823458" w:rsidP="00154EF9">
      <w:pPr>
        <w:rPr>
          <w:rFonts w:ascii="Times New Roman" w:hAnsi="Times New Roman" w:cs="Times New Roman"/>
          <w:b/>
        </w:rPr>
      </w:pPr>
    </w:p>
    <w:p w:rsidR="00154EF9" w:rsidRPr="000444AC" w:rsidRDefault="00154EF9" w:rsidP="00154EF9">
      <w:pPr>
        <w:rPr>
          <w:rFonts w:ascii="Times New Roman" w:hAnsi="Times New Roman" w:cs="Times New Roman"/>
        </w:rPr>
      </w:pPr>
      <w:r w:rsidRPr="000444AC">
        <w:rPr>
          <w:rFonts w:ascii="Times New Roman" w:hAnsi="Times New Roman" w:cs="Times New Roman"/>
          <w:b/>
        </w:rPr>
        <w:t>III. The Expansion of Predatory Pricing Jurisprudence Beyond Predatory Pricing</w:t>
      </w:r>
    </w:p>
    <w:p w:rsidR="00B54745" w:rsidRPr="000444AC" w:rsidRDefault="00B54745" w:rsidP="00154EF9">
      <w:pPr>
        <w:rPr>
          <w:rFonts w:ascii="Times New Roman" w:hAnsi="Times New Roman" w:cs="Times New Roman"/>
        </w:rPr>
      </w:pPr>
    </w:p>
    <w:p w:rsidR="00B54745" w:rsidRPr="000444AC" w:rsidRDefault="00B54745" w:rsidP="00154EF9">
      <w:pPr>
        <w:rPr>
          <w:rFonts w:ascii="Times New Roman" w:hAnsi="Times New Roman" w:cs="Times New Roman"/>
        </w:rPr>
      </w:pPr>
      <w:r w:rsidRPr="000444AC">
        <w:rPr>
          <w:rFonts w:ascii="Times New Roman" w:hAnsi="Times New Roman" w:cs="Times New Roman"/>
        </w:rPr>
        <w:lastRenderedPageBreak/>
        <w:tab/>
        <w:t xml:space="preserve">The flaws in predatory pricing jurisprudence would be tragic even if they were confined within the narrow scope of predatory pricing claims. Unfortunately, in recent years the Supreme Court and lower federal courts have aggressively expanded the reach and import of </w:t>
      </w:r>
      <w:r w:rsidR="00365BC9" w:rsidRPr="000444AC">
        <w:rPr>
          <w:rFonts w:ascii="Times New Roman" w:eastAsia="Times New Roman" w:hAnsi="Times New Roman" w:cs="Times New Roman"/>
          <w:i/>
          <w:color w:val="000000"/>
        </w:rPr>
        <w:t>Matsushita</w:t>
      </w:r>
      <w:r w:rsidR="00365BC9" w:rsidRPr="000444AC">
        <w:rPr>
          <w:rFonts w:ascii="Times New Roman" w:eastAsia="Times New Roman" w:hAnsi="Times New Roman" w:cs="Times New Roman"/>
          <w:color w:val="000000"/>
        </w:rPr>
        <w:t xml:space="preserve"> and </w:t>
      </w:r>
      <w:r w:rsidR="00365BC9" w:rsidRPr="000444AC">
        <w:rPr>
          <w:rFonts w:ascii="Times New Roman" w:eastAsia="Times New Roman" w:hAnsi="Times New Roman" w:cs="Times New Roman"/>
          <w:i/>
          <w:color w:val="000000"/>
        </w:rPr>
        <w:t>Brooke</w:t>
      </w:r>
      <w:r w:rsidR="00365BC9" w:rsidRPr="000444AC">
        <w:rPr>
          <w:rFonts w:ascii="Times New Roman" w:eastAsia="Times New Roman" w:hAnsi="Times New Roman" w:cs="Times New Roman"/>
          <w:color w:val="000000"/>
        </w:rPr>
        <w:t xml:space="preserve"> </w:t>
      </w:r>
      <w:r w:rsidR="00365BC9" w:rsidRPr="000444AC">
        <w:rPr>
          <w:rFonts w:ascii="Times New Roman" w:eastAsia="Times New Roman" w:hAnsi="Times New Roman" w:cs="Times New Roman"/>
          <w:i/>
          <w:color w:val="000000"/>
        </w:rPr>
        <w:t>Group</w:t>
      </w:r>
      <w:r w:rsidR="00365BC9" w:rsidRPr="000444AC">
        <w:rPr>
          <w:rFonts w:ascii="Times New Roman" w:eastAsia="Times New Roman" w:hAnsi="Times New Roman" w:cs="Times New Roman"/>
          <w:color w:val="000000"/>
        </w:rPr>
        <w:t xml:space="preserve"> to the point where predatory pricing law is undermining antitrust law more broadly. This section explains how.</w:t>
      </w:r>
    </w:p>
    <w:p w:rsidR="00B54745" w:rsidRPr="000444AC" w:rsidRDefault="00B54745" w:rsidP="00154EF9">
      <w:pPr>
        <w:rPr>
          <w:rFonts w:ascii="Times New Roman" w:hAnsi="Times New Roman" w:cs="Times New Roman"/>
        </w:rPr>
      </w:pPr>
    </w:p>
    <w:p w:rsidR="000920D7" w:rsidRPr="000444AC" w:rsidRDefault="000920D7" w:rsidP="000920D7">
      <w:pPr>
        <w:rPr>
          <w:rFonts w:ascii="Times New Roman" w:hAnsi="Times New Roman" w:cs="Times New Roman"/>
          <w:b/>
        </w:rPr>
      </w:pPr>
      <w:r w:rsidRPr="000444AC">
        <w:rPr>
          <w:rFonts w:ascii="Times New Roman" w:hAnsi="Times New Roman" w:cs="Times New Roman"/>
          <w:b/>
        </w:rPr>
        <w:tab/>
        <w:t>A. Brooke Group: From Predatory Pricing to Predatory Bidding</w:t>
      </w:r>
    </w:p>
    <w:p w:rsidR="00F47C81" w:rsidRPr="000444AC" w:rsidRDefault="00F47C81" w:rsidP="00F47C81">
      <w:pPr>
        <w:shd w:val="clear" w:color="auto" w:fill="FFFFFF"/>
        <w:textAlignment w:val="baseline"/>
        <w:rPr>
          <w:rFonts w:ascii="Times New Roman" w:hAnsi="Times New Roman" w:cs="Times New Roman"/>
        </w:rPr>
      </w:pP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r w:rsidRPr="000444AC">
        <w:rPr>
          <w:rFonts w:ascii="Times New Roman" w:hAnsi="Times New Roman" w:cs="Times New Roman"/>
        </w:rPr>
        <w:t xml:space="preserve">In </w:t>
      </w:r>
      <w:r w:rsidRPr="000444AC">
        <w:rPr>
          <w:rFonts w:ascii="Times New Roman" w:hAnsi="Times New Roman" w:cs="Times New Roman"/>
          <w:i/>
        </w:rPr>
        <w:t>Weyerhaeuser Co. v. Ross-Simmons Hardwood Lumber Co</w:t>
      </w:r>
      <w:r w:rsidRPr="000444AC">
        <w:rPr>
          <w:rFonts w:ascii="Times New Roman" w:hAnsi="Times New Roman" w:cs="Times New Roman"/>
        </w:rPr>
        <w:t>.,</w:t>
      </w:r>
      <w:r w:rsidRPr="000444AC">
        <w:rPr>
          <w:rStyle w:val="a4"/>
          <w:rFonts w:ascii="Times New Roman" w:hAnsi="Times New Roman" w:cs="Times New Roman"/>
        </w:rPr>
        <w:footnoteReference w:id="134"/>
      </w:r>
      <w:r w:rsidRPr="000444AC">
        <w:rPr>
          <w:rFonts w:ascii="Times New Roman" w:hAnsi="Times New Roman" w:cs="Times New Roman"/>
        </w:rPr>
        <w:t xml:space="preserve"> the Supreme Court evaluated a claim of so-called predatory bidding, in which </w:t>
      </w:r>
      <w:r w:rsidRPr="000444AC">
        <w:rPr>
          <w:rFonts w:ascii="Times New Roman" w:eastAsia="Times New Roman" w:hAnsi="Times New Roman" w:cs="Times New Roman"/>
          <w:color w:val="000000"/>
          <w:bdr w:val="none" w:sz="0" w:space="0" w:color="auto" w:frame="1"/>
        </w:rPr>
        <w:t xml:space="preserve">Weyerhaeuser overpaid and bought more saw logs than it needed. </w:t>
      </w:r>
      <w:r w:rsidRPr="000444AC">
        <w:rPr>
          <w:rFonts w:ascii="Times New Roman" w:eastAsia="Times New Roman" w:hAnsi="Times New Roman" w:cs="Times New Roman"/>
          <w:color w:val="000000"/>
        </w:rPr>
        <w:t>Unable to obtain the necessary inputs, Weyerhaeuser’s competitor Ross-Simmons was driven out of business.</w:t>
      </w:r>
      <w:r w:rsidRPr="000444AC">
        <w:rPr>
          <w:rStyle w:val="a4"/>
          <w:rFonts w:ascii="Times New Roman" w:eastAsia="Times New Roman" w:hAnsi="Times New Roman" w:cs="Times New Roman"/>
          <w:color w:val="000000"/>
        </w:rPr>
        <w:footnoteReference w:id="135"/>
      </w:r>
      <w:r w:rsidRPr="000444AC">
        <w:rPr>
          <w:rFonts w:ascii="Times New Roman" w:eastAsia="Times New Roman" w:hAnsi="Times New Roman" w:cs="Times New Roman"/>
          <w:color w:val="000000"/>
        </w:rPr>
        <w:t xml:space="preserve"> When Ross-Simmons sued </w:t>
      </w:r>
      <w:r w:rsidRPr="000444AC">
        <w:rPr>
          <w:rFonts w:ascii="Times New Roman" w:eastAsia="Times New Roman" w:hAnsi="Times New Roman" w:cs="Times New Roman"/>
          <w:color w:val="000000"/>
          <w:bdr w:val="none" w:sz="0" w:space="0" w:color="auto" w:frame="1"/>
        </w:rPr>
        <w:t xml:space="preserve">Weyerhaeuser for violating Section Two of the Sherman Act, </w:t>
      </w:r>
      <w:r w:rsidRPr="000444AC">
        <w:rPr>
          <w:rFonts w:ascii="Times New Roman" w:eastAsia="Times New Roman" w:hAnsi="Times New Roman" w:cs="Times New Roman"/>
          <w:color w:val="000000"/>
        </w:rPr>
        <w:t>the district judge instructed the jury that Weyerhaeuser had engaged in anticompetitive conduct if the jury concluded that Weyerhaeuser “purchased more logs than it needed, or paid a higher price for logs than necessary, in order to prevent [Ross-Simmons] from obtaining the logs they needed at a fair price.” After a nine-day trial, the jury found that Weyerhaeuser had violated Section 2 of the Sherman Act and the jury calculated Ross-Simmons’ damages to be over $26 million, which was automatically trebled to $78 million. Both the district court and the Ninth Circuit rejected Weyerhaeuser’s argument that Ross-Simmons should have to satisfy </w:t>
      </w:r>
      <w:r w:rsidRPr="000444AC">
        <w:rPr>
          <w:rFonts w:ascii="Times New Roman" w:eastAsia="Times New Roman" w:hAnsi="Times New Roman" w:cs="Times New Roman"/>
          <w:i/>
          <w:iCs/>
          <w:color w:val="000000"/>
          <w:bdr w:val="none" w:sz="0" w:space="0" w:color="auto" w:frame="1"/>
        </w:rPr>
        <w:t>Brooke Group</w:t>
      </w:r>
      <w:r w:rsidRPr="000444AC">
        <w:rPr>
          <w:rFonts w:ascii="Times New Roman" w:eastAsia="Times New Roman" w:hAnsi="Times New Roman" w:cs="Times New Roman"/>
          <w:iCs/>
          <w:color w:val="000000"/>
          <w:bdr w:val="none" w:sz="0" w:space="0" w:color="auto" w:frame="1"/>
        </w:rPr>
        <w:t xml:space="preserve">’s recoupment requirement </w:t>
      </w:r>
      <w:r w:rsidRPr="000444AC">
        <w:rPr>
          <w:rFonts w:ascii="Times New Roman" w:eastAsia="Times New Roman" w:hAnsi="Times New Roman" w:cs="Times New Roman"/>
          <w:color w:val="000000"/>
        </w:rPr>
        <w:t>for predatory pricing claims.</w:t>
      </w:r>
      <w:r w:rsidRPr="000444AC">
        <w:rPr>
          <w:rStyle w:val="a4"/>
          <w:rFonts w:ascii="Times New Roman" w:eastAsia="Times New Roman" w:hAnsi="Times New Roman" w:cs="Times New Roman"/>
          <w:color w:val="000000"/>
        </w:rPr>
        <w:footnoteReference w:id="136"/>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bdr w:val="none" w:sz="0" w:space="0" w:color="auto" w:frame="1"/>
          <w:shd w:val="clear" w:color="auto" w:fill="FFFFFF"/>
        </w:rPr>
      </w:pPr>
      <w:r w:rsidRPr="000444AC">
        <w:rPr>
          <w:rFonts w:ascii="Times New Roman" w:eastAsia="Times New Roman" w:hAnsi="Times New Roman" w:cs="Times New Roman"/>
          <w:color w:val="000000"/>
        </w:rPr>
        <w:tab/>
        <w:t>The Supreme Court took a different tack and treated the case as a logical extension of its predatory pricing jurisprudence. Along the way, the Court made some rather intriguing concessions and arguments. For example, the Court conflated predatory bidding with predatory overbuying</w:t>
      </w:r>
      <w:r w:rsidRPr="000444AC">
        <w:rPr>
          <w:rFonts w:ascii="Times New Roman" w:eastAsia="Times New Roman" w:hAnsi="Times New Roman" w:cs="Times New Roman"/>
          <w:color w:val="000000"/>
          <w:bdr w:val="none" w:sz="0" w:space="0" w:color="auto" w:frame="1"/>
          <w:shd w:val="clear" w:color="auto" w:fill="FFFFFF"/>
        </w:rPr>
        <w:t xml:space="preserve">, holding that they were identical and should be treated identically. The Court noted: </w:t>
      </w:r>
      <w:r w:rsidRPr="000444AC">
        <w:rPr>
          <w:rFonts w:ascii="Times New Roman" w:eastAsia="Times New Roman" w:hAnsi="Times New Roman" w:cs="Times New Roman"/>
          <w:color w:val="000000"/>
        </w:rPr>
        <w:t>“Predatory bidding on inputs is not analytically different from predatory overbuying of inputs. …Our use of the term ‘predatory bidding’ is not meant to suggest that different legal treatment is appropriate for the economically identical practice of ‘predatory overbuying.’”</w:t>
      </w:r>
      <w:r w:rsidRPr="000444AC">
        <w:rPr>
          <w:rStyle w:val="a4"/>
          <w:rFonts w:ascii="Times New Roman" w:eastAsia="Times New Roman" w:hAnsi="Times New Roman" w:cs="Times New Roman"/>
          <w:color w:val="000000"/>
        </w:rPr>
        <w:footnoteReference w:id="137"/>
      </w:r>
      <w:r w:rsidRPr="000444AC">
        <w:rPr>
          <w:rFonts w:ascii="Times New Roman" w:eastAsia="Times New Roman" w:hAnsi="Times New Roman" w:cs="Times New Roman"/>
          <w:color w:val="000000"/>
          <w:bdr w:val="none" w:sz="0" w:space="0" w:color="auto" w:frame="1"/>
          <w:shd w:val="clear" w:color="auto" w:fill="FFFFFF"/>
        </w:rPr>
        <w:t xml:space="preserve"> </w:t>
      </w:r>
      <w:r w:rsidRPr="000444AC">
        <w:rPr>
          <w:rFonts w:ascii="Times New Roman" w:eastAsia="Times New Roman" w:hAnsi="Times New Roman" w:cs="Times New Roman"/>
          <w:color w:val="000000"/>
        </w:rPr>
        <w:t>What the Court termed “predatory overbuying” is simply hoarding inputs, a relatively common form of anticompetitive conduct.</w:t>
      </w:r>
    </w:p>
    <w:p w:rsidR="00F47C81" w:rsidRPr="000444AC" w:rsidRDefault="00F47C81" w:rsidP="00F47C81">
      <w:pPr>
        <w:shd w:val="clear" w:color="auto" w:fill="FFFFFF"/>
        <w:ind w:firstLine="720"/>
        <w:textAlignment w:val="baseline"/>
        <w:rPr>
          <w:rFonts w:ascii="Times New Roman" w:eastAsia="Times New Roman" w:hAnsi="Times New Roman" w:cs="Times New Roman"/>
          <w:caps/>
          <w:color w:val="000000"/>
          <w:bdr w:val="none" w:sz="0" w:space="0" w:color="auto" w:frame="1"/>
          <w:shd w:val="clear" w:color="auto" w:fill="FFFFFF"/>
        </w:rPr>
      </w:pP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 xml:space="preserve">The </w:t>
      </w:r>
      <w:r w:rsidRPr="000444AC">
        <w:rPr>
          <w:rFonts w:ascii="Times New Roman" w:eastAsia="Times New Roman" w:hAnsi="Times New Roman" w:cs="Times New Roman"/>
          <w:i/>
          <w:color w:val="000000"/>
        </w:rPr>
        <w:t>Weyerhaeuser</w:t>
      </w:r>
      <w:r w:rsidRPr="000444AC">
        <w:rPr>
          <w:rFonts w:ascii="Times New Roman" w:eastAsia="Times New Roman" w:hAnsi="Times New Roman" w:cs="Times New Roman"/>
          <w:color w:val="000000"/>
        </w:rPr>
        <w:t xml:space="preserve"> Court built its whole opinion on the premise: “Predatory-pricing and predatory-bidding claims are analytically similar.”</w:t>
      </w:r>
      <w:r w:rsidRPr="000444AC">
        <w:rPr>
          <w:rStyle w:val="a4"/>
          <w:rFonts w:ascii="Times New Roman" w:eastAsia="Times New Roman" w:hAnsi="Times New Roman" w:cs="Times New Roman"/>
          <w:color w:val="000000"/>
        </w:rPr>
        <w:footnoteReference w:id="138"/>
      </w:r>
      <w:r w:rsidRPr="000444AC">
        <w:rPr>
          <w:rFonts w:ascii="Times New Roman" w:eastAsia="Times New Roman" w:hAnsi="Times New Roman" w:cs="Times New Roman"/>
          <w:color w:val="000000"/>
        </w:rPr>
        <w:t xml:space="preserve"> The similarities that the Court pointed are completely irrelevant to the reasons that the Court advanced in </w:t>
      </w:r>
      <w:r w:rsidRPr="000444AC">
        <w:rPr>
          <w:rFonts w:ascii="Times New Roman" w:eastAsia="Times New Roman" w:hAnsi="Times New Roman" w:cs="Times New Roman"/>
          <w:i/>
          <w:color w:val="000000"/>
        </w:rPr>
        <w:t>Matsushita</w:t>
      </w:r>
      <w:r w:rsidRPr="000444AC">
        <w:rPr>
          <w:rFonts w:ascii="Times New Roman" w:eastAsia="Times New Roman" w:hAnsi="Times New Roman" w:cs="Times New Roman"/>
          <w:color w:val="000000"/>
        </w:rPr>
        <w:t xml:space="preserve"> and </w:t>
      </w:r>
      <w:r w:rsidRPr="000444AC">
        <w:rPr>
          <w:rFonts w:ascii="Times New Roman" w:eastAsia="Times New Roman" w:hAnsi="Times New Roman" w:cs="Times New Roman"/>
          <w:i/>
          <w:color w:val="000000"/>
        </w:rPr>
        <w:t>Brooke Group</w:t>
      </w:r>
      <w:r w:rsidRPr="000444AC">
        <w:rPr>
          <w:rFonts w:ascii="Times New Roman" w:eastAsia="Times New Roman" w:hAnsi="Times New Roman" w:cs="Times New Roman"/>
          <w:color w:val="000000"/>
        </w:rPr>
        <w:t xml:space="preserve"> for imposing additional burdens on predatory pricing plaintiffs. For example, the Court cited scholarship and precedent for the uncontroversial economic truth that monopoly and monopsony are symmetrical distortions of the competitive market.</w:t>
      </w:r>
      <w:r w:rsidRPr="000444AC">
        <w:rPr>
          <w:rStyle w:val="a4"/>
          <w:rFonts w:ascii="Times New Roman" w:eastAsia="Times New Roman" w:hAnsi="Times New Roman" w:cs="Times New Roman"/>
          <w:color w:val="000000"/>
        </w:rPr>
        <w:footnoteReference w:id="139"/>
      </w:r>
      <w:r w:rsidRPr="000444AC">
        <w:rPr>
          <w:rFonts w:ascii="Times New Roman" w:eastAsia="Times New Roman" w:hAnsi="Times New Roman" w:cs="Times New Roman"/>
          <w:color w:val="000000"/>
        </w:rPr>
        <w:t xml:space="preserve"> From this, the Court jumped to the </w:t>
      </w:r>
      <w:r w:rsidRPr="000444AC">
        <w:rPr>
          <w:rFonts w:ascii="Times New Roman" w:eastAsia="Times New Roman" w:hAnsi="Times New Roman" w:cs="Times New Roman"/>
          <w:color w:val="000000"/>
        </w:rPr>
        <w:lastRenderedPageBreak/>
        <w:t xml:space="preserve">conclusion that “[t]he kinship between monopoly and monopsony suggests that similar legal standards should apply to claims of monopolization and to claims of </w:t>
      </w:r>
      <w:proofErr w:type="spellStart"/>
      <w:r w:rsidRPr="000444AC">
        <w:rPr>
          <w:rFonts w:ascii="Times New Roman" w:eastAsia="Times New Roman" w:hAnsi="Times New Roman" w:cs="Times New Roman"/>
          <w:color w:val="000000"/>
        </w:rPr>
        <w:t>monopsonization</w:t>
      </w:r>
      <w:proofErr w:type="spellEnd"/>
      <w:r w:rsidRPr="000444AC">
        <w:rPr>
          <w:rFonts w:ascii="Times New Roman" w:eastAsia="Times New Roman" w:hAnsi="Times New Roman" w:cs="Times New Roman"/>
          <w:color w:val="000000"/>
        </w:rPr>
        <w:t>.”</w:t>
      </w:r>
      <w:r w:rsidRPr="000444AC">
        <w:rPr>
          <w:rStyle w:val="a4"/>
          <w:rFonts w:ascii="Times New Roman" w:eastAsia="Times New Roman" w:hAnsi="Times New Roman" w:cs="Times New Roman"/>
          <w:color w:val="000000"/>
        </w:rPr>
        <w:footnoteReference w:id="140"/>
      </w:r>
      <w:r w:rsidRPr="000444AC">
        <w:rPr>
          <w:rFonts w:ascii="Times New Roman" w:eastAsia="Times New Roman" w:hAnsi="Times New Roman" w:cs="Times New Roman"/>
          <w:color w:val="000000"/>
        </w:rPr>
        <w:t xml:space="preserve"> This is incongruous; for antitrust liability purposes, the relationship between the economic concepts of monopolization and </w:t>
      </w:r>
      <w:proofErr w:type="spellStart"/>
      <w:r w:rsidRPr="000444AC">
        <w:rPr>
          <w:rFonts w:ascii="Times New Roman" w:eastAsia="Times New Roman" w:hAnsi="Times New Roman" w:cs="Times New Roman"/>
          <w:color w:val="000000"/>
        </w:rPr>
        <w:t>monopsonization</w:t>
      </w:r>
      <w:proofErr w:type="spellEnd"/>
      <w:r w:rsidRPr="000444AC">
        <w:rPr>
          <w:rFonts w:ascii="Times New Roman" w:eastAsia="Times New Roman" w:hAnsi="Times New Roman" w:cs="Times New Roman"/>
          <w:color w:val="000000"/>
        </w:rPr>
        <w:t xml:space="preserve"> is largely irrelevant. What matters is the actual conduct at issue and its effects. After all, different methods of illegal monopolization are fundamentally dissimilar from each other and evaluated under different tests, some of which allow for business justifications and others that do not. For example, monopolization through patent fraud</w:t>
      </w:r>
      <w:r w:rsidRPr="000444AC">
        <w:rPr>
          <w:rStyle w:val="a4"/>
          <w:rFonts w:ascii="Times New Roman" w:eastAsia="Times New Roman" w:hAnsi="Times New Roman" w:cs="Times New Roman"/>
          <w:color w:val="000000"/>
        </w:rPr>
        <w:footnoteReference w:id="141"/>
      </w:r>
      <w:r w:rsidRPr="000444AC">
        <w:rPr>
          <w:rFonts w:ascii="Times New Roman" w:eastAsia="Times New Roman" w:hAnsi="Times New Roman" w:cs="Times New Roman"/>
          <w:color w:val="000000"/>
        </w:rPr>
        <w:t xml:space="preserve"> bears little resemblance to monopolization through exclusionary distribution contracts</w:t>
      </w:r>
      <w:r w:rsidRPr="000444AC">
        <w:rPr>
          <w:rStyle w:val="a4"/>
          <w:rFonts w:ascii="Times New Roman" w:eastAsia="Times New Roman" w:hAnsi="Times New Roman" w:cs="Times New Roman"/>
          <w:color w:val="000000"/>
        </w:rPr>
        <w:footnoteReference w:id="142"/>
      </w:r>
      <w:r w:rsidRPr="000444AC">
        <w:rPr>
          <w:rFonts w:ascii="Times New Roman" w:eastAsia="Times New Roman" w:hAnsi="Times New Roman" w:cs="Times New Roman"/>
          <w:color w:val="000000"/>
        </w:rPr>
        <w:t xml:space="preserve"> or refusals to deal.</w:t>
      </w:r>
      <w:r w:rsidRPr="000444AC">
        <w:rPr>
          <w:rStyle w:val="a4"/>
          <w:rFonts w:ascii="Times New Roman" w:eastAsia="Times New Roman" w:hAnsi="Times New Roman" w:cs="Times New Roman"/>
          <w:color w:val="000000"/>
        </w:rPr>
        <w:footnoteReference w:id="143"/>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 xml:space="preserve">The Court next tried to list the similarities between predatory pricing and predatory bidding in order to justify affording them identical legal treatment. First, the Court created a false analogy between these two forms of predation by claiming that </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ind w:left="720"/>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“predatory-pricing plaintiffs and predatory-bidding plaintiffs make strikingly similar allegations. A predatory-pricing plaintiff alleges that a predator cut prices to drive the plaintiff out of business and, thereby, to reap monopoly profits from the output market. In parallel fashion, a predatory-bidding plaintiff alleges that a predator raised prices for a key input to drive the plaintiff out of business and, thereby, to reap monopsony profits in the input market. Both claims involve the deliberate use of unilateral pricing measures for anticompetitive purposes.”</w:t>
      </w:r>
      <w:r w:rsidRPr="000444AC">
        <w:rPr>
          <w:rStyle w:val="a4"/>
          <w:rFonts w:ascii="Times New Roman" w:eastAsia="Times New Roman" w:hAnsi="Times New Roman" w:cs="Times New Roman"/>
          <w:color w:val="000000"/>
        </w:rPr>
        <w:footnoteReference w:id="144"/>
      </w:r>
      <w:r w:rsidRPr="000444AC">
        <w:rPr>
          <w:rFonts w:ascii="Times New Roman" w:eastAsia="Times New Roman" w:hAnsi="Times New Roman" w:cs="Times New Roman"/>
          <w:color w:val="000000"/>
        </w:rPr>
        <w:t xml:space="preserve"> </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That is absurd: charging below-cost prices is fundamentally different than a firm purchasing more inputs than it needs in order to deprive its rivals of necessary inputs in order to prevent the rival from competing. The former gives a benefit to consumers, the latter does not. The latter makes it physically impossible for a rival to make products, the former does not.</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Second, the Court analogized predatory prices and hoarding inputs because “</w:t>
      </w:r>
      <w:r w:rsidRPr="000444AC">
        <w:rPr>
          <w:rFonts w:ascii="Times New Roman" w:hAnsi="Times New Roman" w:cs="Times New Roman"/>
        </w:rPr>
        <w:t xml:space="preserve">both claims logically require firms to incur short-term losses on the chance that they might reap </w:t>
      </w:r>
      <w:proofErr w:type="spellStart"/>
      <w:r w:rsidRPr="000444AC">
        <w:rPr>
          <w:rFonts w:ascii="Times New Roman" w:hAnsi="Times New Roman" w:cs="Times New Roman"/>
        </w:rPr>
        <w:t>supracompetitive</w:t>
      </w:r>
      <w:proofErr w:type="spellEnd"/>
      <w:r w:rsidRPr="000444AC">
        <w:rPr>
          <w:rFonts w:ascii="Times New Roman" w:hAnsi="Times New Roman" w:cs="Times New Roman"/>
        </w:rPr>
        <w:t xml:space="preserve"> profits in the future.”</w:t>
      </w:r>
      <w:r w:rsidRPr="000444AC">
        <w:rPr>
          <w:rStyle w:val="a4"/>
          <w:rFonts w:ascii="Times New Roman" w:hAnsi="Times New Roman" w:cs="Times New Roman"/>
        </w:rPr>
        <w:footnoteReference w:id="145"/>
      </w:r>
      <w:r w:rsidRPr="000444AC">
        <w:rPr>
          <w:rFonts w:ascii="Times New Roman" w:hAnsi="Times New Roman" w:cs="Times New Roman"/>
        </w:rPr>
        <w:t xml:space="preserve"> This similarity is true, but irrelevant to the point of being trite. </w:t>
      </w:r>
      <w:r w:rsidRPr="000444AC">
        <w:rPr>
          <w:rFonts w:ascii="Times New Roman" w:eastAsia="Times New Roman" w:hAnsi="Times New Roman" w:cs="Times New Roman"/>
          <w:color w:val="000000"/>
        </w:rPr>
        <w:t xml:space="preserve">The outlay of capital in the speculative hope of future returns not only describes almost all monopoly conduct; it describes almost all business ventures in a free market. Moreover, although the Court emphasized that “[a] predatory-bidding scheme requires a buyer of inputs to suffer losses today on the chance that it will reap </w:t>
      </w:r>
      <w:proofErr w:type="spellStart"/>
      <w:r w:rsidRPr="000444AC">
        <w:rPr>
          <w:rFonts w:ascii="Times New Roman" w:eastAsia="Times New Roman" w:hAnsi="Times New Roman" w:cs="Times New Roman"/>
          <w:color w:val="000000"/>
        </w:rPr>
        <w:t>supracompetitive</w:t>
      </w:r>
      <w:proofErr w:type="spellEnd"/>
      <w:r w:rsidRPr="000444AC">
        <w:rPr>
          <w:rFonts w:ascii="Times New Roman" w:eastAsia="Times New Roman" w:hAnsi="Times New Roman" w:cs="Times New Roman"/>
          <w:color w:val="000000"/>
        </w:rPr>
        <w:t xml:space="preserve"> profits in the future,”</w:t>
      </w:r>
      <w:r w:rsidRPr="000444AC">
        <w:rPr>
          <w:rStyle w:val="a4"/>
          <w:rFonts w:ascii="Times New Roman" w:eastAsia="Times New Roman" w:hAnsi="Times New Roman" w:cs="Times New Roman"/>
          <w:color w:val="000000"/>
        </w:rPr>
        <w:footnoteReference w:id="146"/>
      </w:r>
      <w:r w:rsidRPr="000444AC">
        <w:rPr>
          <w:rFonts w:ascii="Times New Roman" w:eastAsia="Times New Roman" w:hAnsi="Times New Roman" w:cs="Times New Roman"/>
          <w:color w:val="000000"/>
        </w:rPr>
        <w:t xml:space="preserve"> predatory bidding is different than predatory pricing because with the former strategy, the monopolist acquires and stockpiles inputs that it can use later. The predatory bidder secures </w:t>
      </w:r>
      <w:r w:rsidRPr="000444AC">
        <w:rPr>
          <w:rFonts w:ascii="Times New Roman" w:eastAsia="Times New Roman" w:hAnsi="Times New Roman" w:cs="Times New Roman"/>
          <w:color w:val="000000"/>
        </w:rPr>
        <w:lastRenderedPageBreak/>
        <w:t>an asset.</w:t>
      </w:r>
      <w:r w:rsidRPr="000444AC">
        <w:rPr>
          <w:rStyle w:val="a4"/>
          <w:rFonts w:ascii="Times New Roman" w:eastAsia="Times New Roman" w:hAnsi="Times New Roman" w:cs="Times New Roman"/>
          <w:color w:val="000000"/>
        </w:rPr>
        <w:footnoteReference w:id="147"/>
      </w:r>
      <w:r w:rsidRPr="000444AC">
        <w:rPr>
          <w:rFonts w:ascii="Times New Roman" w:eastAsia="Times New Roman" w:hAnsi="Times New Roman" w:cs="Times New Roman"/>
          <w:color w:val="000000"/>
        </w:rPr>
        <w:t xml:space="preserve"> In contrast, a price predator secures no collateral or assets in exchange for its upfront investment in predation. That makes overbuying inputs less risky than below-cost pricing.</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 xml:space="preserve">The </w:t>
      </w:r>
      <w:r w:rsidRPr="000444AC">
        <w:rPr>
          <w:rFonts w:ascii="Times New Roman" w:eastAsia="Times New Roman" w:hAnsi="Times New Roman" w:cs="Times New Roman"/>
          <w:i/>
          <w:color w:val="000000"/>
        </w:rPr>
        <w:t>Weyerhaeuser</w:t>
      </w:r>
      <w:r w:rsidRPr="000444AC">
        <w:rPr>
          <w:rFonts w:ascii="Times New Roman" w:eastAsia="Times New Roman" w:hAnsi="Times New Roman" w:cs="Times New Roman"/>
          <w:color w:val="000000"/>
        </w:rPr>
        <w:t xml:space="preserve"> Court next invoked the three themes common to the Supreme Court’s predatory pricing jurisprudence: the conduct doesn’t happen; the conduct benefits consumers; and prohibiting the conduct would chill procompetitive behavior. Whatever one thinks of these arguments as applied to predatory pricing, each of these arguments is undoubtedly inapplicable to predatory overbuying. First, the Court asserted that predatory bidding, like predatory pricing is “rarely tried, and even more rarely successful.”</w:t>
      </w:r>
      <w:r w:rsidRPr="000444AC">
        <w:rPr>
          <w:rStyle w:val="a4"/>
          <w:rFonts w:ascii="Times New Roman" w:eastAsia="Times New Roman" w:hAnsi="Times New Roman" w:cs="Times New Roman"/>
          <w:color w:val="000000"/>
        </w:rPr>
        <w:footnoteReference w:id="148"/>
      </w:r>
      <w:r w:rsidRPr="000444AC">
        <w:rPr>
          <w:rFonts w:ascii="Times New Roman" w:eastAsia="Times New Roman" w:hAnsi="Times New Roman" w:cs="Times New Roman"/>
          <w:color w:val="000000"/>
        </w:rPr>
        <w:t xml:space="preserve"> This claim is demonstrably false. The hoarding of inputs to prevent rivals from being able to manufacture and sell products is common. [Proof coming…]</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 xml:space="preserve">Second, the </w:t>
      </w:r>
      <w:r w:rsidRPr="000444AC">
        <w:rPr>
          <w:rFonts w:ascii="Times New Roman" w:eastAsia="Times New Roman" w:hAnsi="Times New Roman" w:cs="Times New Roman"/>
          <w:i/>
          <w:color w:val="000000"/>
        </w:rPr>
        <w:t>Weyerhaeuser</w:t>
      </w:r>
      <w:r w:rsidRPr="000444AC">
        <w:rPr>
          <w:rFonts w:ascii="Times New Roman" w:eastAsia="Times New Roman" w:hAnsi="Times New Roman" w:cs="Times New Roman"/>
          <w:color w:val="000000"/>
        </w:rPr>
        <w:t xml:space="preserve"> Court sought to equate the short-term pro-consumer benefits of below-cost pricing to the effects of predatory overbuying. The Court began by invoking </w:t>
      </w:r>
      <w:r w:rsidRPr="000444AC">
        <w:rPr>
          <w:rFonts w:ascii="Times New Roman" w:eastAsia="Times New Roman" w:hAnsi="Times New Roman" w:cs="Times New Roman"/>
          <w:i/>
          <w:iCs/>
          <w:color w:val="000000"/>
          <w:bdr w:val="none" w:sz="0" w:space="0" w:color="auto" w:frame="1"/>
        </w:rPr>
        <w:t>Brooke Group</w:t>
      </w:r>
      <w:r w:rsidRPr="000444AC">
        <w:rPr>
          <w:rFonts w:ascii="Times New Roman" w:eastAsia="Times New Roman" w:hAnsi="Times New Roman" w:cs="Times New Roman"/>
          <w:color w:val="000000"/>
        </w:rPr>
        <w:t> for the proposition that “a failed predatory-pricing scheme may benefit consumers.”</w:t>
      </w:r>
      <w:r w:rsidRPr="000444AC">
        <w:rPr>
          <w:rStyle w:val="a4"/>
          <w:rFonts w:ascii="Times New Roman" w:eastAsia="Times New Roman" w:hAnsi="Times New Roman" w:cs="Times New Roman"/>
          <w:color w:val="000000"/>
        </w:rPr>
        <w:footnoteReference w:id="149"/>
      </w:r>
      <w:r w:rsidRPr="000444AC">
        <w:rPr>
          <w:rFonts w:ascii="Times New Roman" w:eastAsia="Times New Roman" w:hAnsi="Times New Roman" w:cs="Times New Roman"/>
          <w:color w:val="000000"/>
        </w:rPr>
        <w:t xml:space="preserve"> Justice Thomas then reasoned: “In the first stage of a predatory-bidding scheme, the predator's high bidding will likely lead to its acquisition of more inputs. Usually, the acquisition of more inputs leads to the manufacture of more outputs. And increases in output generally result in lower prices to consumers.”</w:t>
      </w:r>
      <w:r w:rsidRPr="000444AC">
        <w:rPr>
          <w:rStyle w:val="a4"/>
          <w:rFonts w:ascii="Times New Roman" w:eastAsia="Times New Roman" w:hAnsi="Times New Roman" w:cs="Times New Roman"/>
          <w:color w:val="000000"/>
        </w:rPr>
        <w:footnoteReference w:id="150"/>
      </w:r>
      <w:r w:rsidRPr="000444AC">
        <w:rPr>
          <w:rFonts w:ascii="Times New Roman" w:eastAsia="Times New Roman" w:hAnsi="Times New Roman" w:cs="Times New Roman"/>
          <w:color w:val="000000"/>
        </w:rPr>
        <w:t xml:space="preserve"> From this, he concluded “a failed predatory-bidding scheme can be a ‘boon to consumers’ in the same way that we considered a predatory-pricing scheme to be.”</w:t>
      </w:r>
      <w:r w:rsidRPr="000444AC">
        <w:rPr>
          <w:rStyle w:val="a4"/>
          <w:rFonts w:ascii="Times New Roman" w:eastAsia="Times New Roman" w:hAnsi="Times New Roman" w:cs="Times New Roman"/>
          <w:color w:val="000000"/>
        </w:rPr>
        <w:footnoteReference w:id="151"/>
      </w:r>
      <w:r w:rsidRPr="000444AC">
        <w:rPr>
          <w:rFonts w:ascii="Times New Roman" w:eastAsia="Times New Roman" w:hAnsi="Times New Roman" w:cs="Times New Roman"/>
          <w:color w:val="000000"/>
        </w:rPr>
        <w:t xml:space="preserve"> Justice Thomas’s analogy and conclusions are both flawed. What he is describing is not overbuying, which is purchasing more inputs than one needs and hoarding them; hoarding means that the inputs are not used to make more outputs. The Court hypothesizes a long-term possibility of increased output to justify an immediate anticompetitive effect. But in a footnote, the Court concedes: “Consumer benefit does not necessarily result at the first stage because the predator might not use its excess inputs to manufacture additional outputs. It might instead destroy the excess inputs.”</w:t>
      </w:r>
      <w:r w:rsidRPr="000444AC">
        <w:rPr>
          <w:rStyle w:val="a4"/>
          <w:rFonts w:ascii="Times New Roman" w:eastAsia="Times New Roman" w:hAnsi="Times New Roman" w:cs="Times New Roman"/>
          <w:color w:val="000000"/>
        </w:rPr>
        <w:footnoteReference w:id="152"/>
      </w:r>
      <w:r w:rsidRPr="000444AC">
        <w:rPr>
          <w:rFonts w:ascii="Times New Roman" w:eastAsia="Times New Roman" w:hAnsi="Times New Roman" w:cs="Times New Roman"/>
          <w:color w:val="000000"/>
        </w:rPr>
        <w:t xml:space="preserve"> The Court said nothing to mitigate this concession, a concession that proves predatory pricing and predatory bidding are not analogous: predatory pricing causes an immediate benefit to consumers and predatory bidding does not. </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lastRenderedPageBreak/>
        <w:tab/>
        <w:t xml:space="preserve">Third, the </w:t>
      </w:r>
      <w:r w:rsidRPr="000444AC">
        <w:rPr>
          <w:rFonts w:ascii="Times New Roman" w:eastAsia="Times New Roman" w:hAnsi="Times New Roman" w:cs="Times New Roman"/>
          <w:i/>
          <w:color w:val="000000"/>
        </w:rPr>
        <w:t>Weyerhaeuser</w:t>
      </w:r>
      <w:r w:rsidRPr="000444AC">
        <w:rPr>
          <w:rFonts w:ascii="Times New Roman" w:eastAsia="Times New Roman" w:hAnsi="Times New Roman" w:cs="Times New Roman"/>
          <w:color w:val="000000"/>
        </w:rPr>
        <w:t xml:space="preserve"> Court asserted that predatory overbuying is procompetitive – like prior decisions claimed predatory pricing was – and, consequently, antitrust law should be highly deferential so that it does not chill procompetitive conduct. Justice Thomas began by reciting the underlying premises of its predatory pricing cases, namely that </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ind w:left="720"/>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the costs of erroneous findings of predatory-pricing liability were quite high because “‘[t]he mechanism by which a firm engages in predatory pricing – lowering prices – is the same mechanism by which a firm stimulates competition,’” and, therefore, mistaken findings of liability would “‘“chill the very conduct the antitrust laws are designed to protect.”’”</w:t>
      </w:r>
      <w:r w:rsidRPr="000444AC">
        <w:rPr>
          <w:rStyle w:val="a4"/>
          <w:rFonts w:ascii="Times New Roman" w:eastAsia="Times New Roman" w:hAnsi="Times New Roman" w:cs="Times New Roman"/>
          <w:color w:val="000000"/>
        </w:rPr>
        <w:footnoteReference w:id="153"/>
      </w:r>
    </w:p>
    <w:p w:rsidR="00F47C81" w:rsidRPr="000444AC" w:rsidRDefault="00F47C81" w:rsidP="00F47C81">
      <w:pPr>
        <w:shd w:val="clear" w:color="auto" w:fill="FFFFFF"/>
        <w:ind w:left="720"/>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The Court then analogized predatory bidding to predatory pricing, asserting that “like the predatory conduct alleged in </w:t>
      </w:r>
      <w:r w:rsidRPr="000444AC">
        <w:rPr>
          <w:rFonts w:ascii="Times New Roman" w:eastAsia="Times New Roman" w:hAnsi="Times New Roman" w:cs="Times New Roman"/>
          <w:i/>
          <w:iCs/>
          <w:color w:val="000000"/>
          <w:bdr w:val="none" w:sz="0" w:space="0" w:color="auto" w:frame="1"/>
        </w:rPr>
        <w:t>Brooke Group,</w:t>
      </w:r>
      <w:r w:rsidRPr="000444AC">
        <w:rPr>
          <w:rFonts w:ascii="Times New Roman" w:eastAsia="Times New Roman" w:hAnsi="Times New Roman" w:cs="Times New Roman"/>
          <w:color w:val="000000"/>
        </w:rPr>
        <w:t> actions taken in a predatory-bidding scheme are often “the very essence of competition.”</w:t>
      </w:r>
      <w:r w:rsidRPr="000444AC">
        <w:rPr>
          <w:rStyle w:val="a4"/>
          <w:rFonts w:ascii="Times New Roman" w:eastAsia="Times New Roman" w:hAnsi="Times New Roman" w:cs="Times New Roman"/>
          <w:color w:val="000000"/>
        </w:rPr>
        <w:footnoteReference w:id="154"/>
      </w:r>
      <w:r w:rsidRPr="000444AC">
        <w:rPr>
          <w:rFonts w:ascii="Times New Roman" w:eastAsia="Times New Roman" w:hAnsi="Times New Roman" w:cs="Times New Roman"/>
          <w:color w:val="000000"/>
        </w:rPr>
        <w:t xml:space="preserve"> This is a perplexing claim; unlike price cutting, buying more inputs than one needs or will use in order to deny them to a rival is neither inherent in competition, nor does it facilitate the competitive process in which efficient rivals compete for business by offering customers lower prices or higher quality. In short, hoarding inputs is </w:t>
      </w:r>
      <w:r w:rsidRPr="000444AC">
        <w:rPr>
          <w:rFonts w:ascii="Times New Roman" w:eastAsia="Times New Roman" w:hAnsi="Times New Roman" w:cs="Times New Roman"/>
          <w:i/>
          <w:color w:val="000000"/>
        </w:rPr>
        <w:t>not</w:t>
      </w:r>
      <w:r w:rsidRPr="000444AC">
        <w:rPr>
          <w:rFonts w:ascii="Times New Roman" w:eastAsia="Times New Roman" w:hAnsi="Times New Roman" w:cs="Times New Roman"/>
          <w:color w:val="000000"/>
        </w:rPr>
        <w:t xml:space="preserve"> the “essence of competition.”</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shd w:val="clear" w:color="auto" w:fill="FFFFFF"/>
        </w:rPr>
      </w:pPr>
      <w:r w:rsidRPr="000444AC">
        <w:rPr>
          <w:rFonts w:ascii="Times New Roman" w:eastAsia="Times New Roman" w:hAnsi="Times New Roman" w:cs="Times New Roman"/>
          <w:color w:val="000000"/>
        </w:rPr>
        <w:tab/>
        <w:t xml:space="preserve">The Supreme Court also tried to assert that predatory bidding is procompetitive because it reflects efficiency. The Court began by praising Weyerhaeuser’s supposed efficiency, noting that the company had invested </w:t>
      </w:r>
      <w:r w:rsidRPr="000444AC">
        <w:rPr>
          <w:rFonts w:ascii="Times New Roman" w:eastAsia="Times New Roman" w:hAnsi="Times New Roman" w:cs="Times New Roman"/>
          <w:color w:val="000000"/>
          <w:shd w:val="clear" w:color="auto" w:fill="FFFFFF"/>
        </w:rPr>
        <w:t>$75 million in capital improvements, increasing production, and using “state-of-the-art technology.”</w:t>
      </w:r>
      <w:r w:rsidRPr="000444AC">
        <w:rPr>
          <w:rStyle w:val="a4"/>
          <w:rFonts w:ascii="Times New Roman" w:eastAsia="Times New Roman" w:hAnsi="Times New Roman" w:cs="Times New Roman"/>
          <w:color w:val="000000"/>
          <w:shd w:val="clear" w:color="auto" w:fill="FFFFFF"/>
        </w:rPr>
        <w:footnoteReference w:id="155"/>
      </w:r>
      <w:r w:rsidRPr="000444AC">
        <w:rPr>
          <w:rFonts w:ascii="Times New Roman" w:eastAsia="Times New Roman" w:hAnsi="Times New Roman" w:cs="Times New Roman"/>
          <w:color w:val="000000"/>
        </w:rPr>
        <w:t xml:space="preserve"> In contrast, the Justices chastised Ross-Simmons for </w:t>
      </w:r>
      <w:r w:rsidRPr="000444AC">
        <w:rPr>
          <w:rFonts w:ascii="Times New Roman" w:eastAsia="Times New Roman" w:hAnsi="Times New Roman" w:cs="Times New Roman"/>
          <w:color w:val="000000"/>
          <w:shd w:val="clear" w:color="auto" w:fill="FFFFFF"/>
        </w:rPr>
        <w:t>“</w:t>
      </w:r>
      <w:proofErr w:type="spellStart"/>
      <w:r w:rsidRPr="000444AC">
        <w:rPr>
          <w:rFonts w:ascii="Times New Roman" w:eastAsia="Times New Roman" w:hAnsi="Times New Roman" w:cs="Times New Roman"/>
          <w:color w:val="000000"/>
          <w:shd w:val="clear" w:color="auto" w:fill="FFFFFF"/>
        </w:rPr>
        <w:t>engag</w:t>
      </w:r>
      <w:proofErr w:type="spellEnd"/>
      <w:r w:rsidRPr="000444AC">
        <w:rPr>
          <w:rFonts w:ascii="Times New Roman" w:eastAsia="Times New Roman" w:hAnsi="Times New Roman" w:cs="Times New Roman"/>
          <w:color w:val="000000"/>
          <w:shd w:val="clear" w:color="auto" w:fill="FFFFFF"/>
        </w:rPr>
        <w:t>[</w:t>
      </w:r>
      <w:proofErr w:type="spellStart"/>
      <w:r w:rsidRPr="000444AC">
        <w:rPr>
          <w:rFonts w:ascii="Times New Roman" w:eastAsia="Times New Roman" w:hAnsi="Times New Roman" w:cs="Times New Roman"/>
          <w:color w:val="000000"/>
          <w:shd w:val="clear" w:color="auto" w:fill="FFFFFF"/>
        </w:rPr>
        <w:t>ing</w:t>
      </w:r>
      <w:proofErr w:type="spellEnd"/>
      <w:r w:rsidRPr="000444AC">
        <w:rPr>
          <w:rFonts w:ascii="Times New Roman" w:eastAsia="Times New Roman" w:hAnsi="Times New Roman" w:cs="Times New Roman"/>
          <w:color w:val="000000"/>
          <w:shd w:val="clear" w:color="auto" w:fill="FFFFFF"/>
        </w:rPr>
        <w:t>] in little efficiency-enhancing investment.”</w:t>
      </w:r>
      <w:r w:rsidRPr="000444AC">
        <w:rPr>
          <w:rStyle w:val="a4"/>
          <w:rFonts w:ascii="Times New Roman" w:eastAsia="Times New Roman" w:hAnsi="Times New Roman" w:cs="Times New Roman"/>
          <w:color w:val="000000"/>
          <w:shd w:val="clear" w:color="auto" w:fill="FFFFFF"/>
        </w:rPr>
        <w:footnoteReference w:id="156"/>
      </w:r>
      <w:r w:rsidRPr="000444AC">
        <w:rPr>
          <w:rFonts w:ascii="Times New Roman" w:eastAsia="Times New Roman" w:hAnsi="Times New Roman" w:cs="Times New Roman"/>
          <w:color w:val="000000"/>
          <w:shd w:val="clear" w:color="auto" w:fill="FFFFFF"/>
        </w:rPr>
        <w:t xml:space="preserve"> </w:t>
      </w:r>
      <w:r w:rsidRPr="000444AC">
        <w:rPr>
          <w:rFonts w:ascii="Times New Roman" w:eastAsia="Times New Roman" w:hAnsi="Times New Roman" w:cs="Times New Roman"/>
          <w:color w:val="000000"/>
        </w:rPr>
        <w:t>The Court then justified predatory bidding as something that “more efficient” firms may engage in.</w:t>
      </w:r>
      <w:r w:rsidRPr="000444AC">
        <w:rPr>
          <w:rStyle w:val="a4"/>
          <w:rFonts w:ascii="Times New Roman" w:eastAsia="Times New Roman" w:hAnsi="Times New Roman" w:cs="Times New Roman"/>
          <w:color w:val="000000"/>
        </w:rPr>
        <w:footnoteReference w:id="157"/>
      </w:r>
      <w:r w:rsidRPr="000444AC">
        <w:rPr>
          <w:rFonts w:ascii="Times New Roman" w:eastAsia="Times New Roman" w:hAnsi="Times New Roman" w:cs="Times New Roman"/>
          <w:color w:val="000000"/>
        </w:rPr>
        <w:t xml:space="preserve"> Of course, acquiring monopoly power through efficiency is competition on the merits and would not violate antitrust laws. But the evidence did not show that Weyerhaeuser achieved its market power through efficiency. Rather, Weyerhaeuser drove its rival from the market by hoarding inputs. Moreover, while the Court commended Weyerhaeuser for using new “</w:t>
      </w:r>
      <w:r w:rsidRPr="000444AC">
        <w:rPr>
          <w:rFonts w:ascii="Times New Roman" w:eastAsia="Times New Roman" w:hAnsi="Times New Roman" w:cs="Times New Roman"/>
          <w:color w:val="000000"/>
          <w:shd w:val="clear" w:color="auto" w:fill="FFFFFF"/>
        </w:rPr>
        <w:t xml:space="preserve">sawing </w:t>
      </w:r>
      <w:proofErr w:type="gramStart"/>
      <w:r w:rsidRPr="000444AC">
        <w:rPr>
          <w:rFonts w:ascii="Times New Roman" w:eastAsia="Times New Roman" w:hAnsi="Times New Roman" w:cs="Times New Roman"/>
          <w:color w:val="000000"/>
          <w:shd w:val="clear" w:color="auto" w:fill="FFFFFF"/>
        </w:rPr>
        <w:t>equipment[</w:t>
      </w:r>
      <w:proofErr w:type="gramEnd"/>
      <w:r w:rsidRPr="000444AC">
        <w:rPr>
          <w:rFonts w:ascii="Times New Roman" w:eastAsia="Times New Roman" w:hAnsi="Times New Roman" w:cs="Times New Roman"/>
          <w:color w:val="000000"/>
          <w:shd w:val="clear" w:color="auto" w:fill="FFFFFF"/>
        </w:rPr>
        <w:t xml:space="preserve">] to increase the amount of lumber recovered from every log,” the Court failed to acknowledge that this would logically mean that Weyerhaeuser would need </w:t>
      </w:r>
      <w:r w:rsidRPr="000444AC">
        <w:rPr>
          <w:rFonts w:ascii="Times New Roman" w:eastAsia="Times New Roman" w:hAnsi="Times New Roman" w:cs="Times New Roman"/>
          <w:i/>
          <w:color w:val="000000"/>
          <w:shd w:val="clear" w:color="auto" w:fill="FFFFFF"/>
        </w:rPr>
        <w:t>fewer</w:t>
      </w:r>
      <w:r w:rsidRPr="000444AC">
        <w:rPr>
          <w:rFonts w:ascii="Times New Roman" w:eastAsia="Times New Roman" w:hAnsi="Times New Roman" w:cs="Times New Roman"/>
          <w:color w:val="000000"/>
          <w:shd w:val="clear" w:color="auto" w:fill="FFFFFF"/>
        </w:rPr>
        <w:t xml:space="preserve"> logs, not more. Why was it buying more logs than it needed, if not to drive Ross-Simmons from the market, as it did?</w:t>
      </w:r>
    </w:p>
    <w:p w:rsidR="00F47C81" w:rsidRPr="000444AC" w:rsidRDefault="00F47C81" w:rsidP="00F47C81">
      <w:pPr>
        <w:shd w:val="clear" w:color="auto" w:fill="FFFFFF"/>
        <w:textAlignment w:val="baseline"/>
        <w:rPr>
          <w:rFonts w:ascii="Times New Roman" w:eastAsia="Times New Roman" w:hAnsi="Times New Roman" w:cs="Times New Roman"/>
          <w:color w:val="000000"/>
          <w:shd w:val="clear" w:color="auto" w:fill="FFFFFF"/>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shd w:val="clear" w:color="auto" w:fill="FFFFFF"/>
        </w:rPr>
        <w:tab/>
        <w:t xml:space="preserve">To address this question, the Court then sought to hypothesize why an efficient firm would engage in predatory bidding. Justice Thomas speculated that “[a] </w:t>
      </w:r>
      <w:r w:rsidRPr="000444AC">
        <w:rPr>
          <w:rFonts w:ascii="Times New Roman" w:eastAsia="Times New Roman" w:hAnsi="Times New Roman" w:cs="Times New Roman"/>
          <w:color w:val="000000"/>
        </w:rPr>
        <w:t>more efficient firm might bid up input prices to acquire more inputs as a part of a procompetitive strategy to gain market share in the output market.”</w:t>
      </w:r>
      <w:r w:rsidRPr="000444AC">
        <w:rPr>
          <w:rStyle w:val="a4"/>
          <w:rFonts w:ascii="Times New Roman" w:eastAsia="Times New Roman" w:hAnsi="Times New Roman" w:cs="Times New Roman"/>
          <w:color w:val="000000"/>
        </w:rPr>
        <w:footnoteReference w:id="158"/>
      </w:r>
      <w:r w:rsidRPr="000444AC">
        <w:rPr>
          <w:rFonts w:ascii="Times New Roman" w:eastAsia="Times New Roman" w:hAnsi="Times New Roman" w:cs="Times New Roman"/>
          <w:color w:val="000000"/>
        </w:rPr>
        <w:t xml:space="preserve"> Acquiring inputs to build market share is rational, but that’s not what predatory </w:t>
      </w:r>
      <w:r w:rsidRPr="000444AC">
        <w:rPr>
          <w:rFonts w:ascii="Times New Roman" w:eastAsia="Times New Roman" w:hAnsi="Times New Roman" w:cs="Times New Roman"/>
          <w:i/>
          <w:color w:val="000000"/>
        </w:rPr>
        <w:t>over</w:t>
      </w:r>
      <w:r w:rsidRPr="000444AC">
        <w:rPr>
          <w:rFonts w:ascii="Times New Roman" w:eastAsia="Times New Roman" w:hAnsi="Times New Roman" w:cs="Times New Roman"/>
          <w:color w:val="000000"/>
        </w:rPr>
        <w:t xml:space="preserve">buying entails. Predatory bidding involves increasing the price of </w:t>
      </w:r>
      <w:r w:rsidRPr="000444AC">
        <w:rPr>
          <w:rFonts w:ascii="Times New Roman" w:eastAsia="Times New Roman" w:hAnsi="Times New Roman" w:cs="Times New Roman"/>
          <w:color w:val="000000"/>
        </w:rPr>
        <w:lastRenderedPageBreak/>
        <w:t xml:space="preserve">inputs. An efficient firm does not want its input prices to be higher; more importantly, an efficient firm does not overpay in order to purchase more inputs than it needs. Such </w:t>
      </w:r>
      <w:proofErr w:type="spellStart"/>
      <w:r w:rsidRPr="000444AC">
        <w:rPr>
          <w:rFonts w:ascii="Times New Roman" w:eastAsia="Times New Roman" w:hAnsi="Times New Roman" w:cs="Times New Roman"/>
          <w:color w:val="000000"/>
        </w:rPr>
        <w:t>overpurchasing</w:t>
      </w:r>
      <w:proofErr w:type="spellEnd"/>
      <w:r w:rsidRPr="000444AC">
        <w:rPr>
          <w:rFonts w:ascii="Times New Roman" w:eastAsia="Times New Roman" w:hAnsi="Times New Roman" w:cs="Times New Roman"/>
          <w:color w:val="000000"/>
        </w:rPr>
        <w:t xml:space="preserve"> is not efficient.</w:t>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 xml:space="preserve">After </w:t>
      </w:r>
      <w:proofErr w:type="spellStart"/>
      <w:r w:rsidRPr="000444AC">
        <w:rPr>
          <w:rFonts w:ascii="Times New Roman" w:eastAsia="Times New Roman" w:hAnsi="Times New Roman" w:cs="Times New Roman"/>
          <w:color w:val="000000"/>
        </w:rPr>
        <w:t>gerryrigging</w:t>
      </w:r>
      <w:proofErr w:type="spellEnd"/>
      <w:r w:rsidRPr="000444AC">
        <w:rPr>
          <w:rFonts w:ascii="Times New Roman" w:eastAsia="Times New Roman" w:hAnsi="Times New Roman" w:cs="Times New Roman"/>
          <w:color w:val="000000"/>
        </w:rPr>
        <w:t xml:space="preserve"> the themes from its predatory pricing jurisprudence to apply to predatory overbuying, Justice Thomas asserted that “[g]</w:t>
      </w:r>
      <w:proofErr w:type="spellStart"/>
      <w:r w:rsidRPr="000444AC">
        <w:rPr>
          <w:rFonts w:ascii="Times New Roman" w:eastAsia="Times New Roman" w:hAnsi="Times New Roman" w:cs="Times New Roman"/>
          <w:color w:val="000000"/>
        </w:rPr>
        <w:t>iven</w:t>
      </w:r>
      <w:proofErr w:type="spellEnd"/>
      <w:r w:rsidRPr="000444AC">
        <w:rPr>
          <w:rFonts w:ascii="Times New Roman" w:eastAsia="Times New Roman" w:hAnsi="Times New Roman" w:cs="Times New Roman"/>
          <w:color w:val="000000"/>
        </w:rPr>
        <w:t xml:space="preserve"> the multitude of procompetitive ends served by higher bidding for inputs, the risk of chilling procompetitive behavior with too lax a liability standard is as serious here as it was in </w:t>
      </w:r>
      <w:r w:rsidRPr="000444AC">
        <w:rPr>
          <w:rFonts w:ascii="Times New Roman" w:eastAsia="Times New Roman" w:hAnsi="Times New Roman" w:cs="Times New Roman"/>
          <w:i/>
          <w:iCs/>
          <w:color w:val="000000"/>
          <w:bdr w:val="none" w:sz="0" w:space="0" w:color="auto" w:frame="1"/>
        </w:rPr>
        <w:t>Brooke Group</w:t>
      </w:r>
      <w:r w:rsidRPr="000444AC">
        <w:rPr>
          <w:rFonts w:ascii="Times New Roman" w:eastAsia="Times New Roman" w:hAnsi="Times New Roman" w:cs="Times New Roman"/>
          <w:color w:val="000000"/>
        </w:rPr>
        <w:t>.”</w:t>
      </w:r>
      <w:r w:rsidRPr="000444AC">
        <w:rPr>
          <w:rStyle w:val="a4"/>
          <w:rFonts w:ascii="Times New Roman" w:eastAsia="Times New Roman" w:hAnsi="Times New Roman" w:cs="Times New Roman"/>
          <w:color w:val="000000"/>
        </w:rPr>
        <w:footnoteReference w:id="159"/>
      </w:r>
      <w:r w:rsidRPr="000444AC">
        <w:rPr>
          <w:rFonts w:ascii="Times New Roman" w:eastAsia="Times New Roman" w:hAnsi="Times New Roman" w:cs="Times New Roman"/>
          <w:color w:val="000000"/>
        </w:rPr>
        <w:t xml:space="preserve"> Because, according to Thomas, predatory bidding had the same benefits as predatory pricing, it should have the same recoupment requirement. Consequently, the Court held that “[a] predatory-bidding plaintiff also must prove that the defendant has a dangerous probability of recouping the losses incurred in bidding up input prices through the exercise of monopsony power.”</w:t>
      </w:r>
      <w:r w:rsidRPr="000444AC">
        <w:rPr>
          <w:rStyle w:val="a4"/>
          <w:rFonts w:ascii="Times New Roman" w:eastAsia="Times New Roman" w:hAnsi="Times New Roman" w:cs="Times New Roman"/>
          <w:color w:val="000000"/>
        </w:rPr>
        <w:footnoteReference w:id="160"/>
      </w:r>
      <w:r w:rsidRPr="000444AC">
        <w:rPr>
          <w:rFonts w:ascii="Times New Roman" w:eastAsia="Times New Roman" w:hAnsi="Times New Roman" w:cs="Times New Roman"/>
          <w:color w:val="000000"/>
        </w:rPr>
        <w:t xml:space="preserve"> In so holding, the Court failed to recognize that anticompetitive effects exist even without recoupment.</w:t>
      </w:r>
      <w:r w:rsidRPr="000444AC">
        <w:rPr>
          <w:rStyle w:val="a4"/>
          <w:rFonts w:ascii="Times New Roman" w:eastAsia="Times New Roman" w:hAnsi="Times New Roman" w:cs="Times New Roman"/>
          <w:color w:val="000000"/>
        </w:rPr>
        <w:footnoteReference w:id="161"/>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ab/>
        <w:t>The Court justified the recoupment requirement by harkening back to the implausibility arguments first announced in Matsushita. Justice Thomas asserted that “[a]</w:t>
      </w:r>
      <w:proofErr w:type="spellStart"/>
      <w:r w:rsidRPr="000444AC">
        <w:rPr>
          <w:rFonts w:ascii="Times New Roman" w:eastAsia="Times New Roman" w:hAnsi="Times New Roman" w:cs="Times New Roman"/>
          <w:color w:val="000000"/>
        </w:rPr>
        <w:t>bsent</w:t>
      </w:r>
      <w:proofErr w:type="spellEnd"/>
      <w:r w:rsidRPr="000444AC">
        <w:rPr>
          <w:rFonts w:ascii="Times New Roman" w:eastAsia="Times New Roman" w:hAnsi="Times New Roman" w:cs="Times New Roman"/>
          <w:color w:val="000000"/>
        </w:rPr>
        <w:t xml:space="preserve"> proof of likely recoupment, a strategy of predatory bidding makes no economic sense because it would involve short-term losses with no likelihood of offsetting long-term gains.”</w:t>
      </w:r>
      <w:r w:rsidRPr="000444AC">
        <w:rPr>
          <w:rStyle w:val="a4"/>
          <w:rFonts w:ascii="Times New Roman" w:eastAsia="Times New Roman" w:hAnsi="Times New Roman" w:cs="Times New Roman"/>
          <w:color w:val="000000"/>
        </w:rPr>
        <w:footnoteReference w:id="162"/>
      </w:r>
      <w:r w:rsidRPr="000444AC">
        <w:rPr>
          <w:rFonts w:ascii="Times New Roman" w:eastAsia="Times New Roman" w:hAnsi="Times New Roman" w:cs="Times New Roman"/>
          <w:color w:val="000000"/>
        </w:rPr>
        <w:t xml:space="preserve"> The Court repeated its refrain that “[w]</w:t>
      </w:r>
      <w:proofErr w:type="spellStart"/>
      <w:r w:rsidRPr="000444AC">
        <w:rPr>
          <w:rFonts w:ascii="Times New Roman" w:eastAsia="Times New Roman" w:hAnsi="Times New Roman" w:cs="Times New Roman"/>
          <w:color w:val="000000"/>
        </w:rPr>
        <w:t>ithout</w:t>
      </w:r>
      <w:proofErr w:type="spellEnd"/>
      <w:r w:rsidRPr="000444AC">
        <w:rPr>
          <w:rFonts w:ascii="Times New Roman" w:eastAsia="Times New Roman" w:hAnsi="Times New Roman" w:cs="Times New Roman"/>
          <w:color w:val="000000"/>
        </w:rPr>
        <w:t xml:space="preserve"> such a reasonable expectation, a rational firm would not willingly suffer definite, short-run losses.”</w:t>
      </w:r>
      <w:r w:rsidRPr="000444AC">
        <w:rPr>
          <w:rStyle w:val="a4"/>
          <w:rFonts w:ascii="Times New Roman" w:eastAsia="Times New Roman" w:hAnsi="Times New Roman" w:cs="Times New Roman"/>
          <w:color w:val="000000"/>
        </w:rPr>
        <w:footnoteReference w:id="163"/>
      </w:r>
      <w:r w:rsidRPr="000444AC">
        <w:rPr>
          <w:rFonts w:ascii="Times New Roman" w:eastAsia="Times New Roman" w:hAnsi="Times New Roman" w:cs="Times New Roman"/>
          <w:color w:val="000000"/>
        </w:rPr>
        <w:t xml:space="preserve"> But this is true of </w:t>
      </w:r>
      <w:r w:rsidRPr="000444AC">
        <w:rPr>
          <w:rFonts w:ascii="Times New Roman" w:eastAsia="Times New Roman" w:hAnsi="Times New Roman" w:cs="Times New Roman"/>
          <w:i/>
          <w:color w:val="000000"/>
        </w:rPr>
        <w:t>all</w:t>
      </w:r>
      <w:r w:rsidRPr="000444AC">
        <w:rPr>
          <w:rFonts w:ascii="Times New Roman" w:eastAsia="Times New Roman" w:hAnsi="Times New Roman" w:cs="Times New Roman"/>
          <w:color w:val="000000"/>
        </w:rPr>
        <w:t xml:space="preserve"> business ventures, many of which ultimately fail, but that doesn’t mean that the ventures were not attempted or did not have negative effects on society or on competition. More importantly, although recoupment might be necessary for a predatory bidding or hoarding to “make sense,” in the Court’s parlance, recoupment is not necessary for the conduct to be anticompetitive, for the conduct to destroy equally or more efficient competitors, or to impose antitrust injury on consumers. After imposing the recoupment requirement for predatory bidding claims, the Court gave no meaningful guidance on how plaintiffs could satisfy the element.</w:t>
      </w:r>
      <w:r w:rsidRPr="000444AC">
        <w:rPr>
          <w:rStyle w:val="a4"/>
          <w:rFonts w:ascii="Times New Roman" w:eastAsia="Times New Roman" w:hAnsi="Times New Roman" w:cs="Times New Roman"/>
          <w:color w:val="000000"/>
        </w:rPr>
        <w:footnoteReference w:id="164"/>
      </w:r>
    </w:p>
    <w:p w:rsidR="00F47C81" w:rsidRPr="000444AC" w:rsidRDefault="00F47C81" w:rsidP="00F47C81">
      <w:pPr>
        <w:shd w:val="clear" w:color="auto" w:fill="FFFFFF"/>
        <w:textAlignment w:val="baseline"/>
        <w:rPr>
          <w:rFonts w:ascii="Times New Roman" w:eastAsia="Times New Roman" w:hAnsi="Times New Roman" w:cs="Times New Roman"/>
          <w:color w:val="000000"/>
        </w:rPr>
      </w:pP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Finally, the Court tried to force hoarding inputs into the predatory-pricing legal template in ways that defy common sense. Justice Thomas asserted that “[t]he first prong of </w:t>
      </w:r>
      <w:r w:rsidRPr="000444AC">
        <w:rPr>
          <w:rFonts w:ascii="Times New Roman" w:eastAsia="Times New Roman" w:hAnsi="Times New Roman" w:cs="Times New Roman"/>
          <w:i/>
          <w:iCs/>
          <w:color w:val="000000"/>
          <w:bdr w:val="none" w:sz="0" w:space="0" w:color="auto" w:frame="1"/>
        </w:rPr>
        <w:t>Brooke Group</w:t>
      </w:r>
      <w:r w:rsidRPr="000444AC">
        <w:rPr>
          <w:rFonts w:ascii="Times New Roman" w:eastAsia="Times New Roman" w:hAnsi="Times New Roman" w:cs="Times New Roman"/>
          <w:iCs/>
          <w:color w:val="000000"/>
          <w:bdr w:val="none" w:sz="0" w:space="0" w:color="auto" w:frame="1"/>
        </w:rPr>
        <w:t>’s</w:t>
      </w:r>
      <w:r w:rsidRPr="000444AC">
        <w:rPr>
          <w:rFonts w:ascii="Times New Roman" w:eastAsia="Times New Roman" w:hAnsi="Times New Roman" w:cs="Times New Roman"/>
          <w:color w:val="000000"/>
        </w:rPr>
        <w:t> test requires little adaptation for the predatory-bidding context. A plaintiff must prove that the alleged predatory bidding led to below-cost pricing of the predator's outputs.”</w:t>
      </w:r>
      <w:r w:rsidRPr="000444AC">
        <w:rPr>
          <w:rStyle w:val="a4"/>
          <w:rFonts w:ascii="Times New Roman" w:eastAsia="Times New Roman" w:hAnsi="Times New Roman" w:cs="Times New Roman"/>
          <w:color w:val="000000"/>
        </w:rPr>
        <w:footnoteReference w:id="165"/>
      </w:r>
      <w:r w:rsidRPr="000444AC">
        <w:rPr>
          <w:rFonts w:ascii="Times New Roman" w:eastAsia="Times New Roman" w:hAnsi="Times New Roman" w:cs="Times New Roman"/>
          <w:color w:val="000000"/>
        </w:rPr>
        <w:t xml:space="preserve"> That’s absurd; while the first step of predatory pricing is charging a below-cost price, the first step of predatory bidding is paying too much. The predator never needs to charge a below-cost price for </w:t>
      </w:r>
      <w:r w:rsidRPr="000444AC">
        <w:rPr>
          <w:rFonts w:ascii="Times New Roman" w:eastAsia="Times New Roman" w:hAnsi="Times New Roman" w:cs="Times New Roman"/>
          <w:color w:val="000000"/>
        </w:rPr>
        <w:lastRenderedPageBreak/>
        <w:t>outputs in order for hoarding to be profitable. Indeed, the predator will seek to charge a supra-competitive price for its output as its rivals – unable to purchase sufficient inputs, as was Ross-Simmons – are unable to price discipline the monopolist.</w:t>
      </w:r>
      <w:r w:rsidRPr="000444AC">
        <w:rPr>
          <w:rStyle w:val="a4"/>
          <w:rFonts w:ascii="Times New Roman" w:eastAsia="Times New Roman" w:hAnsi="Times New Roman" w:cs="Times New Roman"/>
          <w:color w:val="000000"/>
        </w:rPr>
        <w:footnoteReference w:id="166"/>
      </w:r>
      <w:r w:rsidRPr="000444AC">
        <w:rPr>
          <w:rFonts w:ascii="Times New Roman" w:eastAsia="Times New Roman" w:hAnsi="Times New Roman" w:cs="Times New Roman"/>
          <w:color w:val="000000"/>
        </w:rPr>
        <w:t xml:space="preserve"> </w:t>
      </w: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By conflating Justice Thomas appears to be trying to eliminate predatory overbuying as an antitrust cause of action. For example, he held that “</w:t>
      </w:r>
      <w:r w:rsidRPr="000444AC">
        <w:rPr>
          <w:rFonts w:ascii="Times New Roman" w:eastAsia="Times New Roman" w:hAnsi="Times New Roman" w:cs="Times New Roman"/>
          <w:i/>
          <w:color w:val="000000"/>
        </w:rPr>
        <w:t>only</w:t>
      </w:r>
      <w:r w:rsidRPr="000444AC">
        <w:rPr>
          <w:rFonts w:ascii="Times New Roman" w:eastAsia="Times New Roman" w:hAnsi="Times New Roman" w:cs="Times New Roman"/>
          <w:color w:val="000000"/>
        </w:rPr>
        <w:t xml:space="preserve"> higher bidding that leads to below-cost pricing in the relevant output market will suffice as a basis for liability for predatory bidding.”</w:t>
      </w:r>
      <w:r w:rsidRPr="000444AC">
        <w:rPr>
          <w:rStyle w:val="a4"/>
          <w:rFonts w:ascii="Times New Roman" w:eastAsia="Times New Roman" w:hAnsi="Times New Roman" w:cs="Times New Roman"/>
          <w:color w:val="000000"/>
        </w:rPr>
        <w:footnoteReference w:id="167"/>
      </w:r>
      <w:r w:rsidRPr="000444AC">
        <w:rPr>
          <w:rFonts w:ascii="Times New Roman" w:eastAsia="Times New Roman" w:hAnsi="Times New Roman" w:cs="Times New Roman"/>
          <w:color w:val="000000"/>
        </w:rPr>
        <w:t xml:space="preserve"> This ignores the fact that predatory bidding and the resulting control of necessary inputs can lead to monopoly pricing in output markets, which will inflict antitrust injury on consumers.</w:t>
      </w: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More importantly, this is not just analogizing predatory pricing and predatory bidding; it suggests that the only way that a plaintiff can establish antitrust liability for predatory bidding is to prove that the defendant engaged in predatory pricing. But, of course, the Court has said in its earlier predatory pricing opinions that predatory pricing does not happen and it constructed a legal test that is virtually impossible to satisfy.</w:t>
      </w: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p>
    <w:p w:rsidR="00F47C81" w:rsidRPr="000444AC" w:rsidRDefault="00F47C81" w:rsidP="00F47C81">
      <w:pPr>
        <w:shd w:val="clear" w:color="auto" w:fill="FFFFFF"/>
        <w:ind w:firstLine="720"/>
        <w:textAlignment w:val="baseline"/>
        <w:rPr>
          <w:rFonts w:ascii="Times New Roman" w:eastAsia="Times New Roman" w:hAnsi="Times New Roman" w:cs="Times New Roman"/>
          <w:color w:val="000000"/>
        </w:rPr>
      </w:pPr>
      <w:r w:rsidRPr="000444AC">
        <w:rPr>
          <w:rFonts w:ascii="Times New Roman" w:eastAsia="Times New Roman" w:hAnsi="Times New Roman" w:cs="Times New Roman"/>
          <w:color w:val="000000"/>
        </w:rPr>
        <w:t>Whatever one thinks of predatory pricing and the Court’s case law on such claims, Justice Thomas’s conflation of predatory pricing and predatory overbuying is beyond reason. The purpose of doing so seems to be to immunize yet another form of anticompetitive conduct from antitrust liability.</w:t>
      </w:r>
    </w:p>
    <w:p w:rsidR="000920D7" w:rsidRPr="000444AC" w:rsidRDefault="000920D7" w:rsidP="00154EF9">
      <w:pPr>
        <w:rPr>
          <w:rFonts w:ascii="Times New Roman" w:hAnsi="Times New Roman" w:cs="Times New Roman"/>
        </w:rPr>
      </w:pPr>
    </w:p>
    <w:p w:rsidR="00154EF9" w:rsidRPr="000444AC" w:rsidRDefault="00632237" w:rsidP="00154EF9">
      <w:pPr>
        <w:rPr>
          <w:rFonts w:ascii="Times New Roman" w:hAnsi="Times New Roman" w:cs="Times New Roman"/>
          <w:b/>
        </w:rPr>
      </w:pPr>
      <w:r w:rsidRPr="000444AC">
        <w:rPr>
          <w:rFonts w:ascii="Times New Roman" w:hAnsi="Times New Roman" w:cs="Times New Roman"/>
          <w:b/>
        </w:rPr>
        <w:tab/>
        <w:t>B</w:t>
      </w:r>
      <w:r w:rsidR="00154EF9" w:rsidRPr="000444AC">
        <w:rPr>
          <w:rFonts w:ascii="Times New Roman" w:hAnsi="Times New Roman" w:cs="Times New Roman"/>
          <w:b/>
        </w:rPr>
        <w:t>. Matsushita: From Predatory Pricing to All Conspiracies</w:t>
      </w:r>
    </w:p>
    <w:p w:rsidR="00632237" w:rsidRPr="000444AC" w:rsidRDefault="00632237" w:rsidP="00154EF9">
      <w:pPr>
        <w:rPr>
          <w:rFonts w:ascii="Times New Roman" w:hAnsi="Times New Roman" w:cs="Times New Roman"/>
          <w:b/>
        </w:rPr>
      </w:pPr>
    </w:p>
    <w:p w:rsidR="00632237" w:rsidRPr="000444AC" w:rsidRDefault="00632237" w:rsidP="00154EF9">
      <w:pPr>
        <w:rPr>
          <w:rFonts w:ascii="Times New Roman" w:hAnsi="Times New Roman" w:cs="Times New Roman"/>
          <w:b/>
        </w:rPr>
      </w:pPr>
      <w:r w:rsidRPr="000444AC">
        <w:rPr>
          <w:rFonts w:ascii="Times New Roman" w:hAnsi="Times New Roman" w:cs="Times New Roman"/>
          <w:b/>
        </w:rPr>
        <w:tab/>
      </w:r>
      <w:r w:rsidRPr="000444AC">
        <w:rPr>
          <w:rFonts w:ascii="Times New Roman" w:hAnsi="Times New Roman" w:cs="Times New Roman"/>
          <w:b/>
        </w:rPr>
        <w:tab/>
        <w:t xml:space="preserve">1. </w:t>
      </w:r>
      <w:r w:rsidR="000444AC">
        <w:rPr>
          <w:rFonts w:ascii="Times New Roman" w:hAnsi="Times New Roman" w:cs="Times New Roman"/>
          <w:b/>
        </w:rPr>
        <w:t>Price-Fixing Conspiracies</w:t>
      </w:r>
    </w:p>
    <w:p w:rsidR="00632237" w:rsidRPr="000444AC" w:rsidRDefault="00632237" w:rsidP="00632237">
      <w:pPr>
        <w:rPr>
          <w:rFonts w:ascii="Times New Roman" w:hAnsi="Times New Roman" w:cs="Times New Roman"/>
        </w:rPr>
      </w:pPr>
    </w:p>
    <w:p w:rsidR="00632237" w:rsidRPr="000444AC" w:rsidRDefault="00632237" w:rsidP="00632237">
      <w:pPr>
        <w:rPr>
          <w:rFonts w:ascii="Times New Roman" w:hAnsi="Times New Roman" w:cs="Times New Roman"/>
        </w:rPr>
      </w:pPr>
      <w:r w:rsidRPr="000444AC">
        <w:rPr>
          <w:rFonts w:ascii="Times New Roman" w:hAnsi="Times New Roman" w:cs="Times New Roman"/>
        </w:rPr>
        <w:tab/>
        <w:t xml:space="preserve">Price fixing is the quintessential antitrust violation. Price-fixing agreements must normally be proven with circumstantial evidence. Direct proof, such as recordings or written agreements, is generally unavailable because conspirators take great effort to conceal their crime. Proving agreements through circumstantial evidence traditionally entails a two-step process of proof. First, the plaintiff shows that competitors engaged in parallel conduct, such as lockstep price increases, referred to as “conscious parallelism,” which the Supreme Court has defined as “the process, not in itself unlawful, by which firms in a concentrated market might in effect share monopoly power, setting their prices at a profit-maximizing, </w:t>
      </w:r>
      <w:proofErr w:type="spellStart"/>
      <w:r w:rsidRPr="000444AC">
        <w:rPr>
          <w:rFonts w:ascii="Times New Roman" w:hAnsi="Times New Roman" w:cs="Times New Roman"/>
        </w:rPr>
        <w:t>supracompetitive</w:t>
      </w:r>
      <w:proofErr w:type="spellEnd"/>
      <w:r w:rsidRPr="000444AC">
        <w:rPr>
          <w:rFonts w:ascii="Times New Roman" w:hAnsi="Times New Roman" w:cs="Times New Roman"/>
        </w:rPr>
        <w:t xml:space="preserve"> level by recognizing their shared economic interests and their interdependence with respect to price and output decisions.”</w:t>
      </w:r>
      <w:r w:rsidRPr="000444AC">
        <w:rPr>
          <w:rStyle w:val="a4"/>
          <w:rFonts w:ascii="Times New Roman" w:hAnsi="Times New Roman" w:cs="Times New Roman"/>
        </w:rPr>
        <w:footnoteReference w:id="168"/>
      </w:r>
      <w:r w:rsidRPr="000444AC">
        <w:rPr>
          <w:rFonts w:ascii="Times New Roman" w:hAnsi="Times New Roman" w:cs="Times New Roman"/>
        </w:rPr>
        <w:t xml:space="preserve"> Because conscious parallelism alone is insufficient to prove collusion,</w:t>
      </w:r>
      <w:r w:rsidRPr="000444AC">
        <w:rPr>
          <w:rStyle w:val="a4"/>
          <w:rFonts w:ascii="Times New Roman" w:hAnsi="Times New Roman" w:cs="Times New Roman"/>
        </w:rPr>
        <w:footnoteReference w:id="169"/>
      </w:r>
      <w:r w:rsidRPr="000444AC">
        <w:rPr>
          <w:rFonts w:ascii="Times New Roman" w:hAnsi="Times New Roman" w:cs="Times New Roman"/>
        </w:rPr>
        <w:t xml:space="preserve"> </w:t>
      </w:r>
      <w:r w:rsidRPr="000444AC">
        <w:rPr>
          <w:rFonts w:ascii="Times New Roman" w:hAnsi="Times New Roman" w:cs="Times New Roman"/>
        </w:rPr>
        <w:lastRenderedPageBreak/>
        <w:t>the plaintiff must also show the presence of plus factors,</w:t>
      </w:r>
      <w:r w:rsidRPr="000444AC">
        <w:rPr>
          <w:rStyle w:val="a4"/>
          <w:rFonts w:ascii="Times New Roman" w:hAnsi="Times New Roman" w:cs="Times New Roman"/>
        </w:rPr>
        <w:footnoteReference w:id="170"/>
      </w:r>
      <w:r w:rsidRPr="000444AC">
        <w:rPr>
          <w:rFonts w:ascii="Times New Roman" w:hAnsi="Times New Roman" w:cs="Times New Roman"/>
        </w:rPr>
        <w:t xml:space="preserve"> which “</w:t>
      </w:r>
      <w:r w:rsidRPr="000444AC">
        <w:rPr>
          <w:rFonts w:ascii="Times New Roman" w:hAnsi="Times New Roman" w:cs="Times New Roman"/>
          <w:color w:val="000000"/>
          <w:shd w:val="clear" w:color="auto" w:fill="FFFFFF"/>
        </w:rPr>
        <w:t>when viewed in conjunction with the parallel acts, can serve to allow a fact-finder to infer a conspiracy.</w:t>
      </w:r>
      <w:r w:rsidRPr="000444AC">
        <w:rPr>
          <w:rFonts w:ascii="Times New Roman" w:hAnsi="Times New Roman" w:cs="Times New Roman"/>
        </w:rPr>
        <w:t>”</w:t>
      </w:r>
      <w:r w:rsidRPr="000444AC">
        <w:rPr>
          <w:rStyle w:val="a4"/>
          <w:rFonts w:ascii="Times New Roman" w:hAnsi="Times New Roman" w:cs="Times New Roman"/>
        </w:rPr>
        <w:footnoteReference w:id="171"/>
      </w:r>
    </w:p>
    <w:p w:rsidR="00632237" w:rsidRPr="000444AC" w:rsidRDefault="00632237" w:rsidP="00632237">
      <w:pPr>
        <w:rPr>
          <w:rFonts w:ascii="Times New Roman" w:hAnsi="Times New Roman" w:cs="Times New Roman"/>
        </w:rPr>
      </w:pPr>
    </w:p>
    <w:p w:rsidR="000444AC" w:rsidRPr="003149B4" w:rsidRDefault="00632237" w:rsidP="000444AC">
      <w:pPr>
        <w:rPr>
          <w:rFonts w:ascii="Times New Roman" w:hAnsi="Times New Roman" w:cs="Times New Roman"/>
        </w:rPr>
      </w:pPr>
      <w:r w:rsidRPr="000444AC">
        <w:rPr>
          <w:rFonts w:ascii="Times New Roman" w:hAnsi="Times New Roman" w:cs="Times New Roman"/>
        </w:rPr>
        <w:tab/>
        <w:t xml:space="preserve">Despite the universal agreement that the Sherman Act should condemn price-fixing agreements, courts routinely grant summary judgment to price-fixing defendants even when plaintiffs can prove significant conscious parallelism and plentiful plus factors. Many courts invoke the heightened summary judgment standards of </w:t>
      </w:r>
      <w:r w:rsidRPr="000444AC">
        <w:rPr>
          <w:rFonts w:ascii="Times New Roman" w:hAnsi="Times New Roman" w:cs="Times New Roman"/>
          <w:i/>
        </w:rPr>
        <w:t>Matsushita</w:t>
      </w:r>
      <w:r w:rsidRPr="000444AC">
        <w:rPr>
          <w:rFonts w:ascii="Times New Roman" w:hAnsi="Times New Roman" w:cs="Times New Roman"/>
        </w:rPr>
        <w:t xml:space="preserve"> to justify refusing to allow price-fixing claims to go to a jury.</w:t>
      </w:r>
      <w:r w:rsidRPr="000444AC">
        <w:rPr>
          <w:rStyle w:val="a4"/>
          <w:rFonts w:ascii="Times New Roman" w:hAnsi="Times New Roman" w:cs="Times New Roman"/>
        </w:rPr>
        <w:footnoteReference w:id="172"/>
      </w:r>
      <w:r w:rsidRPr="000444AC">
        <w:rPr>
          <w:rFonts w:ascii="Times New Roman" w:hAnsi="Times New Roman" w:cs="Times New Roman"/>
        </w:rPr>
        <w:t xml:space="preserve"> Several courts have held that </w:t>
      </w:r>
      <w:r w:rsidRPr="000444AC">
        <w:rPr>
          <w:rFonts w:ascii="Times New Roman" w:hAnsi="Times New Roman" w:cs="Times New Roman"/>
          <w:i/>
        </w:rPr>
        <w:t>Matsushita</w:t>
      </w:r>
      <w:r w:rsidRPr="000444AC">
        <w:rPr>
          <w:rFonts w:ascii="Times New Roman" w:hAnsi="Times New Roman" w:cs="Times New Roman"/>
        </w:rPr>
        <w:t>’s heightened standard applies to all antitrust conspiracies.</w:t>
      </w:r>
      <w:r w:rsidRPr="000444AC">
        <w:rPr>
          <w:rStyle w:val="a4"/>
          <w:rFonts w:ascii="Times New Roman" w:hAnsi="Times New Roman" w:cs="Times New Roman"/>
        </w:rPr>
        <w:footnoteReference w:id="173"/>
      </w:r>
      <w:r w:rsidRPr="000444AC">
        <w:rPr>
          <w:rFonts w:ascii="Times New Roman" w:hAnsi="Times New Roman" w:cs="Times New Roman"/>
        </w:rPr>
        <w:t xml:space="preserve"> </w:t>
      </w:r>
      <w:r w:rsidR="000444AC">
        <w:rPr>
          <w:rFonts w:ascii="Times New Roman" w:hAnsi="Times New Roman" w:cs="Times New Roman"/>
        </w:rPr>
        <w:t>For example, the Ninth Circuit</w:t>
      </w:r>
      <w:r w:rsidR="003149B4">
        <w:rPr>
          <w:rFonts w:ascii="Times New Roman" w:hAnsi="Times New Roman" w:cs="Times New Roman"/>
        </w:rPr>
        <w:t xml:space="preserve"> in </w:t>
      </w:r>
      <w:r w:rsidR="003149B4" w:rsidRPr="000444AC">
        <w:rPr>
          <w:rFonts w:ascii="Times New Roman" w:eastAsia="Times New Roman" w:hAnsi="Times New Roman" w:cs="Times New Roman"/>
          <w:i/>
          <w:color w:val="000000"/>
        </w:rPr>
        <w:t>In re Citric Acid Litig</w:t>
      </w:r>
      <w:r w:rsidR="003149B4">
        <w:rPr>
          <w:rFonts w:ascii="Times New Roman" w:eastAsia="Times New Roman" w:hAnsi="Times New Roman" w:cs="Times New Roman"/>
          <w:i/>
          <w:color w:val="000000"/>
        </w:rPr>
        <w:t>ation</w:t>
      </w:r>
      <w:r w:rsidR="003149B4" w:rsidRPr="003149B4">
        <w:rPr>
          <w:rStyle w:val="a4"/>
          <w:rFonts w:ascii="Times New Roman" w:eastAsia="Times New Roman" w:hAnsi="Times New Roman" w:cs="Times New Roman"/>
          <w:color w:val="000000"/>
        </w:rPr>
        <w:footnoteReference w:id="174"/>
      </w:r>
      <w:r w:rsidR="003149B4" w:rsidRPr="003149B4">
        <w:rPr>
          <w:rFonts w:ascii="Times New Roman" w:eastAsia="Times New Roman" w:hAnsi="Times New Roman" w:cs="Times New Roman"/>
          <w:color w:val="000000"/>
        </w:rPr>
        <w:t xml:space="preserve"> </w:t>
      </w:r>
      <w:r w:rsidR="003149B4">
        <w:rPr>
          <w:rFonts w:ascii="Times New Roman" w:eastAsia="Times New Roman" w:hAnsi="Times New Roman" w:cs="Times New Roman"/>
          <w:color w:val="000000"/>
        </w:rPr>
        <w:t xml:space="preserve">held that </w:t>
      </w:r>
      <w:r w:rsidR="000444AC" w:rsidRPr="000444AC">
        <w:rPr>
          <w:rFonts w:ascii="Times New Roman" w:hAnsi="Times New Roman" w:cs="Times New Roman"/>
        </w:rPr>
        <w:t>“</w:t>
      </w:r>
      <w:r w:rsidR="000444AC" w:rsidRPr="000444AC">
        <w:rPr>
          <w:rFonts w:ascii="Times New Roman" w:eastAsia="Times New Roman" w:hAnsi="Times New Roman" w:cs="Times New Roman"/>
          <w:i/>
          <w:iCs/>
          <w:color w:val="000000"/>
          <w:shd w:val="clear" w:color="auto" w:fill="FFFFFF"/>
        </w:rPr>
        <w:t>Matsushita</w:t>
      </w:r>
      <w:r w:rsidR="000444AC" w:rsidRPr="000444AC">
        <w:rPr>
          <w:rFonts w:ascii="Times New Roman" w:eastAsia="Times New Roman" w:hAnsi="Times New Roman" w:cs="Times New Roman"/>
          <w:color w:val="000000"/>
          <w:shd w:val="clear" w:color="auto" w:fill="FFFFFF"/>
        </w:rPr>
        <w:t> is the Supreme Court's foremost explanation of how summary judgment works in the antitrust context. … The Court warned that permitting the inference of conspiratorial behavior from evidence consistent with both lawful and unlawful conduct would deter pro-competitive conduct—an especially pernicious danger in light of the fact that the very purpose of the antitrust laws is to promote competition.”</w:t>
      </w:r>
      <w:r w:rsidR="003149B4">
        <w:rPr>
          <w:rFonts w:ascii="Times New Roman" w:eastAsia="Times New Roman" w:hAnsi="Times New Roman" w:cs="Times New Roman"/>
          <w:color w:val="000000"/>
        </w:rPr>
        <w:t xml:space="preserve"> In using the </w:t>
      </w:r>
      <w:r w:rsidR="003149B4" w:rsidRPr="003149B4">
        <w:rPr>
          <w:rFonts w:ascii="Times New Roman" w:eastAsia="Times New Roman" w:hAnsi="Times New Roman" w:cs="Times New Roman"/>
          <w:i/>
          <w:color w:val="000000"/>
        </w:rPr>
        <w:t>Matsushita</w:t>
      </w:r>
      <w:r w:rsidR="003149B4">
        <w:rPr>
          <w:rFonts w:ascii="Times New Roman" w:eastAsia="Times New Roman" w:hAnsi="Times New Roman" w:cs="Times New Roman"/>
          <w:color w:val="000000"/>
        </w:rPr>
        <w:t xml:space="preserve"> standard to grant summary judgment to a price-fixing defendant, the court never what “pro-competitive conduct” was being deterred, especially given that the citric acid was, in fact, being controlled by an illegal cartel.</w:t>
      </w:r>
    </w:p>
    <w:p w:rsidR="000444AC" w:rsidRDefault="000444AC" w:rsidP="00632237">
      <w:pPr>
        <w:rPr>
          <w:rFonts w:ascii="Times New Roman" w:hAnsi="Times New Roman" w:cs="Times New Roman"/>
        </w:rPr>
      </w:pPr>
    </w:p>
    <w:p w:rsidR="003149B4" w:rsidRPr="000444AC" w:rsidRDefault="003149B4" w:rsidP="00632237">
      <w:pPr>
        <w:rPr>
          <w:rFonts w:ascii="Times New Roman" w:hAnsi="Times New Roman" w:cs="Times New Roman"/>
        </w:rPr>
      </w:pPr>
      <w:r>
        <w:rPr>
          <w:rFonts w:ascii="Times New Roman" w:hAnsi="Times New Roman" w:cs="Times New Roman"/>
        </w:rPr>
        <w:tab/>
      </w:r>
      <w:r w:rsidRPr="000444AC">
        <w:rPr>
          <w:rFonts w:ascii="Times New Roman" w:hAnsi="Times New Roman" w:cs="Times New Roman"/>
        </w:rPr>
        <w:t xml:space="preserve">Other courts have acknowledged that </w:t>
      </w:r>
      <w:r w:rsidRPr="000444AC">
        <w:rPr>
          <w:rFonts w:ascii="Times New Roman" w:hAnsi="Times New Roman" w:cs="Times New Roman"/>
          <w:i/>
        </w:rPr>
        <w:t>Matsushita</w:t>
      </w:r>
      <w:r w:rsidRPr="000444AC">
        <w:rPr>
          <w:rFonts w:ascii="Times New Roman" w:hAnsi="Times New Roman" w:cs="Times New Roman"/>
        </w:rPr>
        <w:t xml:space="preserve">’s more rigorous standard applies only when the plaintiff’s antitrust conspiracy claim is implausible, then they nonetheless apply the </w:t>
      </w:r>
      <w:r w:rsidRPr="000444AC">
        <w:rPr>
          <w:rFonts w:ascii="Times New Roman" w:hAnsi="Times New Roman" w:cs="Times New Roman"/>
          <w:i/>
        </w:rPr>
        <w:t>Matsushita</w:t>
      </w:r>
      <w:r w:rsidRPr="000444AC">
        <w:rPr>
          <w:rFonts w:ascii="Times New Roman" w:hAnsi="Times New Roman" w:cs="Times New Roman"/>
        </w:rPr>
        <w:t xml:space="preserve"> standard to admittedly plausible claims. [Discussion of several cases will happen here]</w:t>
      </w:r>
    </w:p>
    <w:p w:rsidR="00632237" w:rsidRPr="000444AC" w:rsidRDefault="00632237" w:rsidP="00632237">
      <w:pPr>
        <w:rPr>
          <w:rFonts w:ascii="Times New Roman" w:hAnsi="Times New Roman" w:cs="Times New Roman"/>
        </w:rPr>
      </w:pPr>
    </w:p>
    <w:p w:rsidR="00632237" w:rsidRPr="000444AC" w:rsidRDefault="00632237" w:rsidP="00632237">
      <w:pPr>
        <w:rPr>
          <w:rFonts w:ascii="Times New Roman" w:hAnsi="Times New Roman" w:cs="Times New Roman"/>
        </w:rPr>
      </w:pPr>
      <w:r w:rsidRPr="000444AC">
        <w:rPr>
          <w:rFonts w:ascii="Times New Roman" w:hAnsi="Times New Roman" w:cs="Times New Roman"/>
        </w:rPr>
        <w:tab/>
        <w:t xml:space="preserve">The </w:t>
      </w:r>
      <w:r w:rsidRPr="000444AC">
        <w:rPr>
          <w:rFonts w:ascii="Times New Roman" w:hAnsi="Times New Roman" w:cs="Times New Roman"/>
          <w:i/>
        </w:rPr>
        <w:t>Matsushita</w:t>
      </w:r>
      <w:r w:rsidRPr="000444AC">
        <w:rPr>
          <w:rFonts w:ascii="Times New Roman" w:hAnsi="Times New Roman" w:cs="Times New Roman"/>
        </w:rPr>
        <w:t xml:space="preserve"> opinion has wreaked havoc on price-fixing jurisprudence, which is surprising because horizontal price fixing and predatory pricing conspiracies are diametric opposites. The </w:t>
      </w:r>
      <w:r w:rsidRPr="000444AC">
        <w:rPr>
          <w:rFonts w:ascii="Times New Roman" w:hAnsi="Times New Roman" w:cs="Times New Roman"/>
          <w:i/>
        </w:rPr>
        <w:t>Matsushita</w:t>
      </w:r>
      <w:r w:rsidRPr="000444AC">
        <w:rPr>
          <w:rFonts w:ascii="Times New Roman" w:hAnsi="Times New Roman" w:cs="Times New Roman"/>
        </w:rPr>
        <w:t xml:space="preserve"> Court justified the heightened summary judgment standard based on three rationales: predatory pricing claims are inherently implausible; a </w:t>
      </w:r>
      <w:proofErr w:type="gramStart"/>
      <w:r w:rsidRPr="000444AC">
        <w:rPr>
          <w:rFonts w:ascii="Times New Roman" w:hAnsi="Times New Roman" w:cs="Times New Roman"/>
        </w:rPr>
        <w:t>predatory pricing scheme benefits consumers</w:t>
      </w:r>
      <w:proofErr w:type="gramEnd"/>
      <w:r w:rsidRPr="000444AC">
        <w:rPr>
          <w:rFonts w:ascii="Times New Roman" w:hAnsi="Times New Roman" w:cs="Times New Roman"/>
        </w:rPr>
        <w:t xml:space="preserve"> in its initial stage; and predatory pricing appears like procompetitive conduct that should not be chilled by overly aggressive antitrust rules.</w:t>
      </w:r>
    </w:p>
    <w:p w:rsidR="00632237" w:rsidRPr="000444AC" w:rsidRDefault="00632237" w:rsidP="00632237">
      <w:pPr>
        <w:rPr>
          <w:rFonts w:ascii="Times New Roman" w:hAnsi="Times New Roman" w:cs="Times New Roman"/>
        </w:rPr>
      </w:pPr>
    </w:p>
    <w:p w:rsidR="00632237" w:rsidRPr="000444AC" w:rsidRDefault="00632237" w:rsidP="00632237">
      <w:pPr>
        <w:rPr>
          <w:rFonts w:ascii="Times New Roman" w:hAnsi="Times New Roman" w:cs="Times New Roman"/>
        </w:rPr>
      </w:pPr>
      <w:r w:rsidRPr="000444AC">
        <w:rPr>
          <w:rFonts w:ascii="Times New Roman" w:hAnsi="Times New Roman" w:cs="Times New Roman"/>
        </w:rPr>
        <w:tab/>
        <w:t>None of these rationales are applicable to price-fixing claims. First, in contrast to the Supreme Court’s assertions of the implausibility of predatory pricing claims, price fixing is inherently plausible. At their front end, price-fixing conspiracies can involve significant coordination among competitors. But such conspiracies do not require a substantial financial investment.</w:t>
      </w:r>
    </w:p>
    <w:p w:rsidR="00632237" w:rsidRPr="000444AC" w:rsidRDefault="00632237" w:rsidP="00632237">
      <w:pPr>
        <w:rPr>
          <w:rFonts w:ascii="Times New Roman" w:hAnsi="Times New Roman" w:cs="Times New Roman"/>
        </w:rPr>
      </w:pPr>
    </w:p>
    <w:p w:rsidR="00632237" w:rsidRPr="000444AC" w:rsidRDefault="00632237" w:rsidP="00632237">
      <w:pPr>
        <w:rPr>
          <w:rFonts w:ascii="Times New Roman" w:hAnsi="Times New Roman" w:cs="Times New Roman"/>
        </w:rPr>
      </w:pPr>
      <w:r w:rsidRPr="000444AC">
        <w:rPr>
          <w:rFonts w:ascii="Times New Roman" w:hAnsi="Times New Roman" w:cs="Times New Roman"/>
        </w:rPr>
        <w:lastRenderedPageBreak/>
        <w:tab/>
        <w:t xml:space="preserve">Second, while predatory-pricing attempts involve initially lower prices, which benefit consumers, traditional price-fixing conspiracies entail no such short-term advantages. The pricing strategies are fundamentally distinct. Predators plan to move price in different directions at different times; prices are slashed in the short run (the predation phase) with the intention of ultimately increasing price in the long run (the recoupment phase). Price fixers begin by jacking up price; the second stage of price-fixing resembles the first stage: prices are increased again. Price-fixing conspiracies routinely involved a dozen or more lock-step price increases. The short-term and long-term effects of price-fixing are generally to reduce output and raise price, all to the detriment of consumers. </w:t>
      </w:r>
    </w:p>
    <w:p w:rsidR="00632237" w:rsidRPr="000444AC" w:rsidRDefault="00632237" w:rsidP="00632237">
      <w:pPr>
        <w:rPr>
          <w:rFonts w:ascii="Times New Roman" w:hAnsi="Times New Roman" w:cs="Times New Roman"/>
        </w:rPr>
      </w:pPr>
    </w:p>
    <w:p w:rsidR="00632237" w:rsidRPr="000444AC" w:rsidRDefault="00632237" w:rsidP="00632237">
      <w:pPr>
        <w:rPr>
          <w:rFonts w:ascii="Times New Roman" w:hAnsi="Times New Roman" w:cs="Times New Roman"/>
        </w:rPr>
      </w:pPr>
      <w:r w:rsidRPr="000444AC">
        <w:rPr>
          <w:rFonts w:ascii="Times New Roman" w:hAnsi="Times New Roman" w:cs="Times New Roman"/>
        </w:rPr>
        <w:tab/>
        <w:t xml:space="preserve">Moreover, failure looks very different in predatory pricing versus price fixing. The opinions in </w:t>
      </w:r>
      <w:r w:rsidRPr="000444AC">
        <w:rPr>
          <w:rFonts w:ascii="Times New Roman" w:hAnsi="Times New Roman" w:cs="Times New Roman"/>
          <w:i/>
        </w:rPr>
        <w:t>Matsushita</w:t>
      </w:r>
      <w:r w:rsidRPr="000444AC">
        <w:rPr>
          <w:rFonts w:ascii="Times New Roman" w:hAnsi="Times New Roman" w:cs="Times New Roman"/>
        </w:rPr>
        <w:t xml:space="preserve"> and </w:t>
      </w:r>
      <w:r w:rsidRPr="000444AC">
        <w:rPr>
          <w:rFonts w:ascii="Times New Roman" w:hAnsi="Times New Roman" w:cs="Times New Roman"/>
          <w:i/>
        </w:rPr>
        <w:t>Brooke Group</w:t>
      </w:r>
      <w:r w:rsidRPr="000444AC">
        <w:rPr>
          <w:rFonts w:ascii="Times New Roman" w:hAnsi="Times New Roman" w:cs="Times New Roman"/>
        </w:rPr>
        <w:t xml:space="preserve"> praised failed predatory pricing as being a “boon to consumers” because the consumers who paid a below-cost price received a windfall. If the predator fails to recoup its investment, then consumers as a whole overall are better off.</w:t>
      </w:r>
      <w:r w:rsidRPr="000444AC">
        <w:rPr>
          <w:rStyle w:val="a4"/>
          <w:rFonts w:ascii="Times New Roman" w:hAnsi="Times New Roman" w:cs="Times New Roman"/>
        </w:rPr>
        <w:footnoteReference w:id="175"/>
      </w:r>
      <w:r w:rsidRPr="000444AC">
        <w:rPr>
          <w:rFonts w:ascii="Times New Roman" w:hAnsi="Times New Roman" w:cs="Times New Roman"/>
        </w:rPr>
        <w:t xml:space="preserve"> In contrast, even when price-fixing conspiracies ultimately fail, all consumers are generally worse off. Failure in the context of price fixing takes the form of prices increasing in unison and then lowering back down toward their initial pre-conspiracy level.</w:t>
      </w:r>
    </w:p>
    <w:p w:rsidR="00632237" w:rsidRPr="000444AC" w:rsidRDefault="00632237" w:rsidP="00632237">
      <w:pPr>
        <w:rPr>
          <w:rFonts w:ascii="Times New Roman" w:hAnsi="Times New Roman" w:cs="Times New Roman"/>
        </w:rPr>
      </w:pPr>
    </w:p>
    <w:p w:rsidR="00632237" w:rsidRPr="000444AC" w:rsidRDefault="00632237" w:rsidP="00154EF9">
      <w:pPr>
        <w:rPr>
          <w:rFonts w:ascii="Times New Roman" w:hAnsi="Times New Roman" w:cs="Times New Roman"/>
        </w:rPr>
      </w:pPr>
      <w:r w:rsidRPr="000444AC">
        <w:rPr>
          <w:rFonts w:ascii="Times New Roman" w:hAnsi="Times New Roman" w:cs="Times New Roman"/>
        </w:rPr>
        <w:tab/>
        <w:t xml:space="preserve">Third, the fear of chilling procompetitive conduct infuses predatory-pricing law. The principle here is that if price-cutting behavior could be the basis for antitrust liability, then firms may not reduce price, even when the price remains above cost. These concerns do not map neatly onto price-fixing activity because judges should be less troubled by the prospect of antitrust liability deterring firms from raising price in unison. Despite this, several courts have invoked </w:t>
      </w:r>
      <w:r w:rsidRPr="000444AC">
        <w:rPr>
          <w:rFonts w:ascii="Times New Roman" w:hAnsi="Times New Roman" w:cs="Times New Roman"/>
          <w:i/>
        </w:rPr>
        <w:t>Matsushita</w:t>
      </w:r>
      <w:r w:rsidRPr="000444AC">
        <w:rPr>
          <w:rFonts w:ascii="Times New Roman" w:hAnsi="Times New Roman" w:cs="Times New Roman"/>
        </w:rPr>
        <w:t xml:space="preserve">’s language to justify granting summary judgment to price-fixing defendants. For example, the court in </w:t>
      </w:r>
      <w:r w:rsidRPr="000444AC">
        <w:rPr>
          <w:rFonts w:ascii="Times New Roman" w:hAnsi="Times New Roman" w:cs="Times New Roman"/>
          <w:i/>
        </w:rPr>
        <w:t>In re</w:t>
      </w:r>
      <w:r w:rsidRPr="000444AC">
        <w:rPr>
          <w:rFonts w:ascii="Times New Roman" w:hAnsi="Times New Roman" w:cs="Times New Roman"/>
        </w:rPr>
        <w:t xml:space="preserve"> </w:t>
      </w:r>
      <w:r w:rsidRPr="000444AC">
        <w:rPr>
          <w:rFonts w:ascii="Times New Roman" w:hAnsi="Times New Roman" w:cs="Times New Roman"/>
          <w:i/>
        </w:rPr>
        <w:t>Chocolate Confectionary Antitrust Litigation</w:t>
      </w:r>
      <w:r w:rsidRPr="000444AC">
        <w:rPr>
          <w:rStyle w:val="a4"/>
          <w:rFonts w:ascii="Times New Roman" w:hAnsi="Times New Roman" w:cs="Times New Roman"/>
        </w:rPr>
        <w:footnoteReference w:id="176"/>
      </w:r>
      <w:r w:rsidRPr="000444AC">
        <w:rPr>
          <w:rFonts w:ascii="Times New Roman" w:hAnsi="Times New Roman" w:cs="Times New Roman"/>
        </w:rPr>
        <w:t xml:space="preserve"> asserted that “[t]he plus factor requirement derives from concerns expressed by the Supreme Court in </w:t>
      </w:r>
      <w:r w:rsidRPr="000444AC">
        <w:rPr>
          <w:rFonts w:ascii="Times New Roman" w:hAnsi="Times New Roman" w:cs="Times New Roman"/>
          <w:i/>
        </w:rPr>
        <w:t>Matsushita</w:t>
      </w:r>
      <w:r w:rsidRPr="000444AC">
        <w:rPr>
          <w:rFonts w:ascii="Times New Roman" w:hAnsi="Times New Roman" w:cs="Times New Roman"/>
        </w:rPr>
        <w:t>, to wit: that mistaken inferences of unlawful actions could ‘chill the very conduct the antitrust laws are designed to protect.’”</w:t>
      </w:r>
      <w:r w:rsidRPr="000444AC">
        <w:rPr>
          <w:rStyle w:val="a4"/>
          <w:rFonts w:ascii="Times New Roman" w:hAnsi="Times New Roman" w:cs="Times New Roman"/>
        </w:rPr>
        <w:footnoteReference w:id="177"/>
      </w:r>
      <w:r w:rsidRPr="000444AC">
        <w:rPr>
          <w:rFonts w:ascii="Times New Roman" w:hAnsi="Times New Roman" w:cs="Times New Roman"/>
        </w:rPr>
        <w:t xml:space="preserve"> This is odd because uniform price increases among competitors, as occurred among the chocolate manufacturers in the case, is not “the very conduct the antitrust laws are designed to protect.” Similarly, the court in </w:t>
      </w:r>
      <w:r w:rsidRPr="000444AC">
        <w:rPr>
          <w:rFonts w:ascii="Times New Roman" w:hAnsi="Times New Roman" w:cs="Times New Roman"/>
          <w:i/>
        </w:rPr>
        <w:t>Holiday Wholesale Grocery Co. v. Philip Morris Inc</w:t>
      </w:r>
      <w:r w:rsidRPr="000444AC">
        <w:rPr>
          <w:rFonts w:ascii="Times New Roman" w:hAnsi="Times New Roman" w:cs="Times New Roman"/>
        </w:rPr>
        <w:t>.,</w:t>
      </w:r>
      <w:r w:rsidRPr="000444AC">
        <w:rPr>
          <w:rStyle w:val="a4"/>
          <w:rFonts w:ascii="Times New Roman" w:hAnsi="Times New Roman" w:cs="Times New Roman"/>
        </w:rPr>
        <w:footnoteReference w:id="178"/>
      </w:r>
      <w:r w:rsidRPr="000444AC">
        <w:rPr>
          <w:rFonts w:ascii="Times New Roman" w:hAnsi="Times New Roman" w:cs="Times New Roman"/>
        </w:rPr>
        <w:t xml:space="preserve"> granted summary judgment to tobacco defendants while quoting </w:t>
      </w:r>
      <w:r w:rsidRPr="000444AC">
        <w:rPr>
          <w:rFonts w:ascii="Times New Roman" w:hAnsi="Times New Roman" w:cs="Times New Roman"/>
          <w:i/>
        </w:rPr>
        <w:t>Matsushita</w:t>
      </w:r>
      <w:r w:rsidRPr="000444AC">
        <w:rPr>
          <w:rFonts w:ascii="Times New Roman" w:hAnsi="Times New Roman" w:cs="Times New Roman"/>
        </w:rPr>
        <w:t>’s edict “that ‘courts should not permit factfinders to infer conspiracies when such inferences are implausible, because the effect of such practices is often to deter procompetitive conduct.’”</w:t>
      </w:r>
      <w:r w:rsidRPr="000444AC">
        <w:rPr>
          <w:rStyle w:val="a4"/>
          <w:rFonts w:ascii="Times New Roman" w:hAnsi="Times New Roman" w:cs="Times New Roman"/>
        </w:rPr>
        <w:footnoteReference w:id="179"/>
      </w:r>
      <w:r w:rsidRPr="000444AC">
        <w:rPr>
          <w:rFonts w:ascii="Times New Roman" w:hAnsi="Times New Roman" w:cs="Times New Roman"/>
        </w:rPr>
        <w:t xml:space="preserve"> The court did not explain how the twelve lockstep price increases committed by the defendants were “procompetitive conduct,” let alone conduct that federal courts should be worried about deterring.</w:t>
      </w:r>
    </w:p>
    <w:p w:rsidR="00632237" w:rsidRPr="000444AC" w:rsidRDefault="00632237" w:rsidP="00154EF9">
      <w:pPr>
        <w:rPr>
          <w:rFonts w:ascii="Times New Roman" w:hAnsi="Times New Roman" w:cs="Times New Roman"/>
          <w:b/>
        </w:rPr>
      </w:pPr>
    </w:p>
    <w:p w:rsidR="00632237" w:rsidRPr="000444AC" w:rsidRDefault="00632237" w:rsidP="00154EF9">
      <w:pPr>
        <w:rPr>
          <w:rFonts w:ascii="Times New Roman" w:hAnsi="Times New Roman" w:cs="Times New Roman"/>
          <w:b/>
        </w:rPr>
      </w:pPr>
      <w:r w:rsidRPr="000444AC">
        <w:rPr>
          <w:rFonts w:ascii="Times New Roman" w:hAnsi="Times New Roman" w:cs="Times New Roman"/>
          <w:b/>
        </w:rPr>
        <w:tab/>
      </w:r>
      <w:r w:rsidRPr="000444AC">
        <w:rPr>
          <w:rFonts w:ascii="Times New Roman" w:hAnsi="Times New Roman" w:cs="Times New Roman"/>
          <w:b/>
        </w:rPr>
        <w:tab/>
        <w:t>2. Output Restraints</w:t>
      </w:r>
    </w:p>
    <w:p w:rsidR="00632237" w:rsidRPr="000444AC" w:rsidRDefault="00632237" w:rsidP="00154EF9">
      <w:pPr>
        <w:rPr>
          <w:rFonts w:ascii="Times New Roman" w:hAnsi="Times New Roman" w:cs="Times New Roman"/>
          <w:b/>
        </w:rPr>
      </w:pPr>
    </w:p>
    <w:p w:rsidR="00632237" w:rsidRPr="000444AC" w:rsidRDefault="00632237" w:rsidP="00154EF9">
      <w:pPr>
        <w:rPr>
          <w:rFonts w:ascii="Times New Roman" w:hAnsi="Times New Roman" w:cs="Times New Roman"/>
          <w:b/>
        </w:rPr>
      </w:pPr>
      <w:r w:rsidRPr="000444AC">
        <w:rPr>
          <w:rFonts w:ascii="Times New Roman" w:hAnsi="Times New Roman" w:cs="Times New Roman"/>
          <w:b/>
        </w:rPr>
        <w:lastRenderedPageBreak/>
        <w:tab/>
      </w:r>
      <w:r w:rsidRPr="000444AC">
        <w:rPr>
          <w:rFonts w:ascii="Times New Roman" w:hAnsi="Times New Roman" w:cs="Times New Roman"/>
          <w:b/>
        </w:rPr>
        <w:tab/>
        <w:t>3. Market Division</w:t>
      </w:r>
    </w:p>
    <w:p w:rsidR="00632237" w:rsidRPr="000444AC" w:rsidRDefault="00632237" w:rsidP="00154EF9">
      <w:pPr>
        <w:rPr>
          <w:rFonts w:ascii="Times New Roman" w:hAnsi="Times New Roman" w:cs="Times New Roman"/>
          <w:b/>
        </w:rPr>
      </w:pPr>
    </w:p>
    <w:p w:rsidR="000444AC" w:rsidRPr="000444AC" w:rsidRDefault="00632237" w:rsidP="000444AC">
      <w:pPr>
        <w:rPr>
          <w:rFonts w:ascii="Times New Roman" w:hAnsi="Times New Roman" w:cs="Times New Roman"/>
          <w:b/>
        </w:rPr>
      </w:pPr>
      <w:r w:rsidRPr="000444AC">
        <w:rPr>
          <w:rFonts w:ascii="Times New Roman" w:hAnsi="Times New Roman" w:cs="Times New Roman"/>
          <w:b/>
        </w:rPr>
        <w:tab/>
      </w:r>
      <w:r w:rsidRPr="000444AC">
        <w:rPr>
          <w:rFonts w:ascii="Times New Roman" w:hAnsi="Times New Roman" w:cs="Times New Roman"/>
          <w:b/>
        </w:rPr>
        <w:tab/>
        <w:t xml:space="preserve">4. </w:t>
      </w:r>
      <w:r w:rsidR="000444AC" w:rsidRPr="000444AC">
        <w:rPr>
          <w:rFonts w:ascii="Times New Roman" w:hAnsi="Times New Roman" w:cs="Times New Roman"/>
          <w:b/>
        </w:rPr>
        <w:t xml:space="preserve">Conspiracies to Impose Arbitration Clauses </w:t>
      </w:r>
    </w:p>
    <w:p w:rsidR="000444AC" w:rsidRPr="000444AC" w:rsidRDefault="000444AC" w:rsidP="000444AC">
      <w:pPr>
        <w:rPr>
          <w:rFonts w:ascii="Times New Roman" w:hAnsi="Times New Roman" w:cs="Times New Roman"/>
        </w:rPr>
      </w:pPr>
    </w:p>
    <w:p w:rsidR="000444AC" w:rsidRPr="000444AC" w:rsidRDefault="000444AC" w:rsidP="000444AC">
      <w:pPr>
        <w:ind w:firstLine="720"/>
        <w:rPr>
          <w:rFonts w:ascii="Times New Roman" w:hAnsi="Times New Roman" w:cs="Times New Roman"/>
        </w:rPr>
      </w:pPr>
      <w:r w:rsidRPr="000444AC">
        <w:rPr>
          <w:rFonts w:ascii="Times New Roman" w:hAnsi="Times New Roman" w:cs="Times New Roman"/>
        </w:rPr>
        <w:t>Agreements among rivals that all will impose arbitration clauses are a particularly insidious form of anticompetitive conspiracy. By agreeing to force all of their respective customers into arbitration, firms can prevent their customers from taking them to court for a variety of illegal acts. Furthermore, competing firms may conspire to standardize their arbitration clauses so as to eliminate pro-consumer protections, such as relatively long statutes of limitations, generous discovery procedures, as well as injunctive relief, fee-shifting, and damage multipliers for successful plaintiffs.</w:t>
      </w:r>
      <w:r w:rsidRPr="000444AC">
        <w:rPr>
          <w:rStyle w:val="a4"/>
          <w:rFonts w:ascii="Times New Roman" w:hAnsi="Times New Roman" w:cs="Times New Roman"/>
        </w:rPr>
        <w:footnoteReference w:id="180"/>
      </w:r>
      <w:r w:rsidRPr="000444AC">
        <w:rPr>
          <w:rFonts w:ascii="Times New Roman" w:hAnsi="Times New Roman" w:cs="Times New Roman"/>
        </w:rPr>
        <w:t xml:space="preserve"> Most importantly, competitors may use an arbitration conspiracy to impose industry-wide class waivers,</w:t>
      </w:r>
      <w:bookmarkStart w:id="39" w:name="_Ref474169517"/>
      <w:r w:rsidRPr="000444AC">
        <w:rPr>
          <w:rStyle w:val="a4"/>
          <w:rFonts w:ascii="Times New Roman" w:hAnsi="Times New Roman" w:cs="Times New Roman"/>
        </w:rPr>
        <w:footnoteReference w:id="181"/>
      </w:r>
      <w:bookmarkEnd w:id="39"/>
      <w:r w:rsidRPr="000444AC">
        <w:rPr>
          <w:rFonts w:ascii="Times New Roman" w:hAnsi="Times New Roman" w:cs="Times New Roman"/>
        </w:rPr>
        <w:t xml:space="preserve"> which effectively immunize wrongdoers because “consumers almost never initiate individual claims against companies in arbitration.”</w:t>
      </w:r>
      <w:r w:rsidRPr="000444AC">
        <w:rPr>
          <w:rStyle w:val="a4"/>
          <w:rFonts w:ascii="Times New Roman" w:hAnsi="Times New Roman" w:cs="Times New Roman"/>
        </w:rPr>
        <w:footnoteReference w:id="182"/>
      </w:r>
      <w:r w:rsidRPr="000444AC">
        <w:rPr>
          <w:rFonts w:ascii="Times New Roman" w:hAnsi="Times New Roman" w:cs="Times New Roman"/>
        </w:rPr>
        <w:t xml:space="preserve"> Consequently, when they permeate an industry, class action waivers imbedded in arbitration clauses can effectively abolish a statutory regime such as antitrust law or anti-discrimination protections.</w:t>
      </w:r>
      <w:r w:rsidRPr="000444AC">
        <w:rPr>
          <w:rStyle w:val="a4"/>
          <w:rFonts w:ascii="Times New Roman" w:hAnsi="Times New Roman" w:cs="Times New Roman"/>
        </w:rPr>
        <w:footnoteReference w:id="183"/>
      </w:r>
    </w:p>
    <w:p w:rsidR="000444AC" w:rsidRPr="000444AC" w:rsidRDefault="000444AC" w:rsidP="000444AC">
      <w:pPr>
        <w:rPr>
          <w:rFonts w:ascii="Times New Roman" w:hAnsi="Times New Roman" w:cs="Times New Roman"/>
        </w:rPr>
      </w:pPr>
    </w:p>
    <w:p w:rsidR="000444AC" w:rsidRPr="000444AC" w:rsidRDefault="000444AC" w:rsidP="000444AC">
      <w:pPr>
        <w:ind w:firstLine="720"/>
        <w:rPr>
          <w:rFonts w:ascii="Times New Roman" w:hAnsi="Times New Roman" w:cs="Times New Roman"/>
        </w:rPr>
      </w:pPr>
      <w:r w:rsidRPr="000444AC">
        <w:rPr>
          <w:rFonts w:ascii="Times New Roman" w:hAnsi="Times New Roman" w:cs="Times New Roman"/>
        </w:rPr>
        <w:t>Although all firms in an industry are better off if all customers and employees are precluded from going to court (and are forced to waive pro-consumer and pro-employee protections), no individual firm may act on its own without losing customers.</w:t>
      </w:r>
      <w:r w:rsidRPr="000444AC">
        <w:rPr>
          <w:rStyle w:val="a4"/>
          <w:rFonts w:ascii="Times New Roman" w:hAnsi="Times New Roman" w:cs="Times New Roman"/>
        </w:rPr>
        <w:footnoteReference w:id="184"/>
      </w:r>
      <w:r w:rsidRPr="000444AC">
        <w:rPr>
          <w:rFonts w:ascii="Times New Roman" w:hAnsi="Times New Roman" w:cs="Times New Roman"/>
        </w:rPr>
        <w:t xml:space="preserve"> Firms can solve this problem by collectively adopting anti-consumer arbitration clauses.</w:t>
      </w:r>
      <w:r w:rsidRPr="000444AC">
        <w:rPr>
          <w:rStyle w:val="a4"/>
          <w:rFonts w:ascii="Times New Roman" w:hAnsi="Times New Roman" w:cs="Times New Roman"/>
        </w:rPr>
        <w:footnoteReference w:id="185"/>
      </w:r>
      <w:r w:rsidRPr="000444AC">
        <w:rPr>
          <w:rFonts w:ascii="Times New Roman" w:hAnsi="Times New Roman" w:cs="Times New Roman"/>
        </w:rPr>
        <w:t xml:space="preserve"> In 1930’s </w:t>
      </w:r>
      <w:r w:rsidRPr="000444AC">
        <w:rPr>
          <w:rFonts w:ascii="Times New Roman" w:hAnsi="Times New Roman" w:cs="Times New Roman"/>
          <w:i/>
        </w:rPr>
        <w:t>Paramount Famous Lasky Corp. v. United States</w:t>
      </w:r>
      <w:bookmarkStart w:id="40" w:name="_Ref474327168"/>
      <w:r w:rsidRPr="000444AC">
        <w:rPr>
          <w:rFonts w:ascii="Times New Roman" w:hAnsi="Times New Roman" w:cs="Times New Roman"/>
        </w:rPr>
        <w:t>,</w:t>
      </w:r>
      <w:r w:rsidRPr="000444AC">
        <w:rPr>
          <w:rStyle w:val="a4"/>
          <w:rFonts w:ascii="Times New Roman" w:hAnsi="Times New Roman" w:cs="Times New Roman"/>
        </w:rPr>
        <w:footnoteReference w:id="186"/>
      </w:r>
      <w:bookmarkEnd w:id="40"/>
      <w:r w:rsidRPr="000444AC">
        <w:rPr>
          <w:rFonts w:ascii="Times New Roman" w:hAnsi="Times New Roman" w:cs="Times New Roman"/>
        </w:rPr>
        <w:t xml:space="preserve"> the Supreme Court recognized the inherent harms caused by conspiracies to impose arbitration clauses and condemned them in language indicative of per se illegality.</w:t>
      </w:r>
      <w:r w:rsidRPr="000444AC">
        <w:rPr>
          <w:rStyle w:val="a4"/>
          <w:rFonts w:ascii="Times New Roman" w:hAnsi="Times New Roman" w:cs="Times New Roman"/>
        </w:rPr>
        <w:footnoteReference w:id="187"/>
      </w:r>
    </w:p>
    <w:p w:rsidR="000444AC" w:rsidRPr="000444AC" w:rsidRDefault="000444AC" w:rsidP="000444AC">
      <w:pPr>
        <w:rPr>
          <w:rFonts w:ascii="Times New Roman" w:hAnsi="Times New Roman" w:cs="Times New Roman"/>
        </w:rPr>
      </w:pPr>
    </w:p>
    <w:p w:rsidR="000444AC" w:rsidRPr="000444AC" w:rsidRDefault="000444AC" w:rsidP="000444AC">
      <w:pPr>
        <w:ind w:firstLine="720"/>
        <w:rPr>
          <w:rFonts w:ascii="Times New Roman" w:hAnsi="Times New Roman" w:cs="Times New Roman"/>
        </w:rPr>
      </w:pPr>
      <w:r w:rsidRPr="000444AC">
        <w:rPr>
          <w:rFonts w:ascii="Times New Roman" w:hAnsi="Times New Roman" w:cs="Times New Roman"/>
        </w:rPr>
        <w:t xml:space="preserve">In finding that the defendants did not conspire to impose arbitration clauses, the </w:t>
      </w:r>
      <w:r w:rsidRPr="000444AC">
        <w:rPr>
          <w:rFonts w:ascii="Times New Roman" w:hAnsi="Times New Roman" w:cs="Times New Roman"/>
          <w:i/>
        </w:rPr>
        <w:t>Ross</w:t>
      </w:r>
      <w:r w:rsidRPr="000444AC">
        <w:rPr>
          <w:rFonts w:ascii="Times New Roman" w:hAnsi="Times New Roman" w:cs="Times New Roman"/>
        </w:rPr>
        <w:t xml:space="preserve"> court invoked </w:t>
      </w:r>
      <w:r w:rsidRPr="000444AC">
        <w:rPr>
          <w:rFonts w:ascii="Times New Roman" w:hAnsi="Times New Roman" w:cs="Times New Roman"/>
          <w:i/>
        </w:rPr>
        <w:t>Matsushita</w:t>
      </w:r>
      <w:r w:rsidRPr="000444AC">
        <w:rPr>
          <w:rStyle w:val="a4"/>
          <w:rFonts w:ascii="Times New Roman" w:hAnsi="Times New Roman" w:cs="Times New Roman"/>
        </w:rPr>
        <w:footnoteReference w:id="188"/>
      </w:r>
      <w:r w:rsidRPr="000444AC">
        <w:rPr>
          <w:rFonts w:ascii="Times New Roman" w:hAnsi="Times New Roman" w:cs="Times New Roman"/>
        </w:rPr>
        <w:t xml:space="preserve"> for the proposition that “antitrust law ‘limits the range of permissible inferences from ambiguous evidence in a [Section] 1 case,’” that “‘conduct as consistent with permissible competition as with illegal conspiracy does not, standing alone, support an inference of antitrust conspiracy,’” and that “Plaintiffs must present evidence ‘that </w:t>
      </w:r>
      <w:r w:rsidRPr="000444AC">
        <w:rPr>
          <w:rFonts w:ascii="Times New Roman" w:hAnsi="Times New Roman" w:cs="Times New Roman"/>
        </w:rPr>
        <w:lastRenderedPageBreak/>
        <w:t>tends to exclude the possibility that the alleged conspirators acted independently.’”</w:t>
      </w:r>
      <w:r w:rsidRPr="000444AC">
        <w:rPr>
          <w:rStyle w:val="a4"/>
          <w:rFonts w:ascii="Times New Roman" w:hAnsi="Times New Roman" w:cs="Times New Roman"/>
        </w:rPr>
        <w:footnoteReference w:id="189"/>
      </w:r>
      <w:r w:rsidRPr="000444AC">
        <w:rPr>
          <w:rFonts w:ascii="Times New Roman" w:hAnsi="Times New Roman" w:cs="Times New Roman"/>
        </w:rPr>
        <w:t xml:space="preserve"> The judge held that the plaintiffs alleging a conspiracy to arbitrate could not meet the </w:t>
      </w:r>
      <w:r w:rsidRPr="000444AC">
        <w:rPr>
          <w:rFonts w:ascii="Times New Roman" w:hAnsi="Times New Roman" w:cs="Times New Roman"/>
          <w:i/>
        </w:rPr>
        <w:t xml:space="preserve">Matsushita </w:t>
      </w:r>
      <w:r w:rsidRPr="000444AC">
        <w:rPr>
          <w:rFonts w:ascii="Times New Roman" w:hAnsi="Times New Roman" w:cs="Times New Roman"/>
        </w:rPr>
        <w:t>standard.</w:t>
      </w:r>
    </w:p>
    <w:p w:rsidR="000444AC" w:rsidRPr="000444AC" w:rsidRDefault="000444AC" w:rsidP="000444AC">
      <w:pPr>
        <w:rPr>
          <w:rFonts w:ascii="Times New Roman" w:hAnsi="Times New Roman" w:cs="Times New Roman"/>
        </w:rPr>
      </w:pPr>
    </w:p>
    <w:p w:rsidR="000444AC" w:rsidRPr="000444AC" w:rsidRDefault="000444AC" w:rsidP="000444AC">
      <w:pPr>
        <w:rPr>
          <w:rFonts w:ascii="Times New Roman" w:hAnsi="Times New Roman" w:cs="Times New Roman"/>
        </w:rPr>
      </w:pPr>
      <w:r w:rsidRPr="000444AC">
        <w:rPr>
          <w:rFonts w:ascii="Times New Roman" w:hAnsi="Times New Roman" w:cs="Times New Roman"/>
        </w:rPr>
        <w:tab/>
        <w:t>The court’s reliance on</w:t>
      </w:r>
      <w:r w:rsidRPr="000444AC">
        <w:rPr>
          <w:rFonts w:ascii="Times New Roman" w:hAnsi="Times New Roman" w:cs="Times New Roman"/>
          <w:i/>
        </w:rPr>
        <w:t xml:space="preserve"> Matsushita</w:t>
      </w:r>
      <w:r w:rsidRPr="000444AC">
        <w:rPr>
          <w:rFonts w:ascii="Times New Roman" w:hAnsi="Times New Roman" w:cs="Times New Roman"/>
        </w:rPr>
        <w:t xml:space="preserve"> is flawed.</w:t>
      </w:r>
      <w:r w:rsidRPr="000444AC">
        <w:rPr>
          <w:rStyle w:val="a4"/>
          <w:rFonts w:ascii="Times New Roman" w:hAnsi="Times New Roman" w:cs="Times New Roman"/>
        </w:rPr>
        <w:footnoteReference w:id="190"/>
      </w:r>
      <w:r w:rsidRPr="000444AC">
        <w:rPr>
          <w:rFonts w:ascii="Times New Roman" w:hAnsi="Times New Roman" w:cs="Times New Roman"/>
        </w:rPr>
        <w:t xml:space="preserve"> The </w:t>
      </w:r>
      <w:r w:rsidRPr="000444AC">
        <w:rPr>
          <w:rFonts w:ascii="Times New Roman" w:hAnsi="Times New Roman" w:cs="Times New Roman"/>
          <w:i/>
        </w:rPr>
        <w:t>Ross</w:t>
      </w:r>
      <w:r w:rsidRPr="000444AC">
        <w:rPr>
          <w:rFonts w:ascii="Times New Roman" w:hAnsi="Times New Roman" w:cs="Times New Roman"/>
        </w:rPr>
        <w:t xml:space="preserve"> court erred by imposing a higher evidentiary burden on the plaintiffs because the </w:t>
      </w:r>
      <w:r w:rsidRPr="000444AC">
        <w:rPr>
          <w:rFonts w:ascii="Times New Roman" w:hAnsi="Times New Roman" w:cs="Times New Roman"/>
          <w:i/>
        </w:rPr>
        <w:t>Matsushita</w:t>
      </w:r>
      <w:r w:rsidRPr="000444AC">
        <w:rPr>
          <w:rFonts w:ascii="Times New Roman" w:hAnsi="Times New Roman" w:cs="Times New Roman"/>
        </w:rPr>
        <w:t xml:space="preserve"> test is designed for conspiracies that are economically irrational.</w:t>
      </w:r>
      <w:r w:rsidRPr="000444AC">
        <w:rPr>
          <w:rStyle w:val="a4"/>
          <w:rFonts w:ascii="Times New Roman" w:hAnsi="Times New Roman" w:cs="Times New Roman"/>
        </w:rPr>
        <w:footnoteReference w:id="191"/>
      </w:r>
      <w:r w:rsidRPr="000444AC">
        <w:rPr>
          <w:rFonts w:ascii="Times New Roman" w:hAnsi="Times New Roman" w:cs="Times New Roman"/>
        </w:rPr>
        <w:t xml:space="preserve"> The heightened burden of </w:t>
      </w:r>
      <w:r w:rsidRPr="000444AC">
        <w:rPr>
          <w:rFonts w:ascii="Times New Roman" w:hAnsi="Times New Roman" w:cs="Times New Roman"/>
          <w:i/>
        </w:rPr>
        <w:t>Matsushita</w:t>
      </w:r>
      <w:r w:rsidRPr="000444AC">
        <w:rPr>
          <w:rFonts w:ascii="Times New Roman" w:hAnsi="Times New Roman" w:cs="Times New Roman"/>
        </w:rPr>
        <w:t xml:space="preserve"> does not apply when the alleged conspiracy is plausible.</w:t>
      </w:r>
      <w:r w:rsidRPr="000444AC">
        <w:rPr>
          <w:rStyle w:val="a4"/>
          <w:rFonts w:ascii="Times New Roman" w:hAnsi="Times New Roman" w:cs="Times New Roman"/>
        </w:rPr>
        <w:footnoteReference w:id="192"/>
      </w:r>
      <w:r w:rsidRPr="000444AC">
        <w:rPr>
          <w:rFonts w:ascii="Times New Roman" w:hAnsi="Times New Roman" w:cs="Times New Roman"/>
        </w:rPr>
        <w:t xml:space="preserve"> The </w:t>
      </w:r>
      <w:r w:rsidRPr="000444AC">
        <w:rPr>
          <w:rFonts w:ascii="Times New Roman" w:hAnsi="Times New Roman" w:cs="Times New Roman"/>
          <w:i/>
        </w:rPr>
        <w:t>Matsushita</w:t>
      </w:r>
      <w:r w:rsidRPr="000444AC">
        <w:rPr>
          <w:rFonts w:ascii="Times New Roman" w:hAnsi="Times New Roman" w:cs="Times New Roman"/>
        </w:rPr>
        <w:t xml:space="preserve"> Court confronted an alleged conspiracy to engage in predatory pricing, which would necessitate that the conspirators suffer losses for several years, which the Court found to not make economic sense.  In contrast, a conspiracy to arbitrate is economically rational because competitors would benefit if they all agreed to impose arbitration agreements in order to make mandatory arbitration the industry standard. Unlike the predatory pricing conspiracy alleged in </w:t>
      </w:r>
      <w:r w:rsidRPr="000444AC">
        <w:rPr>
          <w:rFonts w:ascii="Times New Roman" w:hAnsi="Times New Roman" w:cs="Times New Roman"/>
          <w:i/>
        </w:rPr>
        <w:t>Matsushita</w:t>
      </w:r>
      <w:r w:rsidRPr="000444AC">
        <w:rPr>
          <w:rFonts w:ascii="Times New Roman" w:hAnsi="Times New Roman" w:cs="Times New Roman"/>
        </w:rPr>
        <w:t>, the conspiracy to arbitrate does not impose short-term losses in the hopes of eventual recoupment.</w:t>
      </w:r>
      <w:r w:rsidRPr="000444AC">
        <w:rPr>
          <w:rStyle w:val="a4"/>
          <w:rFonts w:ascii="Times New Roman" w:hAnsi="Times New Roman" w:cs="Times New Roman"/>
        </w:rPr>
        <w:footnoteReference w:id="193"/>
      </w:r>
    </w:p>
    <w:p w:rsidR="000444AC" w:rsidRPr="000444AC" w:rsidRDefault="000444AC" w:rsidP="000444AC">
      <w:pPr>
        <w:rPr>
          <w:rFonts w:ascii="Times New Roman" w:hAnsi="Times New Roman" w:cs="Times New Roman"/>
        </w:rPr>
      </w:pPr>
    </w:p>
    <w:p w:rsidR="000444AC" w:rsidRPr="000444AC" w:rsidRDefault="000444AC" w:rsidP="000444AC">
      <w:pPr>
        <w:ind w:firstLine="720"/>
        <w:rPr>
          <w:rFonts w:ascii="Times New Roman" w:hAnsi="Times New Roman" w:cs="Times New Roman"/>
        </w:rPr>
      </w:pPr>
      <w:r w:rsidRPr="000444AC">
        <w:rPr>
          <w:rFonts w:ascii="Times New Roman" w:hAnsi="Times New Roman" w:cs="Times New Roman"/>
        </w:rPr>
        <w:t>In contrast to the first phase of predatory pricing, conspiracies to impose arbitration clauses injure consumers at every step. The conspiracy hurts consumers immediately as they are denied choice in the market and compelled to purchase an inferior product or service, one that is burdened with an arbitration clause that precludes class actions.</w:t>
      </w:r>
      <w:r w:rsidRPr="000444AC">
        <w:rPr>
          <w:rStyle w:val="a4"/>
          <w:rFonts w:ascii="Times New Roman" w:hAnsi="Times New Roman" w:cs="Times New Roman"/>
        </w:rPr>
        <w:footnoteReference w:id="194"/>
      </w:r>
      <w:r w:rsidRPr="000444AC">
        <w:rPr>
          <w:rFonts w:ascii="Times New Roman" w:hAnsi="Times New Roman" w:cs="Times New Roman"/>
        </w:rPr>
        <w:t xml:space="preserve">  Furthermore, a conspiracy to arbitrate can supplement and strengthen an underlying price-fixing arrangement by preventing the victims of the price-fixing conspiracy from being able to litigate their antitrust claims in court or through class actions. By using uniform arbitration terms to limit discovery, the conspirators can better conceal their crime.</w:t>
      </w:r>
      <w:r w:rsidRPr="000444AC">
        <w:rPr>
          <w:rStyle w:val="a4"/>
          <w:rFonts w:ascii="Times New Roman" w:hAnsi="Times New Roman" w:cs="Times New Roman"/>
        </w:rPr>
        <w:footnoteReference w:id="195"/>
      </w:r>
    </w:p>
    <w:p w:rsidR="000444AC" w:rsidRDefault="000444AC" w:rsidP="000444AC">
      <w:pPr>
        <w:rPr>
          <w:rFonts w:ascii="Times New Roman" w:hAnsi="Times New Roman" w:cs="Times New Roman"/>
        </w:rPr>
      </w:pPr>
    </w:p>
    <w:p w:rsidR="000444AC" w:rsidRPr="000444AC" w:rsidRDefault="000444AC" w:rsidP="000444AC">
      <w:pPr>
        <w:rPr>
          <w:rFonts w:ascii="Times New Roman" w:hAnsi="Times New Roman" w:cs="Times New Roman"/>
        </w:rPr>
      </w:pPr>
      <w:r>
        <w:rPr>
          <w:rFonts w:ascii="Times New Roman" w:hAnsi="Times New Roman" w:cs="Times New Roman"/>
        </w:rPr>
        <w:tab/>
        <w:t xml:space="preserve">In short, conspiracies to impose arbitration clauses are both plausible, profitable, and inherently anti-consumer. </w:t>
      </w:r>
      <w:r w:rsidRPr="000444AC">
        <w:rPr>
          <w:rFonts w:ascii="Times New Roman" w:hAnsi="Times New Roman" w:cs="Times New Roman"/>
          <w:i/>
        </w:rPr>
        <w:t>Matsushita</w:t>
      </w:r>
      <w:r>
        <w:rPr>
          <w:rFonts w:ascii="Times New Roman" w:hAnsi="Times New Roman" w:cs="Times New Roman"/>
        </w:rPr>
        <w:t>’s rationale does not apply.</w:t>
      </w:r>
    </w:p>
    <w:p w:rsidR="00632237" w:rsidRPr="000444AC" w:rsidRDefault="00632237" w:rsidP="00154EF9">
      <w:pPr>
        <w:rPr>
          <w:rFonts w:ascii="Times New Roman" w:hAnsi="Times New Roman" w:cs="Times New Roman"/>
          <w:b/>
        </w:rPr>
      </w:pPr>
    </w:p>
    <w:p w:rsidR="00702CCF" w:rsidRPr="000444AC" w:rsidRDefault="00702CCF" w:rsidP="00154EF9">
      <w:pPr>
        <w:rPr>
          <w:rFonts w:ascii="Times New Roman" w:hAnsi="Times New Roman" w:cs="Times New Roman"/>
          <w:b/>
        </w:rPr>
      </w:pPr>
    </w:p>
    <w:p w:rsidR="00702CCF" w:rsidRPr="000444AC" w:rsidRDefault="00702CCF" w:rsidP="00154EF9">
      <w:pPr>
        <w:rPr>
          <w:rFonts w:ascii="Times New Roman" w:hAnsi="Times New Roman" w:cs="Times New Roman"/>
          <w:b/>
        </w:rPr>
      </w:pPr>
    </w:p>
    <w:p w:rsidR="00B002CE" w:rsidRPr="00B002CE" w:rsidRDefault="00B002CE" w:rsidP="00154EF9">
      <w:pPr>
        <w:rPr>
          <w:rFonts w:ascii="Times New Roman" w:eastAsia="Times New Roman" w:hAnsi="Times New Roman" w:cs="Times New Roman"/>
          <w:b/>
        </w:rPr>
      </w:pPr>
      <w:r w:rsidRPr="00B002CE">
        <w:rPr>
          <w:rFonts w:ascii="Times New Roman" w:eastAsia="Times New Roman" w:hAnsi="Times New Roman" w:cs="Times New Roman"/>
          <w:b/>
        </w:rPr>
        <w:t>Conclusion</w:t>
      </w:r>
    </w:p>
    <w:p w:rsidR="00B002CE" w:rsidRDefault="00B002CE" w:rsidP="00154EF9">
      <w:pPr>
        <w:rPr>
          <w:rFonts w:ascii="Times New Roman" w:eastAsia="Times New Roman" w:hAnsi="Times New Roman" w:cs="Times New Roman"/>
        </w:rPr>
      </w:pPr>
    </w:p>
    <w:p w:rsidR="00154EF9" w:rsidRPr="000444AC" w:rsidRDefault="00154EF9" w:rsidP="00B002CE">
      <w:pPr>
        <w:ind w:firstLine="720"/>
        <w:rPr>
          <w:rFonts w:ascii="Times New Roman" w:eastAsia="Times New Roman" w:hAnsi="Times New Roman" w:cs="Times New Roman"/>
        </w:rPr>
      </w:pPr>
      <w:r w:rsidRPr="000444AC">
        <w:rPr>
          <w:rFonts w:ascii="Times New Roman" w:eastAsia="Times New Roman" w:hAnsi="Times New Roman" w:cs="Times New Roman"/>
        </w:rPr>
        <w:t>Predatory pricing is fundamentally different than other forms of monopoly conduct.</w:t>
      </w:r>
      <w:r w:rsidR="00B002CE">
        <w:rPr>
          <w:rFonts w:ascii="Times New Roman" w:eastAsia="Times New Roman" w:hAnsi="Times New Roman" w:cs="Times New Roman"/>
        </w:rPr>
        <w:t xml:space="preserve"> And p</w:t>
      </w:r>
      <w:r w:rsidRPr="000444AC">
        <w:rPr>
          <w:rFonts w:ascii="Times New Roman" w:eastAsia="Times New Roman" w:hAnsi="Times New Roman" w:cs="Times New Roman"/>
        </w:rPr>
        <w:t>redatory pricing conspiracies are fundamentally different than other forms of anticompetitive collusion.</w:t>
      </w:r>
      <w:r w:rsidR="00B002CE">
        <w:rPr>
          <w:rFonts w:ascii="Times New Roman" w:eastAsia="Times New Roman" w:hAnsi="Times New Roman" w:cs="Times New Roman"/>
        </w:rPr>
        <w:t xml:space="preserve"> </w:t>
      </w:r>
      <w:r w:rsidRPr="000444AC">
        <w:rPr>
          <w:rFonts w:ascii="Times New Roman" w:eastAsia="Times New Roman" w:hAnsi="Times New Roman" w:cs="Times New Roman"/>
        </w:rPr>
        <w:t xml:space="preserve">It makes no sense that the Supreme Court is using cases involving predatory pricing </w:t>
      </w:r>
      <w:r w:rsidRPr="000444AC">
        <w:rPr>
          <w:rFonts w:ascii="Times New Roman" w:eastAsia="Times New Roman" w:hAnsi="Times New Roman" w:cs="Times New Roman"/>
        </w:rPr>
        <w:lastRenderedPageBreak/>
        <w:t>claims in order to issue sweeping pro-defendant antitrust decisions and then invoking those opinions to make it appreciably harder – if not impossible – for plaintiffs to bring antitrust claims that bear no meaningful resemblance to predatory pricing.</w:t>
      </w:r>
    </w:p>
    <w:p w:rsidR="00154EF9" w:rsidRDefault="00154EF9" w:rsidP="00154EF9">
      <w:pPr>
        <w:rPr>
          <w:rFonts w:ascii="Times New Roman" w:eastAsia="Times New Roman" w:hAnsi="Times New Roman" w:cs="Times New Roman"/>
        </w:rPr>
      </w:pPr>
    </w:p>
    <w:p w:rsidR="00991AAA" w:rsidRPr="000444AC" w:rsidRDefault="00991AAA" w:rsidP="00154EF9">
      <w:pPr>
        <w:rPr>
          <w:rFonts w:ascii="Times New Roman" w:eastAsia="Times New Roman" w:hAnsi="Times New Roman" w:cs="Times New Roman"/>
        </w:rPr>
      </w:pPr>
    </w:p>
    <w:p w:rsidR="00255037" w:rsidRDefault="00991AAA">
      <w:pPr>
        <w:rPr>
          <w:rFonts w:ascii="Times New Roman" w:hAnsi="Times New Roman" w:cs="Times New Roman"/>
          <w:highlight w:val="yellow"/>
        </w:rPr>
      </w:pPr>
      <w:r w:rsidRPr="00A5381E">
        <w:rPr>
          <w:rFonts w:ascii="Times New Roman" w:hAnsi="Times New Roman" w:cs="Times New Roman"/>
          <w:highlight w:val="yellow"/>
        </w:rPr>
        <w:t>Fox</w:t>
      </w:r>
      <w:r w:rsidR="00A5381E">
        <w:rPr>
          <w:rFonts w:ascii="Times New Roman" w:hAnsi="Times New Roman" w:cs="Times New Roman"/>
          <w:highlight w:val="yellow"/>
        </w:rPr>
        <w:t xml:space="preserve"> 1</w:t>
      </w:r>
      <w:r w:rsidRPr="00A5381E">
        <w:rPr>
          <w:rFonts w:ascii="Times New Roman" w:hAnsi="Times New Roman" w:cs="Times New Roman"/>
          <w:highlight w:val="yellow"/>
        </w:rPr>
        <w:t>: Pro-market does</w:t>
      </w:r>
      <w:r w:rsidR="00A5381E">
        <w:rPr>
          <w:rFonts w:ascii="Times New Roman" w:hAnsi="Times New Roman" w:cs="Times New Roman"/>
          <w:highlight w:val="yellow"/>
        </w:rPr>
        <w:t xml:space="preserve"> not mean pro-consumer.  Under-selling may benefit consumers but may hurt the market because too many goods are used. </w:t>
      </w:r>
    </w:p>
    <w:p w:rsidR="00A5381E" w:rsidRDefault="00A5381E">
      <w:pPr>
        <w:rPr>
          <w:rFonts w:ascii="Times New Roman" w:hAnsi="Times New Roman" w:cs="Times New Roman"/>
        </w:rPr>
      </w:pPr>
    </w:p>
    <w:p w:rsidR="00A5381E" w:rsidRPr="00A5381E" w:rsidRDefault="00A5381E">
      <w:pPr>
        <w:rPr>
          <w:rFonts w:ascii="Times New Roman" w:hAnsi="Times New Roman" w:cs="Times New Roman"/>
          <w:highlight w:val="yellow"/>
        </w:rPr>
      </w:pPr>
      <w:r w:rsidRPr="00A5381E">
        <w:rPr>
          <w:rFonts w:ascii="Times New Roman" w:hAnsi="Times New Roman" w:cs="Times New Roman"/>
          <w:highlight w:val="yellow"/>
        </w:rPr>
        <w:t xml:space="preserve">Fox 2: </w:t>
      </w:r>
      <w:r w:rsidRPr="00A5381E">
        <w:rPr>
          <w:rFonts w:ascii="Times New Roman" w:hAnsi="Times New Roman" w:cs="Times New Roman" w:hint="eastAsia"/>
          <w:highlight w:val="yellow"/>
        </w:rPr>
        <w:t>O</w:t>
      </w:r>
      <w:r w:rsidRPr="00A5381E">
        <w:rPr>
          <w:rFonts w:ascii="Times New Roman" w:hAnsi="Times New Roman" w:cs="Times New Roman"/>
          <w:highlight w:val="yellow"/>
        </w:rPr>
        <w:t xml:space="preserve">ver-buying or under-selling, the same thing? </w:t>
      </w:r>
    </w:p>
    <w:p w:rsidR="00A5381E" w:rsidRDefault="00A5381E">
      <w:pPr>
        <w:rPr>
          <w:rFonts w:ascii="Times New Roman" w:hAnsi="Times New Roman" w:cs="Times New Roman"/>
          <w:highlight w:val="yellow"/>
        </w:rPr>
      </w:pPr>
      <w:r w:rsidRPr="00A5381E">
        <w:rPr>
          <w:rFonts w:ascii="Times New Roman" w:hAnsi="Times New Roman" w:cs="Times New Roman"/>
          <w:highlight w:val="yellow"/>
        </w:rPr>
        <w:t>Enjoining too high prices does not hurt consumers.</w:t>
      </w:r>
      <w:r>
        <w:rPr>
          <w:rFonts w:ascii="Times New Roman" w:hAnsi="Times New Roman" w:cs="Times New Roman"/>
          <w:highlight w:val="yellow"/>
        </w:rPr>
        <w:t xml:space="preserve"> Disciplining over-buying is okay. It has the effect of protecting </w:t>
      </w:r>
    </w:p>
    <w:p w:rsidR="00A5381E" w:rsidRDefault="00A5381E">
      <w:pPr>
        <w:rPr>
          <w:rFonts w:ascii="Times New Roman" w:hAnsi="Times New Roman" w:cs="Times New Roman"/>
        </w:rPr>
      </w:pPr>
    </w:p>
    <w:p w:rsidR="00A5381E" w:rsidRDefault="00A5381E">
      <w:pPr>
        <w:rPr>
          <w:rFonts w:ascii="Times New Roman" w:hAnsi="Times New Roman" w:cs="Times New Roman"/>
          <w:highlight w:val="yellow"/>
        </w:rPr>
      </w:pPr>
      <w:r w:rsidRPr="00A5381E">
        <w:rPr>
          <w:rFonts w:ascii="Times New Roman" w:hAnsi="Times New Roman" w:cs="Times New Roman"/>
          <w:highlight w:val="yellow"/>
        </w:rPr>
        <w:t>Fox</w:t>
      </w:r>
      <w:r>
        <w:rPr>
          <w:rFonts w:ascii="Times New Roman" w:hAnsi="Times New Roman" w:cs="Times New Roman"/>
          <w:highlight w:val="yellow"/>
        </w:rPr>
        <w:t xml:space="preserve"> </w:t>
      </w:r>
      <w:r w:rsidRPr="00A5381E">
        <w:rPr>
          <w:rFonts w:ascii="Times New Roman" w:hAnsi="Times New Roman" w:cs="Times New Roman"/>
          <w:highlight w:val="yellow"/>
        </w:rPr>
        <w:t>3:</w:t>
      </w:r>
      <w:r>
        <w:rPr>
          <w:rFonts w:ascii="Times New Roman" w:hAnsi="Times New Roman" w:cs="Times New Roman"/>
          <w:highlight w:val="yellow"/>
        </w:rPr>
        <w:t xml:space="preserve"> So many other cases where trade association’s discount ban were not ruled illegal. “Good for long-term to ban discount – pro-</w:t>
      </w:r>
      <w:proofErr w:type="gramStart"/>
      <w:r>
        <w:rPr>
          <w:rFonts w:ascii="Times New Roman" w:hAnsi="Times New Roman" w:cs="Times New Roman"/>
          <w:highlight w:val="yellow"/>
        </w:rPr>
        <w:t>competitive”  Dental</w:t>
      </w:r>
      <w:proofErr w:type="gramEnd"/>
      <w:r>
        <w:rPr>
          <w:rFonts w:ascii="Times New Roman" w:hAnsi="Times New Roman" w:cs="Times New Roman"/>
          <w:highlight w:val="yellow"/>
        </w:rPr>
        <w:t xml:space="preserve"> association case, Gypsum</w:t>
      </w:r>
    </w:p>
    <w:p w:rsidR="00A5381E" w:rsidRDefault="00A5381E">
      <w:pPr>
        <w:rPr>
          <w:rFonts w:ascii="Times New Roman" w:hAnsi="Times New Roman" w:cs="Times New Roman"/>
          <w:highlight w:val="yellow"/>
        </w:rPr>
      </w:pPr>
    </w:p>
    <w:p w:rsidR="00A5381E" w:rsidRDefault="00A5381E">
      <w:pPr>
        <w:rPr>
          <w:rFonts w:ascii="Times New Roman" w:hAnsi="Times New Roman" w:cs="Times New Roman"/>
          <w:highlight w:val="yellow"/>
        </w:rPr>
      </w:pPr>
      <w:r>
        <w:rPr>
          <w:rFonts w:ascii="Times New Roman" w:hAnsi="Times New Roman" w:cs="Times New Roman"/>
          <w:highlight w:val="yellow"/>
        </w:rPr>
        <w:t xml:space="preserve">Fox 4: Current (conservative) antitrust law is not for low price it is for freedom to charge low price whenever you want. </w:t>
      </w:r>
    </w:p>
    <w:p w:rsidR="00A5381E" w:rsidRDefault="00A5381E">
      <w:pPr>
        <w:rPr>
          <w:rFonts w:ascii="Times New Roman" w:hAnsi="Times New Roman" w:cs="Times New Roman"/>
          <w:highlight w:val="yellow"/>
        </w:rPr>
      </w:pPr>
    </w:p>
    <w:p w:rsidR="00A5381E" w:rsidRDefault="00A5381E">
      <w:pPr>
        <w:rPr>
          <w:rFonts w:ascii="Times New Roman" w:hAnsi="Times New Roman" w:cs="Times New Roman"/>
          <w:highlight w:val="yellow"/>
        </w:rPr>
      </w:pPr>
      <w:r>
        <w:rPr>
          <w:rFonts w:ascii="Times New Roman" w:hAnsi="Times New Roman" w:cs="Times New Roman"/>
          <w:highlight w:val="yellow"/>
        </w:rPr>
        <w:t xml:space="preserve">Christopher: “Chicago school maybe good early to correct too pro-plaintiff. </w:t>
      </w:r>
    </w:p>
    <w:p w:rsidR="00A5381E" w:rsidRDefault="00A5381E">
      <w:pPr>
        <w:rPr>
          <w:rFonts w:ascii="Times New Roman" w:hAnsi="Times New Roman" w:cs="Times New Roman"/>
          <w:highlight w:val="yellow"/>
        </w:rPr>
      </w:pPr>
    </w:p>
    <w:p w:rsidR="00A5381E" w:rsidRDefault="00A5381E">
      <w:pPr>
        <w:rPr>
          <w:rFonts w:ascii="Times New Roman" w:hAnsi="Times New Roman" w:cs="Times New Roman"/>
          <w:highlight w:val="yellow"/>
        </w:rPr>
      </w:pPr>
    </w:p>
    <w:p w:rsidR="00A5381E" w:rsidRDefault="00A5381E">
      <w:pPr>
        <w:rPr>
          <w:rFonts w:ascii="Times New Roman" w:hAnsi="Times New Roman" w:cs="Times New Roman"/>
          <w:highlight w:val="yellow"/>
        </w:rPr>
      </w:pPr>
    </w:p>
    <w:p w:rsidR="00C82281" w:rsidRDefault="00A5381E">
      <w:pPr>
        <w:rPr>
          <w:rFonts w:ascii="Times New Roman" w:hAnsi="Times New Roman" w:cs="Times New Roman"/>
          <w:highlight w:val="yellow"/>
        </w:rPr>
      </w:pPr>
      <w:r>
        <w:rPr>
          <w:rFonts w:ascii="Times New Roman" w:hAnsi="Times New Roman" w:cs="Times New Roman"/>
          <w:highlight w:val="yellow"/>
        </w:rPr>
        <w:t xml:space="preserve">KS:  </w:t>
      </w:r>
      <w:r w:rsidR="00C82281">
        <w:rPr>
          <w:rFonts w:ascii="Times New Roman" w:hAnsi="Times New Roman" w:cs="Times New Roman"/>
          <w:highlight w:val="yellow"/>
        </w:rPr>
        <w:t xml:space="preserve">Predatory pricing. . . </w:t>
      </w:r>
      <w:r w:rsidR="00C82281" w:rsidRPr="00C82281">
        <w:rPr>
          <w:rFonts w:ascii="Times New Roman" w:hAnsi="Times New Roman" w:cs="Times New Roman"/>
          <w:highlight w:val="yellow"/>
        </w:rPr>
        <w:sym w:font="Wingdings" w:char="F0E0"/>
      </w:r>
      <w:r w:rsidR="00C82281">
        <w:rPr>
          <w:rFonts w:ascii="Times New Roman" w:hAnsi="Times New Roman" w:cs="Times New Roman"/>
          <w:highlight w:val="yellow"/>
        </w:rPr>
        <w:t xml:space="preserve">   Focus on performance vs. structure</w:t>
      </w:r>
      <w:proofErr w:type="gramStart"/>
      <w:r w:rsidR="00C82281">
        <w:rPr>
          <w:rFonts w:ascii="Times New Roman" w:hAnsi="Times New Roman" w:cs="Times New Roman"/>
          <w:highlight w:val="yellow"/>
        </w:rPr>
        <w:t>. . . .HHI</w:t>
      </w:r>
      <w:proofErr w:type="gramEnd"/>
      <w:r w:rsidR="00C82281">
        <w:rPr>
          <w:rFonts w:ascii="Times New Roman" w:hAnsi="Times New Roman" w:cs="Times New Roman"/>
          <w:highlight w:val="yellow"/>
        </w:rPr>
        <w:t xml:space="preserve"> is used for merger approval.  HHI is used not just in antitrust law but used for diversity </w:t>
      </w:r>
      <w:proofErr w:type="gramStart"/>
      <w:r w:rsidR="00C82281">
        <w:rPr>
          <w:rFonts w:ascii="Times New Roman" w:hAnsi="Times New Roman" w:cs="Times New Roman"/>
          <w:highlight w:val="yellow"/>
        </w:rPr>
        <w:t>of.  .</w:t>
      </w:r>
      <w:proofErr w:type="gramEnd"/>
      <w:r w:rsidR="00C82281">
        <w:rPr>
          <w:rFonts w:ascii="Times New Roman" w:hAnsi="Times New Roman" w:cs="Times New Roman"/>
          <w:highlight w:val="yellow"/>
        </w:rPr>
        <w:t xml:space="preserve"> .  </w:t>
      </w:r>
      <w:r>
        <w:rPr>
          <w:rFonts w:ascii="Times New Roman" w:hAnsi="Times New Roman" w:cs="Times New Roman"/>
          <w:highlight w:val="yellow"/>
        </w:rPr>
        <w:t xml:space="preserve">no nexus between HHI and law &amp; economics. HHI is used  </w:t>
      </w:r>
    </w:p>
    <w:p w:rsidR="00A5381E" w:rsidRDefault="00C82281">
      <w:pPr>
        <w:rPr>
          <w:rFonts w:ascii="Times New Roman" w:hAnsi="Times New Roman" w:cs="Times New Roman"/>
        </w:rPr>
      </w:pPr>
      <w:r>
        <w:rPr>
          <w:rFonts w:ascii="Times New Roman" w:hAnsi="Times New Roman" w:cs="Times New Roman"/>
          <w:highlight w:val="yellow"/>
        </w:rPr>
        <w:t>K</w:t>
      </w:r>
      <w:r w:rsidR="00A5381E">
        <w:rPr>
          <w:rFonts w:ascii="Times New Roman" w:hAnsi="Times New Roman" w:cs="Times New Roman"/>
          <w:highlight w:val="yellow"/>
        </w:rPr>
        <w:t>orean – the number of competitors</w:t>
      </w:r>
      <w:r>
        <w:rPr>
          <w:rFonts w:ascii="Times New Roman" w:hAnsi="Times New Roman" w:cs="Times New Roman"/>
          <w:highlight w:val="yellow"/>
        </w:rPr>
        <w:t xml:space="preserve">, diversity of competitors.  </w:t>
      </w:r>
      <w:r w:rsidR="00A5381E">
        <w:rPr>
          <w:rFonts w:ascii="Times New Roman" w:hAnsi="Times New Roman" w:cs="Times New Roman"/>
          <w:highlight w:val="yellow"/>
        </w:rPr>
        <w:t xml:space="preserve">  </w:t>
      </w:r>
      <w:r w:rsidR="00A5381E">
        <w:rPr>
          <w:rFonts w:ascii="Times New Roman" w:hAnsi="Times New Roman" w:cs="Times New Roman"/>
        </w:rPr>
        <w:t xml:space="preserve">  </w:t>
      </w:r>
    </w:p>
    <w:p w:rsidR="00A5381E" w:rsidRDefault="00C82281">
      <w:p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omplete misunderstanding of Brunswick.  </w:t>
      </w:r>
      <w:r w:rsidRPr="00C82281">
        <w:rPr>
          <w:rFonts w:ascii="Times New Roman" w:hAnsi="Times New Roman" w:cs="Times New Roman"/>
          <w:highlight w:val="yellow"/>
        </w:rPr>
        <w:t>Protects competition, the number of competitors</w:t>
      </w:r>
    </w:p>
    <w:p w:rsidR="00C82281" w:rsidRDefault="00C82281">
      <w:pPr>
        <w:rPr>
          <w:rFonts w:ascii="Times New Roman" w:hAnsi="Times New Roman" w:cs="Times New Roman"/>
        </w:rPr>
      </w:pPr>
    </w:p>
    <w:p w:rsidR="006F1A30" w:rsidRDefault="00C82281">
      <w:pPr>
        <w:rPr>
          <w:rFonts w:ascii="Times New Roman" w:hAnsi="Times New Roman" w:cs="Times New Roman"/>
          <w:highlight w:val="yellow"/>
        </w:rPr>
      </w:pPr>
      <w:r>
        <w:rPr>
          <w:rFonts w:ascii="Times New Roman" w:hAnsi="Times New Roman" w:cs="Times New Roman"/>
          <w:highlight w:val="yellow"/>
        </w:rPr>
        <w:t xml:space="preserve">Fox: </w:t>
      </w:r>
      <w:r w:rsidRPr="00C82281">
        <w:rPr>
          <w:rFonts w:ascii="Times New Roman" w:hAnsi="Times New Roman" w:cs="Times New Roman" w:hint="eastAsia"/>
          <w:highlight w:val="yellow"/>
        </w:rPr>
        <w:t>J</w:t>
      </w:r>
      <w:r w:rsidRPr="00C82281">
        <w:rPr>
          <w:rFonts w:ascii="Times New Roman" w:hAnsi="Times New Roman" w:cs="Times New Roman"/>
          <w:highlight w:val="yellow"/>
        </w:rPr>
        <w:t xml:space="preserve">ury verdict against </w:t>
      </w:r>
      <w:proofErr w:type="spellStart"/>
      <w:r w:rsidRPr="00C82281">
        <w:rPr>
          <w:rFonts w:ascii="Times New Roman" w:hAnsi="Times New Roman" w:cs="Times New Roman"/>
          <w:highlight w:val="yellow"/>
        </w:rPr>
        <w:t>Weyhauser</w:t>
      </w:r>
      <w:proofErr w:type="spellEnd"/>
      <w:r w:rsidRPr="00C82281">
        <w:rPr>
          <w:rFonts w:ascii="Times New Roman" w:hAnsi="Times New Roman" w:cs="Times New Roman"/>
          <w:highlight w:val="yellow"/>
        </w:rPr>
        <w:t xml:space="preserve"> over-bidding</w:t>
      </w:r>
      <w:r>
        <w:rPr>
          <w:rFonts w:ascii="Times New Roman" w:hAnsi="Times New Roman" w:cs="Times New Roman"/>
          <w:highlight w:val="yellow"/>
        </w:rPr>
        <w:t xml:space="preserve"> and yet Supreme Court found against it.  </w:t>
      </w:r>
    </w:p>
    <w:p w:rsidR="006F1A30" w:rsidRDefault="006F1A30">
      <w:pPr>
        <w:rPr>
          <w:rFonts w:ascii="Times New Roman" w:hAnsi="Times New Roman" w:cs="Times New Roman"/>
        </w:rPr>
      </w:pPr>
    </w:p>
    <w:p w:rsidR="006F1A30" w:rsidRPr="006F1A30" w:rsidRDefault="006F1A30">
      <w:pPr>
        <w:rPr>
          <w:rFonts w:ascii="Times New Roman" w:hAnsi="Times New Roman" w:cs="Times New Roman"/>
          <w:highlight w:val="yellow"/>
        </w:rPr>
      </w:pPr>
      <w:r w:rsidRPr="006F1A30">
        <w:rPr>
          <w:rFonts w:ascii="Times New Roman" w:hAnsi="Times New Roman" w:cs="Times New Roman"/>
          <w:highlight w:val="yellow"/>
        </w:rPr>
        <w:t>Newman:  After over-bidding and turn around selling below-cost, safe harbor?</w:t>
      </w:r>
    </w:p>
    <w:p w:rsidR="006F1A30" w:rsidRDefault="006F1A30">
      <w:pPr>
        <w:rPr>
          <w:rFonts w:ascii="Times New Roman" w:hAnsi="Times New Roman" w:cs="Times New Roman"/>
          <w:highlight w:val="yellow"/>
        </w:rPr>
      </w:pPr>
      <w:r w:rsidRPr="006F1A30">
        <w:rPr>
          <w:rFonts w:ascii="Times New Roman" w:hAnsi="Times New Roman" w:cs="Times New Roman"/>
          <w:highlight w:val="yellow"/>
        </w:rPr>
        <w:t>Christopher</w:t>
      </w:r>
      <w:r>
        <w:rPr>
          <w:rFonts w:ascii="Times New Roman" w:hAnsi="Times New Roman" w:cs="Times New Roman"/>
          <w:highlight w:val="yellow"/>
        </w:rPr>
        <w:t xml:space="preserve">: Can’t be safe harbor.  Over-bidding itself is harmful.  </w:t>
      </w:r>
    </w:p>
    <w:p w:rsidR="00C82281" w:rsidRPr="000444AC" w:rsidRDefault="006F1A30">
      <w:pPr>
        <w:rPr>
          <w:rFonts w:ascii="Times New Roman" w:hAnsi="Times New Roman" w:cs="Times New Roman"/>
        </w:rPr>
      </w:pPr>
      <w:bookmarkStart w:id="41" w:name="_GoBack"/>
      <w:bookmarkEnd w:id="41"/>
      <w:r w:rsidRPr="00E512CD">
        <w:rPr>
          <w:rFonts w:ascii="Times New Roman" w:hAnsi="Times New Roman" w:cs="Times New Roman"/>
          <w:highlight w:val="yellow"/>
        </w:rPr>
        <w:t xml:space="preserve">KS: What should be compared is whether they will lower the buying price later, </w:t>
      </w:r>
      <w:r w:rsidR="00E512CD" w:rsidRPr="00E512CD">
        <w:rPr>
          <w:rFonts w:ascii="Times New Roman" w:hAnsi="Times New Roman" w:cs="Times New Roman"/>
          <w:highlight w:val="yellow"/>
        </w:rPr>
        <w:t>hurting the producers.</w:t>
      </w:r>
      <w:r>
        <w:rPr>
          <w:rFonts w:ascii="Times New Roman" w:hAnsi="Times New Roman" w:cs="Times New Roman"/>
        </w:rPr>
        <w:t xml:space="preserve">   </w:t>
      </w:r>
      <w:r w:rsidR="00C82281">
        <w:rPr>
          <w:rFonts w:ascii="Times New Roman" w:hAnsi="Times New Roman" w:cs="Times New Roman"/>
        </w:rPr>
        <w:t xml:space="preserve"> </w:t>
      </w:r>
    </w:p>
    <w:sectPr w:rsidR="00C82281" w:rsidRPr="000444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818" w:rsidRDefault="00333818" w:rsidP="00702CCF">
      <w:r>
        <w:separator/>
      </w:r>
    </w:p>
  </w:endnote>
  <w:endnote w:type="continuationSeparator" w:id="0">
    <w:p w:rsidR="00333818" w:rsidRDefault="00333818" w:rsidP="0070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Arial Unicode MS"/>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189626"/>
      <w:docPartObj>
        <w:docPartGallery w:val="Page Numbers (Bottom of Page)"/>
        <w:docPartUnique/>
      </w:docPartObj>
    </w:sdtPr>
    <w:sdtEndPr>
      <w:rPr>
        <w:noProof/>
      </w:rPr>
    </w:sdtEndPr>
    <w:sdtContent>
      <w:p w:rsidR="006F1A30" w:rsidRDefault="006F1A30">
        <w:pPr>
          <w:pStyle w:val="a6"/>
          <w:jc w:val="right"/>
        </w:pPr>
        <w:r>
          <w:fldChar w:fldCharType="begin"/>
        </w:r>
        <w:r>
          <w:instrText xml:space="preserve"> PAGE   \* MERGEFORMAT </w:instrText>
        </w:r>
        <w:r>
          <w:fldChar w:fldCharType="separate"/>
        </w:r>
        <w:r>
          <w:rPr>
            <w:noProof/>
          </w:rPr>
          <w:t>29</w:t>
        </w:r>
        <w:r>
          <w:rPr>
            <w:noProof/>
          </w:rPr>
          <w:fldChar w:fldCharType="end"/>
        </w:r>
      </w:p>
    </w:sdtContent>
  </w:sdt>
  <w:p w:rsidR="006F1A30" w:rsidRDefault="006F1A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818" w:rsidRDefault="00333818" w:rsidP="00702CCF">
      <w:r>
        <w:separator/>
      </w:r>
    </w:p>
  </w:footnote>
  <w:footnote w:type="continuationSeparator" w:id="0">
    <w:p w:rsidR="00333818" w:rsidRDefault="00333818" w:rsidP="00702CCF">
      <w:r>
        <w:continuationSeparator/>
      </w:r>
    </w:p>
  </w:footnote>
  <w:footnote w:id="1">
    <w:p w:rsidR="006F1A30" w:rsidRPr="000444AC" w:rsidRDefault="006F1A30" w:rsidP="00BD7513">
      <w:pPr>
        <w:pStyle w:val="FootNote"/>
        <w:rPr>
          <w:sz w:val="20"/>
        </w:rPr>
      </w:pPr>
      <w:r w:rsidRPr="000444AC">
        <w:rPr>
          <w:sz w:val="20"/>
        </w:rPr>
        <w:tab/>
      </w:r>
      <w:r w:rsidRPr="000444AC">
        <w:rPr>
          <w:rStyle w:val="a4"/>
          <w:sz w:val="20"/>
        </w:rPr>
        <w:t>*</w:t>
      </w:r>
      <w:r w:rsidRPr="000444AC">
        <w:rPr>
          <w:rStyle w:val="a4"/>
          <w:sz w:val="20"/>
        </w:rPr>
        <w:tab/>
      </w:r>
      <w:r w:rsidRPr="000444AC">
        <w:rPr>
          <w:sz w:val="20"/>
        </w:rPr>
        <w:t>Chancellor’s Professor of Law, University of California Irvine School of Law.</w:t>
      </w:r>
    </w:p>
  </w:footnote>
  <w:footnote w:id="2">
    <w:p w:rsidR="006F1A30" w:rsidRPr="000444AC" w:rsidRDefault="006F1A30" w:rsidP="00B241B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Transamerica Computer Co., Inc. v. IBM Corp., 698 F.2d 1377, 1384 (9th Cir. 1983) (“Predatory pricing occurs when a company that controls a substantial market share lowers its prices to drive out competition so that it can charge monopoly prices, and reap monopoly profits, at a later time.”).</w:t>
      </w:r>
    </w:p>
  </w:footnote>
  <w:footnote w:id="3">
    <w:p w:rsidR="006F1A30" w:rsidRPr="000444AC" w:rsidRDefault="006F1A30" w:rsidP="0002729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USC</w:t>
      </w:r>
    </w:p>
  </w:footnote>
  <w:footnote w:id="4">
    <w:p w:rsidR="006F1A30" w:rsidRPr="000444AC" w:rsidRDefault="006F1A30" w:rsidP="0002729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Ida M. Tarbell, The History of the Standard Oil Company</w:t>
      </w:r>
      <w:r w:rsidRPr="000444AC">
        <w:rPr>
          <w:rFonts w:ascii="Times New Roman" w:hAnsi="Times New Roman" w:cs="Times New Roman"/>
          <w:sz w:val="20"/>
          <w:szCs w:val="20"/>
        </w:rPr>
        <w:t xml:space="preserve"> 221 (1904), reprinted 1963.</w:t>
      </w:r>
    </w:p>
  </w:footnote>
  <w:footnote w:id="5">
    <w:p w:rsidR="006F1A30" w:rsidRPr="000444AC" w:rsidRDefault="006F1A30" w:rsidP="0002729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USC; </w:t>
      </w:r>
      <w:r w:rsidRPr="000444AC">
        <w:rPr>
          <w:rFonts w:ascii="Times New Roman" w:hAnsi="Times New Roman" w:cs="Times New Roman"/>
          <w:smallCaps/>
          <w:sz w:val="20"/>
          <w:szCs w:val="20"/>
        </w:rPr>
        <w:t xml:space="preserve">Daniel </w:t>
      </w:r>
      <w:proofErr w:type="spellStart"/>
      <w:r w:rsidRPr="000444AC">
        <w:rPr>
          <w:rFonts w:ascii="Times New Roman" w:hAnsi="Times New Roman" w:cs="Times New Roman"/>
          <w:smallCaps/>
          <w:sz w:val="20"/>
          <w:szCs w:val="20"/>
        </w:rPr>
        <w:t>Yergin</w:t>
      </w:r>
      <w:proofErr w:type="spellEnd"/>
      <w:r w:rsidRPr="000444AC">
        <w:rPr>
          <w:rFonts w:ascii="Times New Roman" w:hAnsi="Times New Roman" w:cs="Times New Roman"/>
          <w:smallCaps/>
          <w:sz w:val="20"/>
          <w:szCs w:val="20"/>
        </w:rPr>
        <w:t>, The Prize</w:t>
      </w:r>
      <w:r w:rsidRPr="000444AC">
        <w:rPr>
          <w:rFonts w:ascii="Times New Roman" w:hAnsi="Times New Roman" w:cs="Times New Roman"/>
          <w:sz w:val="20"/>
          <w:szCs w:val="20"/>
        </w:rPr>
        <w:t xml:space="preserve"> 105 (1991) (describing Tarbell’s exposé as “[a]</w:t>
      </w:r>
      <w:proofErr w:type="spellStart"/>
      <w:r w:rsidRPr="000444AC">
        <w:rPr>
          <w:rFonts w:ascii="Times New Roman" w:hAnsi="Times New Roman" w:cs="Times New Roman"/>
          <w:sz w:val="20"/>
          <w:szCs w:val="20"/>
        </w:rPr>
        <w:t>rguably</w:t>
      </w:r>
      <w:proofErr w:type="spellEnd"/>
      <w:r w:rsidRPr="000444AC">
        <w:rPr>
          <w:rFonts w:ascii="Times New Roman" w:hAnsi="Times New Roman" w:cs="Times New Roman"/>
          <w:sz w:val="20"/>
          <w:szCs w:val="20"/>
        </w:rPr>
        <w:t xml:space="preserve"> … the single most influential book on business ever published in the United States”).</w:t>
      </w:r>
    </w:p>
  </w:footnote>
  <w:footnote w:id="6">
    <w:p w:rsidR="006F1A30" w:rsidRPr="000444AC" w:rsidRDefault="006F1A30" w:rsidP="0002729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USC</w:t>
      </w:r>
    </w:p>
  </w:footnote>
  <w:footnote w:id="7">
    <w:p w:rsidR="006F1A30" w:rsidRPr="000444AC" w:rsidRDefault="006F1A30" w:rsidP="0002729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U.S. v. A. Schrader’s Son, 264 F. 175, 181 (D. Ohio 1919) (citing </w:t>
      </w:r>
      <w:r w:rsidRPr="000444AC">
        <w:rPr>
          <w:rFonts w:ascii="Times New Roman" w:hAnsi="Times New Roman" w:cs="Times New Roman"/>
          <w:i/>
          <w:sz w:val="20"/>
          <w:szCs w:val="20"/>
        </w:rPr>
        <w:t>Standard Oil</w:t>
      </w:r>
      <w:r w:rsidRPr="000444AC">
        <w:rPr>
          <w:rFonts w:ascii="Times New Roman" w:hAnsi="Times New Roman" w:cs="Times New Roman"/>
          <w:sz w:val="20"/>
          <w:szCs w:val="20"/>
        </w:rPr>
        <w:t xml:space="preserve"> for the predatory pricing violates “the second section of the Sherman Anti-Trust law”). </w:t>
      </w:r>
      <w:r w:rsidRPr="000444AC">
        <w:rPr>
          <w:rFonts w:ascii="Times New Roman" w:hAnsi="Times New Roman" w:cs="Times New Roman"/>
          <w:i/>
          <w:sz w:val="20"/>
          <w:szCs w:val="20"/>
        </w:rPr>
        <w:t>See also</w:t>
      </w:r>
      <w:r w:rsidRPr="000444AC">
        <w:rPr>
          <w:rFonts w:ascii="Times New Roman" w:hAnsi="Times New Roman" w:cs="Times New Roman"/>
          <w:sz w:val="20"/>
          <w:szCs w:val="20"/>
        </w:rPr>
        <w:t xml:space="preserve"> Malcolm v. Marathon Oil Co., 642 F.2d 845, 853 n.16 (5th Cir. 1981) (“Predatory pricing violates s 2 of the Sherman Act, 15 U.S.C. § 2, when there is an attempt to monopolize”) (citing </w:t>
      </w:r>
      <w:r w:rsidRPr="000444AC">
        <w:rPr>
          <w:rFonts w:ascii="Times New Roman" w:hAnsi="Times New Roman" w:cs="Times New Roman"/>
          <w:i/>
          <w:sz w:val="20"/>
          <w:szCs w:val="20"/>
        </w:rPr>
        <w:t>Standard Oil</w:t>
      </w:r>
      <w:r w:rsidRPr="000444AC">
        <w:rPr>
          <w:rFonts w:ascii="Times New Roman" w:hAnsi="Times New Roman" w:cs="Times New Roman"/>
          <w:sz w:val="20"/>
          <w:szCs w:val="20"/>
        </w:rPr>
        <w:t>).</w:t>
      </w:r>
    </w:p>
  </w:footnote>
  <w:footnote w:id="8">
    <w:p w:rsidR="006F1A30" w:rsidRPr="000444AC" w:rsidRDefault="006F1A30" w:rsidP="0002729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Biddle Purchasing Co. v. Federal Trade Commission, 96 F.2d 687, 689 (2d Cir. 1938); </w:t>
      </w:r>
      <w:r w:rsidRPr="000444AC">
        <w:rPr>
          <w:rFonts w:ascii="Times New Roman" w:hAnsi="Times New Roman" w:cs="Times New Roman"/>
          <w:i/>
          <w:sz w:val="20"/>
          <w:szCs w:val="20"/>
        </w:rPr>
        <w:t>see also</w:t>
      </w:r>
      <w:r w:rsidRPr="000444AC">
        <w:rPr>
          <w:rFonts w:ascii="Times New Roman" w:hAnsi="Times New Roman" w:cs="Times New Roman"/>
          <w:sz w:val="20"/>
          <w:szCs w:val="20"/>
        </w:rPr>
        <w:t xml:space="preserve"> National </w:t>
      </w:r>
      <w:proofErr w:type="spellStart"/>
      <w:r w:rsidRPr="000444AC">
        <w:rPr>
          <w:rFonts w:ascii="Times New Roman" w:hAnsi="Times New Roman" w:cs="Times New Roman"/>
          <w:sz w:val="20"/>
          <w:szCs w:val="20"/>
        </w:rPr>
        <w:t>Ass’n</w:t>
      </w:r>
      <w:proofErr w:type="spellEnd"/>
      <w:r w:rsidRPr="000444AC">
        <w:rPr>
          <w:rFonts w:ascii="Times New Roman" w:hAnsi="Times New Roman" w:cs="Times New Roman"/>
          <w:sz w:val="20"/>
          <w:szCs w:val="20"/>
        </w:rPr>
        <w:t xml:space="preserve"> of Regulatory Utility </w:t>
      </w:r>
      <w:proofErr w:type="spellStart"/>
      <w:r w:rsidRPr="000444AC">
        <w:rPr>
          <w:rFonts w:ascii="Times New Roman" w:hAnsi="Times New Roman" w:cs="Times New Roman"/>
          <w:sz w:val="20"/>
          <w:szCs w:val="20"/>
        </w:rPr>
        <w:t>Com’rs</w:t>
      </w:r>
      <w:proofErr w:type="spellEnd"/>
      <w:r w:rsidRPr="000444AC">
        <w:rPr>
          <w:rFonts w:ascii="Times New Roman" w:hAnsi="Times New Roman" w:cs="Times New Roman"/>
          <w:sz w:val="20"/>
          <w:szCs w:val="20"/>
        </w:rPr>
        <w:t xml:space="preserve"> v. F.C.C., 525 F.2d 630, 638 (D.C. Cir. 1975) (citing </w:t>
      </w:r>
      <w:r w:rsidRPr="000444AC">
        <w:rPr>
          <w:rFonts w:ascii="Times New Roman" w:hAnsi="Times New Roman" w:cs="Times New Roman"/>
          <w:i/>
          <w:sz w:val="20"/>
          <w:szCs w:val="20"/>
        </w:rPr>
        <w:t>Standard Oil</w:t>
      </w:r>
      <w:r w:rsidRPr="000444AC">
        <w:rPr>
          <w:rFonts w:ascii="Times New Roman" w:hAnsi="Times New Roman" w:cs="Times New Roman"/>
          <w:sz w:val="20"/>
          <w:szCs w:val="20"/>
        </w:rPr>
        <w:t xml:space="preserve"> for proposition that “[c]</w:t>
      </w:r>
      <w:proofErr w:type="spellStart"/>
      <w:r w:rsidRPr="000444AC">
        <w:rPr>
          <w:rFonts w:ascii="Times New Roman" w:hAnsi="Times New Roman" w:cs="Times New Roman"/>
          <w:sz w:val="20"/>
          <w:szCs w:val="20"/>
        </w:rPr>
        <w:t>utting</w:t>
      </w:r>
      <w:proofErr w:type="spellEnd"/>
      <w:r w:rsidRPr="000444AC">
        <w:rPr>
          <w:rFonts w:ascii="Times New Roman" w:hAnsi="Times New Roman" w:cs="Times New Roman"/>
          <w:sz w:val="20"/>
          <w:szCs w:val="20"/>
        </w:rPr>
        <w:t xml:space="preserve"> prices below marginal cost in order to discourage competition is the most blatant form of predatory behavior and, at least where the price cutter holds significant market power, is subject to attack under Sherman Act §2”); Outboard Marine Corp. v. </w:t>
      </w:r>
      <w:proofErr w:type="spellStart"/>
      <w:r w:rsidRPr="000444AC">
        <w:rPr>
          <w:rFonts w:ascii="Times New Roman" w:hAnsi="Times New Roman" w:cs="Times New Roman"/>
          <w:sz w:val="20"/>
          <w:szCs w:val="20"/>
        </w:rPr>
        <w:t>Pezetel</w:t>
      </w:r>
      <w:proofErr w:type="spellEnd"/>
      <w:r w:rsidRPr="000444AC">
        <w:rPr>
          <w:rFonts w:ascii="Times New Roman" w:hAnsi="Times New Roman" w:cs="Times New Roman"/>
          <w:sz w:val="20"/>
          <w:szCs w:val="20"/>
        </w:rPr>
        <w:t xml:space="preserve">, 461 </w:t>
      </w:r>
      <w:proofErr w:type="spellStart"/>
      <w:r w:rsidRPr="000444AC">
        <w:rPr>
          <w:rFonts w:ascii="Times New Roman" w:hAnsi="Times New Roman" w:cs="Times New Roman"/>
          <w:sz w:val="20"/>
          <w:szCs w:val="20"/>
        </w:rPr>
        <w:t>F.Supp</w:t>
      </w:r>
      <w:proofErr w:type="spellEnd"/>
      <w:r w:rsidRPr="000444AC">
        <w:rPr>
          <w:rFonts w:ascii="Times New Roman" w:hAnsi="Times New Roman" w:cs="Times New Roman"/>
          <w:sz w:val="20"/>
          <w:szCs w:val="20"/>
        </w:rPr>
        <w:t>. 384, 400 (</w:t>
      </w:r>
      <w:proofErr w:type="spellStart"/>
      <w:r w:rsidRPr="000444AC">
        <w:rPr>
          <w:rFonts w:ascii="Times New Roman" w:hAnsi="Times New Roman" w:cs="Times New Roman"/>
          <w:sz w:val="20"/>
          <w:szCs w:val="20"/>
        </w:rPr>
        <w:t>D.C.Del</w:t>
      </w:r>
      <w:proofErr w:type="spellEnd"/>
      <w:r w:rsidRPr="000444AC">
        <w:rPr>
          <w:rFonts w:ascii="Times New Roman" w:hAnsi="Times New Roman" w:cs="Times New Roman"/>
          <w:sz w:val="20"/>
          <w:szCs w:val="20"/>
        </w:rPr>
        <w:t xml:space="preserve">. 1978) (citing </w:t>
      </w:r>
      <w:r w:rsidRPr="000444AC">
        <w:rPr>
          <w:rFonts w:ascii="Times New Roman" w:hAnsi="Times New Roman" w:cs="Times New Roman"/>
          <w:i/>
          <w:sz w:val="20"/>
          <w:szCs w:val="20"/>
        </w:rPr>
        <w:t>Standard Oil</w:t>
      </w:r>
      <w:r w:rsidRPr="000444AC">
        <w:rPr>
          <w:rFonts w:ascii="Times New Roman" w:hAnsi="Times New Roman" w:cs="Times New Roman"/>
          <w:sz w:val="20"/>
          <w:szCs w:val="20"/>
        </w:rPr>
        <w:t xml:space="preserve"> for proposition that “</w:t>
      </w:r>
      <w:bookmarkStart w:id="1" w:name="SR;11462"/>
      <w:bookmarkEnd w:id="1"/>
      <w:r w:rsidRPr="000444AC">
        <w:rPr>
          <w:rFonts w:ascii="Times New Roman" w:hAnsi="Times New Roman" w:cs="Times New Roman"/>
          <w:sz w:val="20"/>
          <w:szCs w:val="20"/>
        </w:rPr>
        <w:t>predatory </w:t>
      </w:r>
      <w:bookmarkStart w:id="2" w:name="SR;11463"/>
      <w:bookmarkEnd w:id="2"/>
      <w:r w:rsidRPr="000444AC">
        <w:rPr>
          <w:rFonts w:ascii="Times New Roman" w:hAnsi="Times New Roman" w:cs="Times New Roman"/>
          <w:sz w:val="20"/>
          <w:szCs w:val="20"/>
        </w:rPr>
        <w:t xml:space="preserve">pricing” is “an antitrust violation generally manifested by selling below </w:t>
      </w:r>
      <w:proofErr w:type="spellStart"/>
      <w:r w:rsidRPr="000444AC">
        <w:rPr>
          <w:rFonts w:ascii="Times New Roman" w:hAnsi="Times New Roman" w:cs="Times New Roman"/>
          <w:sz w:val="20"/>
          <w:szCs w:val="20"/>
        </w:rPr>
        <w:t>ones</w:t>
      </w:r>
      <w:proofErr w:type="spellEnd"/>
      <w:r w:rsidRPr="000444AC">
        <w:rPr>
          <w:rFonts w:ascii="Times New Roman" w:hAnsi="Times New Roman" w:cs="Times New Roman"/>
          <w:sz w:val="20"/>
          <w:szCs w:val="20"/>
        </w:rPr>
        <w:t xml:space="preserve"> own cost for the purpose of effectuating long term domination of the market.”).</w:t>
      </w:r>
    </w:p>
  </w:footnote>
  <w:footnote w:id="9">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 xml:space="preserve"> 221 U.S. 106 (1911)</w:t>
      </w:r>
      <w:r w:rsidRPr="000444AC">
        <w:rPr>
          <w:rFonts w:ascii="Times New Roman" w:eastAsia="Times New Roman" w:hAnsi="Times New Roman" w:cs="Times New Roman"/>
          <w:sz w:val="20"/>
          <w:szCs w:val="20"/>
        </w:rPr>
        <w:t>.</w:t>
      </w:r>
    </w:p>
  </w:footnote>
  <w:footnote w:id="10">
    <w:p w:rsidR="006F1A30" w:rsidRPr="000444AC" w:rsidRDefault="006F1A30" w:rsidP="0014204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Brian Dean Abramson, </w:t>
      </w:r>
      <w:r w:rsidRPr="000444AC">
        <w:rPr>
          <w:rFonts w:ascii="Times New Roman" w:hAnsi="Times New Roman" w:cs="Times New Roman"/>
          <w:i/>
          <w:sz w:val="20"/>
          <w:szCs w:val="20"/>
        </w:rPr>
        <w:t>Let Them Eat Smoke: The Case for Exempting the Tobacco Industry from Antitrust</w:t>
      </w:r>
      <w:r w:rsidRPr="000444AC">
        <w:rPr>
          <w:rFonts w:ascii="Times New Roman" w:hAnsi="Times New Roman" w:cs="Times New Roman"/>
          <w:sz w:val="20"/>
          <w:szCs w:val="20"/>
        </w:rPr>
        <w:t xml:space="preserve">, 6 </w:t>
      </w:r>
      <w:r w:rsidRPr="000444AC">
        <w:rPr>
          <w:rFonts w:ascii="Times New Roman" w:hAnsi="Times New Roman" w:cs="Times New Roman"/>
          <w:smallCaps/>
          <w:sz w:val="20"/>
          <w:szCs w:val="20"/>
        </w:rPr>
        <w:t xml:space="preserve">Cardozo Pub. L. </w:t>
      </w:r>
      <w:proofErr w:type="spellStart"/>
      <w:r w:rsidRPr="000444AC">
        <w:rPr>
          <w:rFonts w:ascii="Times New Roman" w:hAnsi="Times New Roman" w:cs="Times New Roman"/>
          <w:smallCaps/>
          <w:sz w:val="20"/>
          <w:szCs w:val="20"/>
        </w:rPr>
        <w:t>Pol’y</w:t>
      </w:r>
      <w:proofErr w:type="spellEnd"/>
      <w:r w:rsidRPr="000444AC">
        <w:rPr>
          <w:rFonts w:ascii="Times New Roman" w:hAnsi="Times New Roman" w:cs="Times New Roman"/>
          <w:smallCaps/>
          <w:sz w:val="20"/>
          <w:szCs w:val="20"/>
        </w:rPr>
        <w:t xml:space="preserve"> &amp; Ethics J</w:t>
      </w:r>
      <w:r w:rsidRPr="000444AC">
        <w:rPr>
          <w:rFonts w:ascii="Times New Roman" w:hAnsi="Times New Roman" w:cs="Times New Roman"/>
          <w:sz w:val="20"/>
          <w:szCs w:val="20"/>
        </w:rPr>
        <w:t>. 345, 361 (2008).</w:t>
      </w:r>
    </w:p>
  </w:footnote>
  <w:footnote w:id="11">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Walter Adams &amp; James W. Brock, </w:t>
      </w:r>
      <w:r w:rsidRPr="000444AC">
        <w:rPr>
          <w:rFonts w:ascii="Times New Roman" w:eastAsia="Times New Roman" w:hAnsi="Times New Roman" w:cs="Times New Roman"/>
          <w:i/>
          <w:color w:val="000000"/>
          <w:sz w:val="20"/>
          <w:szCs w:val="20"/>
        </w:rPr>
        <w:t xml:space="preserve">Predation, "Rationality," and Judicial </w:t>
      </w:r>
      <w:proofErr w:type="spellStart"/>
      <w:r w:rsidRPr="000444AC">
        <w:rPr>
          <w:rFonts w:ascii="Times New Roman" w:eastAsia="Times New Roman" w:hAnsi="Times New Roman" w:cs="Times New Roman"/>
          <w:i/>
          <w:color w:val="000000"/>
          <w:sz w:val="20"/>
          <w:szCs w:val="20"/>
        </w:rPr>
        <w:t>Somnambulance</w:t>
      </w:r>
      <w:proofErr w:type="spellEnd"/>
      <w:r w:rsidRPr="000444AC">
        <w:rPr>
          <w:rFonts w:ascii="Times New Roman" w:eastAsia="Times New Roman" w:hAnsi="Times New Roman" w:cs="Times New Roman"/>
          <w:color w:val="000000"/>
          <w:sz w:val="20"/>
          <w:szCs w:val="20"/>
        </w:rPr>
        <w:t xml:space="preserve">, 64 </w:t>
      </w:r>
      <w:r w:rsidRPr="000444AC">
        <w:rPr>
          <w:rFonts w:ascii="Times New Roman" w:eastAsia="Times New Roman" w:hAnsi="Times New Roman" w:cs="Times New Roman"/>
          <w:smallCaps/>
          <w:color w:val="000000"/>
          <w:sz w:val="20"/>
          <w:szCs w:val="20"/>
        </w:rPr>
        <w:t xml:space="preserve">U. </w:t>
      </w:r>
      <w:proofErr w:type="spellStart"/>
      <w:r w:rsidRPr="000444AC">
        <w:rPr>
          <w:rFonts w:ascii="Times New Roman" w:eastAsia="Times New Roman" w:hAnsi="Times New Roman" w:cs="Times New Roman"/>
          <w:smallCaps/>
          <w:color w:val="000000"/>
          <w:sz w:val="20"/>
          <w:szCs w:val="20"/>
        </w:rPr>
        <w:t>Cin</w:t>
      </w:r>
      <w:proofErr w:type="spellEnd"/>
      <w:r w:rsidRPr="000444AC">
        <w:rPr>
          <w:rFonts w:ascii="Times New Roman" w:eastAsia="Times New Roman" w:hAnsi="Times New Roman" w:cs="Times New Roman"/>
          <w:smallCaps/>
          <w:color w:val="000000"/>
          <w:sz w:val="20"/>
          <w:szCs w:val="20"/>
        </w:rPr>
        <w:t>. L. Rev</w:t>
      </w:r>
      <w:r w:rsidRPr="000444AC">
        <w:rPr>
          <w:rFonts w:ascii="Times New Roman" w:eastAsia="Times New Roman" w:hAnsi="Times New Roman" w:cs="Times New Roman"/>
          <w:color w:val="000000"/>
          <w:sz w:val="20"/>
          <w:szCs w:val="20"/>
        </w:rPr>
        <w:t>. 811, 830–31 (1996) (</w:t>
      </w:r>
      <w:r w:rsidRPr="000444AC">
        <w:rPr>
          <w:rFonts w:ascii="Times New Roman" w:eastAsia="Times New Roman" w:hAnsi="Times New Roman" w:cs="Times New Roman"/>
          <w:sz w:val="20"/>
          <w:szCs w:val="20"/>
        </w:rPr>
        <w:t>“</w:t>
      </w:r>
      <w:r w:rsidRPr="000444AC">
        <w:rPr>
          <w:rFonts w:ascii="Times New Roman" w:eastAsia="Times New Roman" w:hAnsi="Times New Roman" w:cs="Times New Roman"/>
          <w:color w:val="000000"/>
          <w:sz w:val="20"/>
          <w:szCs w:val="20"/>
          <w:shd w:val="clear" w:color="auto" w:fill="FFFFFF"/>
        </w:rPr>
        <w:t>The American Tobacco Company deliberately elected to sustain the financial losses resulting from its predatory pricing: Company documents examined by the court indicated that the firm was prepared to lose as much as $175,000 annually in order either to punish Porto Rican-American for its failure to cooperate politically or to exploit its uncooperativeness as the pretext for driving it from the market.”</w:t>
      </w:r>
      <w:r w:rsidRPr="000444AC">
        <w:rPr>
          <w:rFonts w:ascii="Times New Roman" w:eastAsia="Times New Roman" w:hAnsi="Times New Roman" w:cs="Times New Roman"/>
          <w:color w:val="000000"/>
          <w:sz w:val="20"/>
          <w:szCs w:val="20"/>
        </w:rPr>
        <w:t>)</w:t>
      </w:r>
    </w:p>
  </w:footnote>
  <w:footnote w:id="12">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Id. at 182.</w:t>
      </w:r>
    </w:p>
  </w:footnote>
  <w:footnote w:id="13">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shd w:val="clear" w:color="auto" w:fill="FFFFFF"/>
        </w:rPr>
        <w:t xml:space="preserve">Id. at </w:t>
      </w:r>
      <w:r w:rsidRPr="000444AC">
        <w:rPr>
          <w:rFonts w:ascii="Times New Roman" w:eastAsia="Times New Roman" w:hAnsi="Times New Roman" w:cs="Times New Roman"/>
          <w:color w:val="000000"/>
          <w:sz w:val="20"/>
          <w:szCs w:val="20"/>
        </w:rPr>
        <w:t>160–61.</w:t>
      </w:r>
    </w:p>
  </w:footnote>
  <w:footnote w:id="14">
    <w:p w:rsidR="006F1A30" w:rsidRPr="000444AC" w:rsidRDefault="006F1A30" w:rsidP="0038577F">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e.g</w:t>
      </w:r>
      <w:r w:rsidRPr="000444AC">
        <w:rPr>
          <w:rFonts w:ascii="Times New Roman" w:hAnsi="Times New Roman" w:cs="Times New Roman"/>
          <w:sz w:val="20"/>
          <w:szCs w:val="20"/>
        </w:rPr>
        <w:t xml:space="preserve">., Malcolm v. Marathon Oil Co., 642 F.2d 845, 854 (5th Cir. 1981) (“Predatory pricing violates § 2 of the Sherman Act, 15 U.S.C. § 2, when there is an attempt to monopolize, see United States v. American Tobacco Co., 221 U.S. 106, 180-84 (1911); Standard Oil Co. v. United States, 221 U.S. 1, 43 (1911).”); Janich Bros. v. American Distilling Co., 570 F.2d 848, 855 (9th Cir.1977) (“Courts have long recognized that “ </w:t>
      </w:r>
      <w:bookmarkStart w:id="3" w:name="SR;36119"/>
      <w:bookmarkEnd w:id="3"/>
      <w:r w:rsidRPr="000444AC">
        <w:rPr>
          <w:rFonts w:ascii="Times New Roman" w:hAnsi="Times New Roman" w:cs="Times New Roman"/>
          <w:sz w:val="20"/>
          <w:szCs w:val="20"/>
        </w:rPr>
        <w:t>predatory </w:t>
      </w:r>
      <w:bookmarkStart w:id="4" w:name="SR;36120"/>
      <w:bookmarkEnd w:id="4"/>
      <w:r w:rsidRPr="000444AC">
        <w:rPr>
          <w:rFonts w:ascii="Times New Roman" w:hAnsi="Times New Roman" w:cs="Times New Roman"/>
          <w:sz w:val="20"/>
          <w:szCs w:val="20"/>
        </w:rPr>
        <w:t>pricing may be a means of obtaining or maintaining a monopoly position in violation of Section 2 of the Sherman Act....”) (</w:t>
      </w:r>
      <w:r w:rsidRPr="000444AC">
        <w:rPr>
          <w:rFonts w:ascii="Times New Roman" w:hAnsi="Times New Roman" w:cs="Times New Roman"/>
          <w:i/>
          <w:sz w:val="20"/>
          <w:szCs w:val="20"/>
        </w:rPr>
        <w:t>citing</w:t>
      </w:r>
      <w:r w:rsidRPr="000444AC">
        <w:rPr>
          <w:rFonts w:ascii="Times New Roman" w:hAnsi="Times New Roman" w:cs="Times New Roman"/>
          <w:sz w:val="20"/>
          <w:szCs w:val="20"/>
        </w:rPr>
        <w:t> United States v. American Tobacco Co., 221 U.S. 106, 160, 182 (1911), and </w:t>
      </w:r>
      <w:bookmarkStart w:id="5" w:name="SR;36191"/>
      <w:bookmarkEnd w:id="5"/>
      <w:r w:rsidRPr="000444AC">
        <w:rPr>
          <w:rFonts w:ascii="Times New Roman" w:hAnsi="Times New Roman" w:cs="Times New Roman"/>
          <w:sz w:val="20"/>
          <w:szCs w:val="20"/>
        </w:rPr>
        <w:t xml:space="preserve">Standard Oil Co. v. United States, 221 U.S. 1, 43 (1911)); J.H. </w:t>
      </w:r>
      <w:proofErr w:type="spellStart"/>
      <w:r w:rsidRPr="000444AC">
        <w:rPr>
          <w:rFonts w:ascii="Times New Roman" w:hAnsi="Times New Roman" w:cs="Times New Roman"/>
          <w:sz w:val="20"/>
          <w:szCs w:val="20"/>
        </w:rPr>
        <w:t>Westerbeke</w:t>
      </w:r>
      <w:proofErr w:type="spellEnd"/>
      <w:r w:rsidRPr="000444AC">
        <w:rPr>
          <w:rFonts w:ascii="Times New Roman" w:hAnsi="Times New Roman" w:cs="Times New Roman"/>
          <w:sz w:val="20"/>
          <w:szCs w:val="20"/>
        </w:rPr>
        <w:t xml:space="preserve"> Corp. v. Onan Corp., 580 </w:t>
      </w:r>
      <w:proofErr w:type="spellStart"/>
      <w:r w:rsidRPr="000444AC">
        <w:rPr>
          <w:rFonts w:ascii="Times New Roman" w:hAnsi="Times New Roman" w:cs="Times New Roman"/>
          <w:sz w:val="20"/>
          <w:szCs w:val="20"/>
        </w:rPr>
        <w:t>F.Supp</w:t>
      </w:r>
      <w:proofErr w:type="spellEnd"/>
      <w:r w:rsidRPr="000444AC">
        <w:rPr>
          <w:rFonts w:ascii="Times New Roman" w:hAnsi="Times New Roman" w:cs="Times New Roman"/>
          <w:sz w:val="20"/>
          <w:szCs w:val="20"/>
        </w:rPr>
        <w:t>. 1173, 1188 (D.C.Mass.,1984) (“Conduct unnecessary for the competitive process, by comparison, includes merging to monopoly, long term exclusive supply contracts, exploitation of purchasing leverage, </w:t>
      </w:r>
      <w:bookmarkStart w:id="6" w:name="SR;10857"/>
      <w:bookmarkEnd w:id="6"/>
      <w:r w:rsidRPr="000444AC">
        <w:rPr>
          <w:rFonts w:ascii="Times New Roman" w:hAnsi="Times New Roman" w:cs="Times New Roman"/>
          <w:sz w:val="20"/>
          <w:szCs w:val="20"/>
        </w:rPr>
        <w:t>predatory </w:t>
      </w:r>
      <w:bookmarkStart w:id="7" w:name="SR;10858"/>
      <w:bookmarkEnd w:id="7"/>
      <w:r w:rsidRPr="000444AC">
        <w:rPr>
          <w:rFonts w:ascii="Times New Roman" w:hAnsi="Times New Roman" w:cs="Times New Roman"/>
          <w:sz w:val="20"/>
          <w:szCs w:val="20"/>
        </w:rPr>
        <w:t>pricing, etc. </w:t>
      </w:r>
      <w:bookmarkStart w:id="8" w:name="SR;10861"/>
      <w:bookmarkEnd w:id="8"/>
      <w:r w:rsidRPr="000444AC">
        <w:rPr>
          <w:rFonts w:ascii="Times New Roman" w:hAnsi="Times New Roman" w:cs="Times New Roman"/>
          <w:sz w:val="20"/>
          <w:szCs w:val="20"/>
        </w:rPr>
        <w:t xml:space="preserve">Standard Oil Co. v. United States, 221 U.S. 1, 31 </w:t>
      </w:r>
      <w:proofErr w:type="spellStart"/>
      <w:r w:rsidRPr="000444AC">
        <w:rPr>
          <w:rFonts w:ascii="Times New Roman" w:hAnsi="Times New Roman" w:cs="Times New Roman"/>
          <w:sz w:val="20"/>
          <w:szCs w:val="20"/>
        </w:rPr>
        <w:t>S.Ct</w:t>
      </w:r>
      <w:proofErr w:type="spellEnd"/>
      <w:r w:rsidRPr="000444AC">
        <w:rPr>
          <w:rFonts w:ascii="Times New Roman" w:hAnsi="Times New Roman" w:cs="Times New Roman"/>
          <w:sz w:val="20"/>
          <w:szCs w:val="20"/>
        </w:rPr>
        <w:t xml:space="preserve">. 502, 55 </w:t>
      </w:r>
      <w:proofErr w:type="spellStart"/>
      <w:r w:rsidRPr="000444AC">
        <w:rPr>
          <w:rFonts w:ascii="Times New Roman" w:hAnsi="Times New Roman" w:cs="Times New Roman"/>
          <w:sz w:val="20"/>
          <w:szCs w:val="20"/>
        </w:rPr>
        <w:t>L.Ed</w:t>
      </w:r>
      <w:proofErr w:type="spellEnd"/>
      <w:r w:rsidRPr="000444AC">
        <w:rPr>
          <w:rFonts w:ascii="Times New Roman" w:hAnsi="Times New Roman" w:cs="Times New Roman"/>
          <w:sz w:val="20"/>
          <w:szCs w:val="20"/>
        </w:rPr>
        <w:t>. 619 (1911)”).</w:t>
      </w:r>
    </w:p>
  </w:footnote>
  <w:footnote w:id="15">
    <w:p w:rsidR="006F1A30" w:rsidRPr="000444AC" w:rsidRDefault="006F1A30" w:rsidP="0002729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McGahee</w:t>
      </w:r>
      <w:proofErr w:type="spellEnd"/>
      <w:r w:rsidRPr="000444AC">
        <w:rPr>
          <w:rFonts w:ascii="Times New Roman" w:hAnsi="Times New Roman" w:cs="Times New Roman"/>
          <w:sz w:val="20"/>
          <w:szCs w:val="20"/>
        </w:rPr>
        <w:t xml:space="preserve"> v. Northern Propane Gas Co., 858 F.2d 1487, 1498 (11th Cir. 1988) (quoting </w:t>
      </w:r>
      <w:proofErr w:type="spellStart"/>
      <w:r w:rsidRPr="000444AC">
        <w:rPr>
          <w:rFonts w:ascii="Times New Roman" w:hAnsi="Times New Roman" w:cs="Times New Roman"/>
          <w:sz w:val="20"/>
          <w:szCs w:val="20"/>
        </w:rPr>
        <w:t>H.R.Rep</w:t>
      </w:r>
      <w:proofErr w:type="spellEnd"/>
      <w:r w:rsidRPr="000444AC">
        <w:rPr>
          <w:rFonts w:ascii="Times New Roman" w:hAnsi="Times New Roman" w:cs="Times New Roman"/>
          <w:sz w:val="20"/>
          <w:szCs w:val="20"/>
        </w:rPr>
        <w:t xml:space="preserve">. No. 2287, 74th Cong., 2d Sess. 8 (1914)); U.S. v. National Dairy Products Corp., 372 U.S. 29, 33-34 (1963) (discussing legislative history of Robinson-Patman Act and citing </w:t>
      </w:r>
      <w:r w:rsidRPr="000444AC">
        <w:rPr>
          <w:rFonts w:ascii="Times New Roman" w:hAnsi="Times New Roman" w:cs="Times New Roman"/>
          <w:i/>
          <w:sz w:val="20"/>
          <w:szCs w:val="20"/>
        </w:rPr>
        <w:t>Standard Oil</w:t>
      </w:r>
      <w:r w:rsidRPr="000444AC">
        <w:rPr>
          <w:rFonts w:ascii="Times New Roman" w:hAnsi="Times New Roman" w:cs="Times New Roman"/>
          <w:sz w:val="20"/>
          <w:szCs w:val="20"/>
        </w:rPr>
        <w:t xml:space="preserve"> for proposition “[t]hat sales below cost without a justifying business reason may come within the proscriptions of the </w:t>
      </w:r>
      <w:bookmarkStart w:id="9" w:name="SR;2479"/>
      <w:bookmarkStart w:id="10" w:name="SearchTerm"/>
      <w:bookmarkEnd w:id="9"/>
      <w:r w:rsidRPr="000444AC">
        <w:rPr>
          <w:rFonts w:ascii="Times New Roman" w:hAnsi="Times New Roman" w:cs="Times New Roman"/>
          <w:sz w:val="20"/>
          <w:szCs w:val="20"/>
        </w:rPr>
        <w:t xml:space="preserve">Sherman </w:t>
      </w:r>
      <w:bookmarkStart w:id="11" w:name="SR;2480"/>
      <w:bookmarkEnd w:id="11"/>
      <w:r w:rsidRPr="000444AC">
        <w:rPr>
          <w:rFonts w:ascii="Times New Roman" w:hAnsi="Times New Roman" w:cs="Times New Roman"/>
          <w:sz w:val="20"/>
          <w:szCs w:val="20"/>
        </w:rPr>
        <w:t>Act has long been established</w:t>
      </w:r>
      <w:bookmarkEnd w:id="10"/>
      <w:r w:rsidRPr="000444AC">
        <w:rPr>
          <w:rFonts w:ascii="Times New Roman" w:hAnsi="Times New Roman" w:cs="Times New Roman"/>
          <w:sz w:val="20"/>
          <w:szCs w:val="20"/>
        </w:rPr>
        <w:t>”).</w:t>
      </w:r>
    </w:p>
  </w:footnote>
  <w:footnote w:id="16">
    <w:p w:rsidR="006F1A30" w:rsidRPr="000444AC" w:rsidRDefault="006F1A30" w:rsidP="00E0733F">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color w:val="000000"/>
          <w:sz w:val="20"/>
          <w:szCs w:val="20"/>
        </w:rPr>
        <w:t xml:space="preserve">Timothy J. Trujillo, </w:t>
      </w:r>
      <w:r w:rsidRPr="000444AC">
        <w:rPr>
          <w:rFonts w:ascii="Times New Roman" w:hAnsi="Times New Roman" w:cs="Times New Roman"/>
          <w:i/>
          <w:color w:val="000000"/>
          <w:sz w:val="20"/>
          <w:szCs w:val="20"/>
        </w:rPr>
        <w:t>Predatory Pricing Standards Under Recent Supreme Court Decisions and Their Failure to Recognize Strategic Behavior as a Barrier to Entry</w:t>
      </w:r>
      <w:r w:rsidRPr="000444AC">
        <w:rPr>
          <w:rFonts w:ascii="Times New Roman" w:hAnsi="Times New Roman" w:cs="Times New Roman"/>
          <w:color w:val="000000"/>
          <w:sz w:val="20"/>
          <w:szCs w:val="20"/>
        </w:rPr>
        <w:t xml:space="preserve">, </w:t>
      </w:r>
      <w:r w:rsidRPr="000444AC">
        <w:rPr>
          <w:rFonts w:ascii="Times New Roman" w:hAnsi="Times New Roman" w:cs="Times New Roman"/>
          <w:sz w:val="20"/>
          <w:szCs w:val="20"/>
        </w:rPr>
        <w:t xml:space="preserve">19 </w:t>
      </w:r>
      <w:r w:rsidRPr="000444AC">
        <w:rPr>
          <w:rFonts w:ascii="Times New Roman" w:hAnsi="Times New Roman" w:cs="Times New Roman"/>
          <w:smallCaps/>
          <w:sz w:val="20"/>
          <w:szCs w:val="20"/>
        </w:rPr>
        <w:t>J. Corp. L.</w:t>
      </w:r>
      <w:r w:rsidRPr="000444AC">
        <w:rPr>
          <w:rFonts w:ascii="Times New Roman" w:hAnsi="Times New Roman" w:cs="Times New Roman"/>
          <w:sz w:val="20"/>
          <w:szCs w:val="20"/>
        </w:rPr>
        <w:t xml:space="preserve"> 809, 813 (1994).</w:t>
      </w:r>
    </w:p>
  </w:footnote>
  <w:footnote w:id="17">
    <w:p w:rsidR="006F1A30" w:rsidRPr="000444AC" w:rsidRDefault="006F1A30" w:rsidP="00E0733F">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w:t>
      </w:r>
      <w:r w:rsidRPr="000444AC">
        <w:rPr>
          <w:rFonts w:ascii="Times New Roman" w:hAnsi="Times New Roman" w:cs="Times New Roman"/>
          <w:color w:val="000000"/>
          <w:sz w:val="20"/>
          <w:szCs w:val="20"/>
        </w:rPr>
        <w:t>Patrick Bolton</w:t>
      </w:r>
      <w:r w:rsidRPr="000444AC">
        <w:rPr>
          <w:rFonts w:ascii="Times New Roman" w:hAnsi="Times New Roman" w:cs="Times New Roman"/>
          <w:sz w:val="20"/>
          <w:szCs w:val="20"/>
        </w:rPr>
        <w:t xml:space="preserve">, </w:t>
      </w:r>
      <w:r w:rsidRPr="000444AC">
        <w:rPr>
          <w:rFonts w:ascii="Times New Roman" w:hAnsi="Times New Roman" w:cs="Times New Roman"/>
          <w:color w:val="000000"/>
          <w:sz w:val="20"/>
          <w:szCs w:val="20"/>
        </w:rPr>
        <w:t xml:space="preserve">Joseph F. </w:t>
      </w:r>
      <w:proofErr w:type="spellStart"/>
      <w:r w:rsidRPr="000444AC">
        <w:rPr>
          <w:rFonts w:ascii="Times New Roman" w:hAnsi="Times New Roman" w:cs="Times New Roman"/>
          <w:color w:val="000000"/>
          <w:sz w:val="20"/>
          <w:szCs w:val="20"/>
        </w:rPr>
        <w:t>Brodley</w:t>
      </w:r>
      <w:proofErr w:type="spellEnd"/>
      <w:r w:rsidRPr="000444AC">
        <w:rPr>
          <w:rFonts w:ascii="Times New Roman" w:hAnsi="Times New Roman" w:cs="Times New Roman"/>
          <w:color w:val="000000"/>
          <w:sz w:val="20"/>
          <w:szCs w:val="20"/>
        </w:rPr>
        <w:t xml:space="preserve"> &amp; Michael H. Riordan, </w:t>
      </w:r>
      <w:r w:rsidRPr="000444AC">
        <w:rPr>
          <w:rFonts w:ascii="Times New Roman" w:hAnsi="Times New Roman" w:cs="Times New Roman"/>
          <w:i/>
          <w:color w:val="000000"/>
          <w:sz w:val="20"/>
          <w:szCs w:val="20"/>
        </w:rPr>
        <w:t xml:space="preserve">Predatory Pricing: Strategic Theory </w:t>
      </w:r>
      <w:proofErr w:type="gramStart"/>
      <w:r w:rsidRPr="000444AC">
        <w:rPr>
          <w:rFonts w:ascii="Times New Roman" w:hAnsi="Times New Roman" w:cs="Times New Roman"/>
          <w:i/>
          <w:color w:val="000000"/>
          <w:sz w:val="20"/>
          <w:szCs w:val="20"/>
        </w:rPr>
        <w:t>And</w:t>
      </w:r>
      <w:proofErr w:type="gramEnd"/>
      <w:r w:rsidRPr="000444AC">
        <w:rPr>
          <w:rFonts w:ascii="Times New Roman" w:hAnsi="Times New Roman" w:cs="Times New Roman"/>
          <w:i/>
          <w:color w:val="000000"/>
          <w:sz w:val="20"/>
          <w:szCs w:val="20"/>
        </w:rPr>
        <w:t xml:space="preserve"> Legal Policy</w:t>
      </w:r>
      <w:r w:rsidRPr="000444AC">
        <w:rPr>
          <w:rFonts w:ascii="Times New Roman" w:hAnsi="Times New Roman" w:cs="Times New Roman"/>
          <w:color w:val="000000"/>
          <w:sz w:val="20"/>
          <w:szCs w:val="20"/>
        </w:rPr>
        <w:t xml:space="preserve">, </w:t>
      </w:r>
      <w:r w:rsidRPr="000444AC">
        <w:rPr>
          <w:rFonts w:ascii="Times New Roman" w:hAnsi="Times New Roman" w:cs="Times New Roman"/>
          <w:sz w:val="20"/>
          <w:szCs w:val="20"/>
        </w:rPr>
        <w:t xml:space="preserve">88 </w:t>
      </w:r>
      <w:r w:rsidRPr="000444AC">
        <w:rPr>
          <w:rFonts w:ascii="Times New Roman" w:hAnsi="Times New Roman" w:cs="Times New Roman"/>
          <w:smallCaps/>
          <w:sz w:val="20"/>
          <w:szCs w:val="20"/>
        </w:rPr>
        <w:t>Geo. L.J.</w:t>
      </w:r>
      <w:r w:rsidRPr="000444AC">
        <w:rPr>
          <w:rFonts w:ascii="Times New Roman" w:hAnsi="Times New Roman" w:cs="Times New Roman"/>
          <w:sz w:val="20"/>
          <w:szCs w:val="20"/>
        </w:rPr>
        <w:t xml:space="preserve"> 2239, 2250 (2000); James D. Hurwitz &amp; William E. </w:t>
      </w:r>
      <w:proofErr w:type="spellStart"/>
      <w:r w:rsidRPr="000444AC">
        <w:rPr>
          <w:rFonts w:ascii="Times New Roman" w:hAnsi="Times New Roman" w:cs="Times New Roman"/>
          <w:sz w:val="20"/>
          <w:szCs w:val="20"/>
        </w:rPr>
        <w:t>Kovacic</w:t>
      </w:r>
      <w:proofErr w:type="spellEnd"/>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Judicial Analysis of Predation: The Emerging Trends</w:t>
      </w:r>
      <w:r w:rsidRPr="000444AC">
        <w:rPr>
          <w:rFonts w:ascii="Times New Roman" w:hAnsi="Times New Roman" w:cs="Times New Roman"/>
          <w:sz w:val="20"/>
          <w:szCs w:val="20"/>
        </w:rPr>
        <w:t xml:space="preserve">, 35 </w:t>
      </w:r>
      <w:proofErr w:type="spellStart"/>
      <w:r w:rsidRPr="000444AC">
        <w:rPr>
          <w:rFonts w:ascii="Times New Roman" w:hAnsi="Times New Roman" w:cs="Times New Roman"/>
          <w:smallCaps/>
          <w:sz w:val="20"/>
          <w:szCs w:val="20"/>
        </w:rPr>
        <w:t>Vand</w:t>
      </w:r>
      <w:proofErr w:type="spellEnd"/>
      <w:r w:rsidRPr="000444AC">
        <w:rPr>
          <w:rFonts w:ascii="Times New Roman" w:hAnsi="Times New Roman" w:cs="Times New Roman"/>
          <w:smallCaps/>
          <w:sz w:val="20"/>
          <w:szCs w:val="20"/>
        </w:rPr>
        <w:t>. L. Rev</w:t>
      </w:r>
      <w:r w:rsidRPr="000444AC">
        <w:rPr>
          <w:rFonts w:ascii="Times New Roman" w:hAnsi="Times New Roman" w:cs="Times New Roman"/>
          <w:sz w:val="20"/>
          <w:szCs w:val="20"/>
        </w:rPr>
        <w:t>. 63, 140-45 (1982).</w:t>
      </w:r>
    </w:p>
  </w:footnote>
  <w:footnote w:id="18">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386 U.S. 685 (1967).</w:t>
      </w:r>
    </w:p>
  </w:footnote>
  <w:footnote w:id="19">
    <w:p w:rsidR="006F1A30" w:rsidRPr="000444AC" w:rsidRDefault="006F1A30" w:rsidP="00E0733F">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Philip E. Areeda &amp; Donald Turner, </w:t>
      </w:r>
      <w:r w:rsidRPr="000444AC">
        <w:rPr>
          <w:rFonts w:ascii="Times New Roman" w:hAnsi="Times New Roman" w:cs="Times New Roman"/>
          <w:i/>
          <w:sz w:val="20"/>
          <w:szCs w:val="20"/>
        </w:rPr>
        <w:t>Predatory Pricing and Related Practices Under Section 2 of The Sherman Act</w:t>
      </w:r>
      <w:r w:rsidRPr="000444AC">
        <w:rPr>
          <w:rFonts w:ascii="Times New Roman" w:hAnsi="Times New Roman" w:cs="Times New Roman"/>
          <w:sz w:val="20"/>
          <w:szCs w:val="20"/>
        </w:rPr>
        <w:t xml:space="preserve">, 88 </w:t>
      </w:r>
      <w:proofErr w:type="spellStart"/>
      <w:r w:rsidRPr="000444AC">
        <w:rPr>
          <w:rFonts w:ascii="Times New Roman" w:hAnsi="Times New Roman" w:cs="Times New Roman"/>
          <w:smallCaps/>
          <w:sz w:val="20"/>
          <w:szCs w:val="20"/>
        </w:rPr>
        <w:t>Harv</w:t>
      </w:r>
      <w:proofErr w:type="spellEnd"/>
      <w:r w:rsidRPr="000444AC">
        <w:rPr>
          <w:rFonts w:ascii="Times New Roman" w:hAnsi="Times New Roman" w:cs="Times New Roman"/>
          <w:smallCaps/>
          <w:sz w:val="20"/>
          <w:szCs w:val="20"/>
        </w:rPr>
        <w:t>. L. Rev</w:t>
      </w:r>
      <w:r w:rsidRPr="000444AC">
        <w:rPr>
          <w:rFonts w:ascii="Times New Roman" w:hAnsi="Times New Roman" w:cs="Times New Roman"/>
          <w:sz w:val="20"/>
          <w:szCs w:val="20"/>
        </w:rPr>
        <w:t>. 697 (1975).</w:t>
      </w:r>
    </w:p>
  </w:footnote>
  <w:footnote w:id="20">
    <w:p w:rsidR="006F1A30" w:rsidRPr="000444AC" w:rsidRDefault="006F1A30" w:rsidP="00E0733F">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McGahee</w:t>
      </w:r>
      <w:proofErr w:type="spellEnd"/>
      <w:r w:rsidRPr="000444AC">
        <w:rPr>
          <w:rFonts w:ascii="Times New Roman" w:hAnsi="Times New Roman" w:cs="Times New Roman"/>
          <w:sz w:val="20"/>
          <w:szCs w:val="20"/>
        </w:rPr>
        <w:t xml:space="preserve"> v. N. Propane Gas Co., 858 F.2d 1487, 1495 (11th Cir. 1988) (describing the Areeda-Turner test as like the Venus de Milo: “much admired and often discussed, but rarely embraced”).</w:t>
      </w:r>
    </w:p>
  </w:footnote>
  <w:footnote w:id="21">
    <w:p w:rsidR="006F1A30" w:rsidRPr="000444AC" w:rsidRDefault="006F1A30" w:rsidP="00E0733F">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Bolton, </w:t>
      </w:r>
      <w:proofErr w:type="spellStart"/>
      <w:r w:rsidRPr="000444AC">
        <w:rPr>
          <w:rFonts w:ascii="Times New Roman" w:hAnsi="Times New Roman" w:cs="Times New Roman"/>
          <w:sz w:val="20"/>
          <w:szCs w:val="20"/>
        </w:rPr>
        <w:t>Brodley</w:t>
      </w:r>
      <w:proofErr w:type="spellEnd"/>
      <w:r w:rsidRPr="000444AC">
        <w:rPr>
          <w:rFonts w:ascii="Times New Roman" w:hAnsi="Times New Roman" w:cs="Times New Roman"/>
          <w:sz w:val="20"/>
          <w:szCs w:val="20"/>
        </w:rPr>
        <w:t xml:space="preserve"> &amp; Riordan, </w:t>
      </w:r>
      <w:r w:rsidRPr="000444AC">
        <w:rPr>
          <w:rFonts w:ascii="Times New Roman" w:hAnsi="Times New Roman" w:cs="Times New Roman"/>
          <w:i/>
          <w:sz w:val="20"/>
          <w:szCs w:val="20"/>
        </w:rPr>
        <w:t xml:space="preserve">supra </w:t>
      </w:r>
      <w:proofErr w:type="gramStart"/>
      <w:r w:rsidRPr="000444AC">
        <w:rPr>
          <w:rFonts w:ascii="Times New Roman" w:hAnsi="Times New Roman" w:cs="Times New Roman"/>
          <w:sz w:val="20"/>
          <w:szCs w:val="20"/>
        </w:rPr>
        <w:t>note  _</w:t>
      </w:r>
      <w:proofErr w:type="gramEnd"/>
      <w:r w:rsidRPr="000444AC">
        <w:rPr>
          <w:rFonts w:ascii="Times New Roman" w:hAnsi="Times New Roman" w:cs="Times New Roman"/>
          <w:sz w:val="20"/>
          <w:szCs w:val="20"/>
        </w:rPr>
        <w:t>_ at 2250-51, 2253.</w:t>
      </w:r>
    </w:p>
  </w:footnote>
  <w:footnote w:id="22">
    <w:p w:rsidR="006F1A30" w:rsidRPr="000444AC" w:rsidRDefault="006F1A30" w:rsidP="00162098">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475 U.S. 574 (1986).</w:t>
      </w:r>
    </w:p>
  </w:footnote>
  <w:footnote w:id="23">
    <w:p w:rsidR="006F1A30" w:rsidRPr="000444AC" w:rsidRDefault="006F1A30" w:rsidP="00162098">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584.</w:t>
      </w:r>
    </w:p>
  </w:footnote>
  <w:footnote w:id="24">
    <w:p w:rsidR="006F1A30" w:rsidRPr="000444AC" w:rsidRDefault="006F1A30" w:rsidP="00162098">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w:t>
      </w:r>
    </w:p>
  </w:footnote>
  <w:footnote w:id="25">
    <w:p w:rsidR="006F1A30" w:rsidRPr="000444AC" w:rsidRDefault="006F1A30" w:rsidP="00162098">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593 (quoting </w:t>
      </w:r>
      <w:r w:rsidRPr="000444AC">
        <w:rPr>
          <w:rFonts w:ascii="Times New Roman" w:eastAsia="Times New Roman" w:hAnsi="Times New Roman" w:cs="Times New Roman"/>
          <w:i/>
          <w:iCs/>
          <w:color w:val="000000"/>
          <w:sz w:val="20"/>
          <w:szCs w:val="20"/>
        </w:rPr>
        <w:t>Monsanto,</w:t>
      </w:r>
      <w:r w:rsidRPr="000444AC">
        <w:rPr>
          <w:rFonts w:ascii="Times New Roman" w:eastAsia="Times New Roman" w:hAnsi="Times New Roman" w:cs="Times New Roman"/>
          <w:color w:val="000000"/>
          <w:sz w:val="20"/>
          <w:szCs w:val="20"/>
        </w:rPr>
        <w:t> 465 U.S., at 762-764). </w:t>
      </w:r>
    </w:p>
  </w:footnote>
  <w:footnote w:id="26">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Brooke Grp. Ltd. v. Brown &amp; Williamson Tobacco Corp., 509 U.S. 209, 226–27 (1993) (“It would be ironic indeed if the standards for predatory pricing liability were so low that antitrust suits themselves became a tool for keeping prices high.”).</w:t>
      </w:r>
    </w:p>
  </w:footnote>
  <w:footnote w:id="27">
    <w:p w:rsidR="006F1A30" w:rsidRPr="000444AC" w:rsidRDefault="006F1A30" w:rsidP="00023D0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Id. at 587.</w:t>
      </w:r>
    </w:p>
  </w:footnote>
  <w:footnote w:id="28">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xml:space="preserve">. at </w:t>
      </w:r>
      <w:r w:rsidRPr="000444AC">
        <w:rPr>
          <w:rFonts w:ascii="Times New Roman" w:eastAsia="Times New Roman" w:hAnsi="Times New Roman" w:cs="Times New Roman"/>
          <w:color w:val="000000"/>
          <w:sz w:val="20"/>
          <w:szCs w:val="20"/>
          <w:shd w:val="clear" w:color="auto" w:fill="FFFFFF"/>
        </w:rPr>
        <w:t>587-88 (citing</w:t>
      </w:r>
      <w:r w:rsidRPr="000444AC">
        <w:rPr>
          <w:rFonts w:ascii="Times New Roman" w:eastAsia="Times New Roman" w:hAnsi="Times New Roman" w:cs="Times New Roman"/>
          <w:color w:val="000000"/>
          <w:sz w:val="20"/>
          <w:szCs w:val="20"/>
        </w:rPr>
        <w:t> </w:t>
      </w:r>
      <w:r w:rsidRPr="000444AC">
        <w:rPr>
          <w:rFonts w:ascii="Times New Roman" w:eastAsia="Times New Roman" w:hAnsi="Times New Roman" w:cs="Times New Roman"/>
          <w:i/>
          <w:iCs/>
          <w:color w:val="000000"/>
          <w:sz w:val="20"/>
          <w:szCs w:val="20"/>
        </w:rPr>
        <w:t>United States v. Diebold, Inc.,</w:t>
      </w:r>
      <w:r w:rsidRPr="000444AC">
        <w:rPr>
          <w:rFonts w:ascii="Times New Roman" w:eastAsia="Times New Roman" w:hAnsi="Times New Roman" w:cs="Times New Roman"/>
          <w:color w:val="000000"/>
          <w:sz w:val="20"/>
          <w:szCs w:val="20"/>
        </w:rPr>
        <w:t> 369 U.S. 654, 655 (1962)).</w:t>
      </w:r>
    </w:p>
  </w:footnote>
  <w:footnote w:id="29">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Id. at 588.</w:t>
      </w:r>
    </w:p>
  </w:footnote>
  <w:footnote w:id="30">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Id. at 596.</w:t>
      </w:r>
    </w:p>
  </w:footnote>
  <w:footnote w:id="31">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596-97.</w:t>
      </w:r>
    </w:p>
  </w:footnote>
  <w:footnote w:id="32">
    <w:p w:rsidR="006F1A30" w:rsidRPr="000444AC" w:rsidRDefault="006F1A30" w:rsidP="00023D0C">
      <w:pPr>
        <w:pStyle w:val="a3"/>
        <w:ind w:left="-360" w:right="-396" w:firstLine="360"/>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color w:val="000000"/>
          <w:sz w:val="20"/>
          <w:szCs w:val="20"/>
        </w:rPr>
        <w:t xml:space="preserve">475 U.S. at 588-89 (For the </w:t>
      </w:r>
      <w:r w:rsidRPr="000444AC">
        <w:rPr>
          <w:rFonts w:ascii="Times New Roman" w:hAnsi="Times New Roman" w:cs="Times New Roman"/>
          <w:sz w:val="20"/>
          <w:szCs w:val="20"/>
        </w:rPr>
        <w:t>“investment to be rational, the conspirators must have a reasonable expectation of recovering, in the form of later monopoly profits, more than the losses suffered.”</w:t>
      </w:r>
      <w:r w:rsidRPr="000444AC">
        <w:rPr>
          <w:rFonts w:ascii="Times New Roman" w:hAnsi="Times New Roman" w:cs="Times New Roman"/>
          <w:color w:val="000000"/>
          <w:sz w:val="20"/>
          <w:szCs w:val="20"/>
        </w:rPr>
        <w:t>).</w:t>
      </w:r>
    </w:p>
  </w:footnote>
  <w:footnote w:id="33">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588 (“A predatory pricing conspiracy is by nature speculative. Any agreement to price below the competitive level requires the conspirators to forgo profits that free competition would offer them.”).</w:t>
      </w:r>
    </w:p>
  </w:footnote>
  <w:footnote w:id="34">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Id. at 589.</w:t>
      </w:r>
    </w:p>
  </w:footnote>
  <w:footnote w:id="35">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Id. at 589.</w:t>
      </w:r>
    </w:p>
  </w:footnote>
  <w:footnote w:id="36">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xml:space="preserve">. at 589 (quoting Easterbrook, </w:t>
      </w:r>
      <w:r w:rsidRPr="000444AC">
        <w:rPr>
          <w:rFonts w:ascii="Times New Roman" w:eastAsia="Times New Roman" w:hAnsi="Times New Roman" w:cs="Times New Roman"/>
          <w:i/>
          <w:color w:val="000000"/>
          <w:sz w:val="20"/>
          <w:szCs w:val="20"/>
        </w:rPr>
        <w:t>Predatory Strategies and Counterstrategies</w:t>
      </w:r>
      <w:r w:rsidRPr="000444AC">
        <w:rPr>
          <w:rFonts w:ascii="Times New Roman" w:eastAsia="Times New Roman" w:hAnsi="Times New Roman" w:cs="Times New Roman"/>
          <w:color w:val="000000"/>
          <w:sz w:val="20"/>
          <w:szCs w:val="20"/>
        </w:rPr>
        <w:t xml:space="preserve">, 48 </w:t>
      </w:r>
      <w:r w:rsidRPr="000444AC">
        <w:rPr>
          <w:rFonts w:ascii="Times New Roman" w:eastAsia="Times New Roman" w:hAnsi="Times New Roman" w:cs="Times New Roman"/>
          <w:smallCaps/>
          <w:color w:val="000000"/>
          <w:sz w:val="20"/>
          <w:szCs w:val="20"/>
        </w:rPr>
        <w:t>U. Chi. L. Rev.</w:t>
      </w:r>
      <w:r w:rsidRPr="000444AC">
        <w:rPr>
          <w:rFonts w:ascii="Times New Roman" w:eastAsia="Times New Roman" w:hAnsi="Times New Roman" w:cs="Times New Roman"/>
          <w:color w:val="000000"/>
          <w:sz w:val="20"/>
          <w:szCs w:val="20"/>
        </w:rPr>
        <w:t xml:space="preserve"> 263, 268 (1981)).</w:t>
      </w:r>
    </w:p>
  </w:footnote>
  <w:footnote w:id="37">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Id. at 589-90 (citing Bork, </w:t>
      </w:r>
      <w:r w:rsidRPr="000444AC">
        <w:rPr>
          <w:rFonts w:ascii="Times New Roman" w:eastAsia="Times New Roman" w:hAnsi="Times New Roman" w:cs="Times New Roman"/>
          <w:i/>
          <w:iCs/>
          <w:color w:val="000000"/>
          <w:sz w:val="20"/>
          <w:szCs w:val="20"/>
        </w:rPr>
        <w:t>supra,</w:t>
      </w:r>
      <w:r w:rsidRPr="000444AC">
        <w:rPr>
          <w:rFonts w:ascii="Times New Roman" w:eastAsia="Times New Roman" w:hAnsi="Times New Roman" w:cs="Times New Roman"/>
          <w:color w:val="000000"/>
          <w:sz w:val="20"/>
          <w:szCs w:val="20"/>
        </w:rPr>
        <w:t xml:space="preserve"> at 149-155; Areeda &amp; Turner, Predatory Pricing and Related Practices Under Section 2 of the Sherman Act, 88 </w:t>
      </w:r>
      <w:proofErr w:type="spellStart"/>
      <w:r w:rsidRPr="000444AC">
        <w:rPr>
          <w:rFonts w:ascii="Times New Roman" w:eastAsia="Times New Roman" w:hAnsi="Times New Roman" w:cs="Times New Roman"/>
          <w:color w:val="000000"/>
          <w:sz w:val="20"/>
          <w:szCs w:val="20"/>
        </w:rPr>
        <w:t>Harv.L.Rev</w:t>
      </w:r>
      <w:proofErr w:type="spellEnd"/>
      <w:r w:rsidRPr="000444AC">
        <w:rPr>
          <w:rFonts w:ascii="Times New Roman" w:eastAsia="Times New Roman" w:hAnsi="Times New Roman" w:cs="Times New Roman"/>
          <w:color w:val="000000"/>
          <w:sz w:val="20"/>
          <w:szCs w:val="20"/>
        </w:rPr>
        <w:t>. 697, 699 (1975); Easterbrook, </w:t>
      </w:r>
      <w:r w:rsidRPr="000444AC">
        <w:rPr>
          <w:rFonts w:ascii="Times New Roman" w:eastAsia="Times New Roman" w:hAnsi="Times New Roman" w:cs="Times New Roman"/>
          <w:i/>
          <w:iCs/>
          <w:color w:val="000000"/>
          <w:sz w:val="20"/>
          <w:szCs w:val="20"/>
        </w:rPr>
        <w:t>supra;</w:t>
      </w:r>
      <w:r w:rsidRPr="000444AC">
        <w:rPr>
          <w:rFonts w:ascii="Times New Roman" w:eastAsia="Times New Roman" w:hAnsi="Times New Roman" w:cs="Times New Roman"/>
          <w:color w:val="000000"/>
          <w:sz w:val="20"/>
          <w:szCs w:val="20"/>
        </w:rPr>
        <w:t> Koller, The Myth of Predatory Pricing-An Empirical Study,  </w:t>
      </w:r>
      <w:r w:rsidRPr="000444AC">
        <w:rPr>
          <w:rFonts w:ascii="Times New Roman" w:eastAsia="Times New Roman" w:hAnsi="Times New Roman" w:cs="Times New Roman"/>
          <w:color w:val="000000"/>
          <w:sz w:val="20"/>
          <w:szCs w:val="20"/>
          <w:shd w:val="clear" w:color="auto" w:fill="FFFFFF"/>
        </w:rPr>
        <w:t>*590</w:t>
      </w:r>
      <w:r w:rsidRPr="000444AC">
        <w:rPr>
          <w:rFonts w:ascii="Times New Roman" w:eastAsia="Times New Roman" w:hAnsi="Times New Roman" w:cs="Times New Roman"/>
          <w:color w:val="000000"/>
          <w:sz w:val="20"/>
          <w:szCs w:val="20"/>
        </w:rPr>
        <w:t xml:space="preserve"> 4 Antitrust Law &amp; </w:t>
      </w:r>
      <w:proofErr w:type="spellStart"/>
      <w:r w:rsidRPr="000444AC">
        <w:rPr>
          <w:rFonts w:ascii="Times New Roman" w:eastAsia="Times New Roman" w:hAnsi="Times New Roman" w:cs="Times New Roman"/>
          <w:color w:val="000000"/>
          <w:sz w:val="20"/>
          <w:szCs w:val="20"/>
        </w:rPr>
        <w:t>Econ.Rev</w:t>
      </w:r>
      <w:proofErr w:type="spellEnd"/>
      <w:r w:rsidRPr="000444AC">
        <w:rPr>
          <w:rFonts w:ascii="Times New Roman" w:eastAsia="Times New Roman" w:hAnsi="Times New Roman" w:cs="Times New Roman"/>
          <w:color w:val="000000"/>
          <w:sz w:val="20"/>
          <w:szCs w:val="20"/>
        </w:rPr>
        <w:t>. 105 (1971); McGee, Predatory Price Cutting: The </w:t>
      </w:r>
      <w:r w:rsidRPr="000444AC">
        <w:rPr>
          <w:rFonts w:ascii="Times New Roman" w:eastAsia="Times New Roman" w:hAnsi="Times New Roman" w:cs="Times New Roman"/>
          <w:i/>
          <w:iCs/>
          <w:color w:val="000000"/>
          <w:sz w:val="20"/>
          <w:szCs w:val="20"/>
        </w:rPr>
        <w:t>Standard Oil (N.J.) Case,</w:t>
      </w:r>
      <w:r w:rsidRPr="000444AC">
        <w:rPr>
          <w:rFonts w:ascii="Times New Roman" w:eastAsia="Times New Roman" w:hAnsi="Times New Roman" w:cs="Times New Roman"/>
          <w:color w:val="000000"/>
          <w:sz w:val="20"/>
          <w:szCs w:val="20"/>
        </w:rPr>
        <w:t xml:space="preserve"> 1 </w:t>
      </w:r>
      <w:proofErr w:type="spellStart"/>
      <w:r w:rsidRPr="000444AC">
        <w:rPr>
          <w:rFonts w:ascii="Times New Roman" w:eastAsia="Times New Roman" w:hAnsi="Times New Roman" w:cs="Times New Roman"/>
          <w:color w:val="000000"/>
          <w:sz w:val="20"/>
          <w:szCs w:val="20"/>
        </w:rPr>
        <w:t>J.Law</w:t>
      </w:r>
      <w:proofErr w:type="spellEnd"/>
      <w:r w:rsidRPr="000444AC">
        <w:rPr>
          <w:rFonts w:ascii="Times New Roman" w:eastAsia="Times New Roman" w:hAnsi="Times New Roman" w:cs="Times New Roman"/>
          <w:color w:val="000000"/>
          <w:sz w:val="20"/>
          <w:szCs w:val="20"/>
        </w:rPr>
        <w:t xml:space="preserve"> &amp; Econ. 137 (1958); McGee, Predatory Pricing Revisited, 23 </w:t>
      </w:r>
      <w:proofErr w:type="spellStart"/>
      <w:r w:rsidRPr="000444AC">
        <w:rPr>
          <w:rFonts w:ascii="Times New Roman" w:eastAsia="Times New Roman" w:hAnsi="Times New Roman" w:cs="Times New Roman"/>
          <w:color w:val="000000"/>
          <w:sz w:val="20"/>
          <w:szCs w:val="20"/>
        </w:rPr>
        <w:t>J.Law</w:t>
      </w:r>
      <w:proofErr w:type="spellEnd"/>
      <w:r w:rsidRPr="000444AC">
        <w:rPr>
          <w:rFonts w:ascii="Times New Roman" w:eastAsia="Times New Roman" w:hAnsi="Times New Roman" w:cs="Times New Roman"/>
          <w:color w:val="000000"/>
          <w:sz w:val="20"/>
          <w:szCs w:val="20"/>
        </w:rPr>
        <w:t xml:space="preserve"> &amp; Econ., at 292-294).</w:t>
      </w:r>
    </w:p>
  </w:footnote>
  <w:footnote w:id="38">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Matsushita at 597.</w:t>
      </w:r>
    </w:p>
  </w:footnote>
  <w:footnote w:id="39">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594.</w:t>
      </w:r>
    </w:p>
  </w:footnote>
  <w:footnote w:id="40">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Id. at 597-98.</w:t>
      </w:r>
    </w:p>
  </w:footnote>
  <w:footnote w:id="41">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bCs/>
          <w:color w:val="000000"/>
          <w:sz w:val="20"/>
          <w:szCs w:val="20"/>
          <w:shd w:val="clear" w:color="auto" w:fill="FFFFFF"/>
        </w:rPr>
        <w:t>The dissent characterized the majority’s language as “</w:t>
      </w:r>
      <w:r w:rsidRPr="000444AC">
        <w:rPr>
          <w:rFonts w:ascii="Times New Roman" w:eastAsia="Times New Roman" w:hAnsi="Times New Roman" w:cs="Times New Roman"/>
          <w:color w:val="000000"/>
          <w:sz w:val="20"/>
          <w:szCs w:val="20"/>
        </w:rPr>
        <w:t>unnecessarily broad and confusing,</w:t>
      </w:r>
      <w:r w:rsidRPr="000444AC">
        <w:rPr>
          <w:rFonts w:ascii="Times New Roman" w:eastAsia="Times New Roman" w:hAnsi="Times New Roman" w:cs="Times New Roman"/>
          <w:bCs/>
          <w:color w:val="000000"/>
          <w:sz w:val="20"/>
          <w:szCs w:val="20"/>
          <w:shd w:val="clear" w:color="auto" w:fill="FFFFFF"/>
        </w:rPr>
        <w:t>” and noted that “[</w:t>
      </w:r>
      <w:proofErr w:type="spellStart"/>
      <w:r w:rsidRPr="000444AC">
        <w:rPr>
          <w:rFonts w:ascii="Times New Roman" w:eastAsia="Times New Roman" w:hAnsi="Times New Roman" w:cs="Times New Roman"/>
          <w:bCs/>
          <w:color w:val="000000"/>
          <w:sz w:val="20"/>
          <w:szCs w:val="20"/>
          <w:shd w:val="clear" w:color="auto" w:fill="FFFFFF"/>
        </w:rPr>
        <w:t>i</w:t>
      </w:r>
      <w:proofErr w:type="spellEnd"/>
      <w:r w:rsidRPr="000444AC">
        <w:rPr>
          <w:rFonts w:ascii="Times New Roman" w:eastAsia="Times New Roman" w:hAnsi="Times New Roman" w:cs="Times New Roman"/>
          <w:color w:val="000000"/>
          <w:sz w:val="20"/>
          <w:szCs w:val="20"/>
        </w:rPr>
        <w:t>]f the Court intends to give every judge hearing a motion for summary judgment in an antitrust case the job of determining if the evidence makes the inference of conspiracy more probable than not, it is overturning settled law.” Id. at 601 (White, J., dissenting).</w:t>
      </w:r>
    </w:p>
  </w:footnote>
  <w:footnote w:id="42">
    <w:p w:rsidR="006F1A30" w:rsidRPr="000444AC" w:rsidRDefault="006F1A30" w:rsidP="00910313">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e.g</w:t>
      </w:r>
      <w:r w:rsidRPr="000444AC">
        <w:rPr>
          <w:rFonts w:ascii="Times New Roman" w:hAnsi="Times New Roman" w:cs="Times New Roman"/>
          <w:sz w:val="20"/>
          <w:szCs w:val="20"/>
        </w:rPr>
        <w:t xml:space="preserve">., U.S. v. AMR Corp., 335 F.3d 1109 (10th Cir. 2003); WorldCom, Inc. v. F.C.C., 238 F.3d 449 (D.C. Cir. 2001); Stearns Airport Equipment Co., Inc. v. FMC Corp., 170 F.3d 518 (5th Cir. 1999); </w:t>
      </w:r>
      <w:proofErr w:type="spellStart"/>
      <w:r w:rsidRPr="000444AC">
        <w:rPr>
          <w:rFonts w:ascii="Times New Roman" w:hAnsi="Times New Roman" w:cs="Times New Roman"/>
          <w:sz w:val="20"/>
          <w:szCs w:val="20"/>
        </w:rPr>
        <w:t>Advo</w:t>
      </w:r>
      <w:proofErr w:type="spellEnd"/>
      <w:r w:rsidRPr="000444AC">
        <w:rPr>
          <w:rFonts w:ascii="Times New Roman" w:hAnsi="Times New Roman" w:cs="Times New Roman"/>
          <w:sz w:val="20"/>
          <w:szCs w:val="20"/>
        </w:rPr>
        <w:t xml:space="preserve">, Inc. v. Philadelphia Newspapers, Inc., 51 F.3d 1191 (3rd Cir. 1995); Stitt Spark Plug Co. v. Champion Spark Plug Co., 840 F.2d 1253 (5th Cir. 1988); Mathias v. Daily News, L.P., 152 F.Supp.2d 465 (S.D.N.Y. 2001); </w:t>
      </w:r>
      <w:proofErr w:type="spellStart"/>
      <w:r w:rsidRPr="000444AC">
        <w:rPr>
          <w:rFonts w:ascii="Times New Roman" w:hAnsi="Times New Roman" w:cs="Times New Roman"/>
          <w:sz w:val="20"/>
          <w:szCs w:val="20"/>
        </w:rPr>
        <w:t>Servicetrends</w:t>
      </w:r>
      <w:proofErr w:type="spellEnd"/>
      <w:r w:rsidRPr="000444AC">
        <w:rPr>
          <w:rFonts w:ascii="Times New Roman" w:hAnsi="Times New Roman" w:cs="Times New Roman"/>
          <w:sz w:val="20"/>
          <w:szCs w:val="20"/>
        </w:rPr>
        <w:t xml:space="preserve">, Inc. v. Siemens Medical Systems, Inc., 870 </w:t>
      </w:r>
      <w:proofErr w:type="spellStart"/>
      <w:r w:rsidRPr="000444AC">
        <w:rPr>
          <w:rFonts w:ascii="Times New Roman" w:hAnsi="Times New Roman" w:cs="Times New Roman"/>
          <w:sz w:val="20"/>
          <w:szCs w:val="20"/>
        </w:rPr>
        <w:t>F.Supp</w:t>
      </w:r>
      <w:proofErr w:type="spellEnd"/>
      <w:r w:rsidRPr="000444AC">
        <w:rPr>
          <w:rFonts w:ascii="Times New Roman" w:hAnsi="Times New Roman" w:cs="Times New Roman"/>
          <w:sz w:val="20"/>
          <w:szCs w:val="20"/>
        </w:rPr>
        <w:t>. 1042 (</w:t>
      </w:r>
      <w:proofErr w:type="spellStart"/>
      <w:r w:rsidRPr="000444AC">
        <w:rPr>
          <w:rFonts w:ascii="Times New Roman" w:hAnsi="Times New Roman" w:cs="Times New Roman"/>
          <w:sz w:val="20"/>
          <w:szCs w:val="20"/>
        </w:rPr>
        <w:t>N.D.Ga</w:t>
      </w:r>
      <w:proofErr w:type="spellEnd"/>
      <w:r w:rsidRPr="000444AC">
        <w:rPr>
          <w:rFonts w:ascii="Times New Roman" w:hAnsi="Times New Roman" w:cs="Times New Roman"/>
          <w:sz w:val="20"/>
          <w:szCs w:val="20"/>
        </w:rPr>
        <w:t>. 1994); National Benefit Administrators, Inc. v. Blue Cross and Blue Shield of Alabama, Inc., 1989 WL 146413, 1989-2 Trade Cases P 68,831 (M.D. Ala. 1989).</w:t>
      </w:r>
    </w:p>
  </w:footnote>
  <w:footnote w:id="43">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Clamp-All Corp. v. Cast Iron Soil Pipe Inst., No. CIV. A. 84-1325-Z, 1987 WL 9760, at *4 (D. Mass. Mar. 31, 1987), aff'd, 851 F.2d 478 (1st Cir. 1988).</w:t>
      </w:r>
    </w:p>
  </w:footnote>
  <w:footnote w:id="44">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color w:val="000000"/>
          <w:sz w:val="20"/>
          <w:szCs w:val="20"/>
        </w:rPr>
        <w:t>479 U.S. 104 (1986).</w:t>
      </w:r>
    </w:p>
  </w:footnote>
  <w:footnote w:id="45">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108.</w:t>
      </w:r>
    </w:p>
  </w:footnote>
  <w:footnote w:id="46">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109-11.</w:t>
      </w:r>
    </w:p>
  </w:footnote>
  <w:footnote w:id="47">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116.</w:t>
      </w:r>
    </w:p>
  </w:footnote>
  <w:footnote w:id="48">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117-18. See also id. at 118 (“In contrast to price cutting aimed simply at increasing market share, predatory pricing has as its aim the elimination of competition.”).</w:t>
      </w:r>
    </w:p>
  </w:footnote>
  <w:footnote w:id="49">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119.</w:t>
      </w:r>
    </w:p>
  </w:footnote>
  <w:footnote w:id="50">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119 n.15.</w:t>
      </w:r>
    </w:p>
  </w:footnote>
  <w:footnote w:id="51">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121.</w:t>
      </w:r>
    </w:p>
  </w:footnote>
  <w:footnote w:id="52">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122.</w:t>
      </w:r>
    </w:p>
  </w:footnote>
  <w:footnote w:id="53">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122 n.17 (quoting </w:t>
      </w:r>
      <w:r w:rsidRPr="000444AC">
        <w:rPr>
          <w:rFonts w:ascii="Times New Roman" w:hAnsi="Times New Roman" w:cs="Times New Roman"/>
          <w:i/>
          <w:iCs/>
          <w:color w:val="000000"/>
          <w:sz w:val="20"/>
          <w:szCs w:val="20"/>
        </w:rPr>
        <w:t>Matsushita</w:t>
      </w:r>
      <w:r w:rsidRPr="000444AC">
        <w:rPr>
          <w:rFonts w:ascii="Times New Roman" w:hAnsi="Times New Roman" w:cs="Times New Roman"/>
          <w:color w:val="000000"/>
          <w:sz w:val="20"/>
          <w:szCs w:val="20"/>
        </w:rPr>
        <w:t>, 475 U.S., at 587).</w:t>
      </w:r>
    </w:p>
  </w:footnote>
  <w:footnote w:id="54">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iCs/>
          <w:color w:val="000000"/>
          <w:sz w:val="20"/>
          <w:szCs w:val="20"/>
        </w:rPr>
        <w:t>Id</w:t>
      </w:r>
      <w:r w:rsidRPr="000444AC">
        <w:rPr>
          <w:rFonts w:ascii="Times New Roman" w:hAnsi="Times New Roman" w:cs="Times New Roman"/>
          <w:color w:val="000000"/>
          <w:sz w:val="20"/>
          <w:szCs w:val="20"/>
        </w:rPr>
        <w:t>. at 121.</w:t>
      </w:r>
    </w:p>
  </w:footnote>
  <w:footnote w:id="55">
    <w:p w:rsidR="006F1A30" w:rsidRPr="000444AC" w:rsidRDefault="006F1A30" w:rsidP="007A34B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Id</w:t>
      </w:r>
      <w:r w:rsidRPr="000444AC">
        <w:rPr>
          <w:rFonts w:ascii="Times New Roman" w:hAnsi="Times New Roman" w:cs="Times New Roman"/>
          <w:color w:val="000000"/>
          <w:sz w:val="20"/>
          <w:szCs w:val="20"/>
        </w:rPr>
        <w:t>. at 122 n.17 (“Moreover, the mechanism by which a firm engages in predatory pricing-lowering prices-is the same mechanism by which a firm stimulates competition…”).</w:t>
      </w:r>
    </w:p>
  </w:footnote>
  <w:footnote w:id="56">
    <w:p w:rsidR="006F1A30" w:rsidRPr="000444AC" w:rsidRDefault="006F1A30" w:rsidP="001C7777">
      <w:pPr>
        <w:pStyle w:val="a3"/>
        <w:ind w:left="-360" w:right="-396" w:firstLine="360"/>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509 U.S. 209 (1993).</w:t>
      </w:r>
    </w:p>
  </w:footnote>
  <w:footnote w:id="57">
    <w:p w:rsidR="006F1A30" w:rsidRPr="000444AC" w:rsidRDefault="006F1A30" w:rsidP="001C7777">
      <w:pPr>
        <w:pStyle w:val="a3"/>
        <w:ind w:left="-360" w:right="-396" w:firstLine="360"/>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xml:space="preserve"> at 217 (Liggett claimed that B&amp;W’s predatory pricing was “intended to pressure it to raise its list prices on generic cigarettes, so that the percentage price difference between generic and branded cigarettes would narrow. … The resulting reduction in the list price gap … would restrain the growth of the economy segment and preserve Brown &amp; Williamson’s </w:t>
      </w:r>
      <w:proofErr w:type="spellStart"/>
      <w:r w:rsidRPr="000444AC">
        <w:rPr>
          <w:rFonts w:ascii="Times New Roman" w:hAnsi="Times New Roman" w:cs="Times New Roman"/>
          <w:sz w:val="20"/>
          <w:szCs w:val="20"/>
        </w:rPr>
        <w:t>supracompetitive</w:t>
      </w:r>
      <w:proofErr w:type="spellEnd"/>
      <w:r w:rsidRPr="000444AC">
        <w:rPr>
          <w:rFonts w:ascii="Times New Roman" w:hAnsi="Times New Roman" w:cs="Times New Roman"/>
          <w:sz w:val="20"/>
          <w:szCs w:val="20"/>
        </w:rPr>
        <w:t xml:space="preserve"> profits on its branded cigarettes.”).</w:t>
      </w:r>
    </w:p>
  </w:footnote>
  <w:footnote w:id="58">
    <w:p w:rsidR="006F1A30" w:rsidRPr="000444AC" w:rsidRDefault="006F1A30" w:rsidP="001C777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w:t>
      </w:r>
    </w:p>
  </w:footnote>
  <w:footnote w:id="59">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60">
    <w:p w:rsidR="006F1A30" w:rsidRPr="000444AC" w:rsidRDefault="006F1A30" w:rsidP="002F73D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 xml:space="preserve">Areeda &amp; Hovenkamp,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note __ at ¶724.</w:t>
      </w:r>
    </w:p>
  </w:footnote>
  <w:footnote w:id="61">
    <w:p w:rsidR="006F1A30" w:rsidRPr="000444AC" w:rsidRDefault="006F1A30" w:rsidP="00625B93">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Benz,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 xml:space="preserve">note __ at 741 (noting that is “virtually impossible to defeat a motion for summary judgment” by a predatory pricing defendant); </w:t>
      </w:r>
      <w:r w:rsidRPr="000444AC">
        <w:rPr>
          <w:rFonts w:ascii="Times New Roman" w:hAnsi="Times New Roman" w:cs="Times New Roman"/>
          <w:smallCaps/>
          <w:sz w:val="20"/>
          <w:szCs w:val="20"/>
        </w:rPr>
        <w:t xml:space="preserve">Areeda &amp; Hovenkamp,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note __ at ¶726 (“By the stringency of its demand for proof of recoupment, the Court cleared the way for summary rejection of most predatory pricing claims.”).</w:t>
      </w:r>
    </w:p>
  </w:footnote>
  <w:footnote w:id="62">
    <w:p w:rsidR="006F1A30" w:rsidRPr="000444AC" w:rsidRDefault="006F1A30" w:rsidP="002F73D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63">
    <w:p w:rsidR="006F1A30" w:rsidRPr="000444AC" w:rsidRDefault="006F1A30" w:rsidP="002F73D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 xml:space="preserve">See </w:t>
      </w:r>
      <w:r w:rsidRPr="000444AC">
        <w:rPr>
          <w:rFonts w:ascii="Times New Roman" w:hAnsi="Times New Roman" w:cs="Times New Roman"/>
          <w:smallCaps/>
          <w:sz w:val="20"/>
          <w:szCs w:val="20"/>
        </w:rPr>
        <w:t>Hovenkamp (“Antitrust Enterprise”),</w:t>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note __ at 161 (“[W]</w:t>
      </w:r>
      <w:proofErr w:type="spellStart"/>
      <w:r w:rsidRPr="000444AC">
        <w:rPr>
          <w:rFonts w:ascii="Times New Roman" w:hAnsi="Times New Roman" w:cs="Times New Roman"/>
          <w:sz w:val="20"/>
          <w:szCs w:val="20"/>
        </w:rPr>
        <w:t>hile</w:t>
      </w:r>
      <w:proofErr w:type="spellEnd"/>
      <w:r w:rsidRPr="000444AC">
        <w:rPr>
          <w:rFonts w:ascii="Times New Roman" w:hAnsi="Times New Roman" w:cs="Times New Roman"/>
          <w:sz w:val="20"/>
          <w:szCs w:val="20"/>
        </w:rPr>
        <w:t xml:space="preserve"> an overly ag</w:t>
      </w:r>
      <w:r w:rsidRPr="000444AC">
        <w:rPr>
          <w:rFonts w:ascii="Times New Roman" w:hAnsi="Times New Roman" w:cs="Times New Roman"/>
          <w:sz w:val="20"/>
          <w:szCs w:val="20"/>
        </w:rPr>
        <w:softHyphen/>
        <w:t>gressive predatory pricing law deters some legitimate conduct, complete nonenforcement encourages anticompetitive conduct.”).</w:t>
      </w:r>
    </w:p>
  </w:footnote>
  <w:footnote w:id="64">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Brooke Grp. Ltd. v. Brown &amp; Williamson Tobacco Corp., 509 U.S. 209, 224 (1993).</w:t>
      </w:r>
    </w:p>
  </w:footnote>
  <w:footnote w:id="65">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Brooke Grp., 509 U.S. at 226 (internal quotations and citation omitted).</w:t>
      </w:r>
    </w:p>
  </w:footnote>
  <w:footnote w:id="66">
    <w:p w:rsidR="006F1A30" w:rsidRPr="000444AC" w:rsidRDefault="006F1A30" w:rsidP="006E7EE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bCs/>
          <w:sz w:val="20"/>
          <w:szCs w:val="20"/>
        </w:rPr>
        <w:t xml:space="preserve">Bayou Bottling, Inc. v. </w:t>
      </w:r>
      <w:proofErr w:type="spellStart"/>
      <w:r w:rsidRPr="000444AC">
        <w:rPr>
          <w:rFonts w:ascii="Times New Roman" w:hAnsi="Times New Roman" w:cs="Times New Roman"/>
          <w:bCs/>
          <w:sz w:val="20"/>
          <w:szCs w:val="20"/>
        </w:rPr>
        <w:t>Dr</w:t>
      </w:r>
      <w:proofErr w:type="spellEnd"/>
      <w:r w:rsidRPr="000444AC">
        <w:rPr>
          <w:rFonts w:ascii="Times New Roman" w:hAnsi="Times New Roman" w:cs="Times New Roman"/>
          <w:bCs/>
          <w:sz w:val="20"/>
          <w:szCs w:val="20"/>
        </w:rPr>
        <w:t xml:space="preserve"> Pepper Co., 725 F.2d 300, 304 (5th Cir. 1984) (quoting </w:t>
      </w:r>
      <w:r w:rsidRPr="000444AC">
        <w:rPr>
          <w:rFonts w:ascii="Times New Roman" w:hAnsi="Times New Roman" w:cs="Times New Roman"/>
          <w:i/>
          <w:iCs/>
          <w:sz w:val="20"/>
          <w:szCs w:val="20"/>
        </w:rPr>
        <w:t>Northeastern Telephone Co. v. American Telephone &amp; Telegraph Co.,</w:t>
      </w:r>
      <w:r w:rsidRPr="000444AC">
        <w:rPr>
          <w:rFonts w:ascii="Times New Roman" w:hAnsi="Times New Roman" w:cs="Times New Roman"/>
          <w:sz w:val="20"/>
          <w:szCs w:val="20"/>
        </w:rPr>
        <w:t xml:space="preserve"> 651 F.2d 76, 88 (2d Cir. 1981</w:t>
      </w:r>
      <w:r w:rsidRPr="000444AC">
        <w:rPr>
          <w:rFonts w:ascii="Times New Roman" w:hAnsi="Times New Roman" w:cs="Times New Roman"/>
          <w:bCs/>
          <w:sz w:val="20"/>
          <w:szCs w:val="20"/>
        </w:rPr>
        <w:t xml:space="preserve">); </w:t>
      </w:r>
      <w:proofErr w:type="spellStart"/>
      <w:r w:rsidRPr="000444AC">
        <w:rPr>
          <w:rFonts w:ascii="Times New Roman" w:hAnsi="Times New Roman" w:cs="Times New Roman"/>
          <w:sz w:val="20"/>
          <w:szCs w:val="20"/>
        </w:rPr>
        <w:t>Advo</w:t>
      </w:r>
      <w:proofErr w:type="spellEnd"/>
      <w:r w:rsidRPr="000444AC">
        <w:rPr>
          <w:rFonts w:ascii="Times New Roman" w:hAnsi="Times New Roman" w:cs="Times New Roman"/>
          <w:sz w:val="20"/>
          <w:szCs w:val="20"/>
        </w:rPr>
        <w:t xml:space="preserve">, Inc. v. Philadelphia Newspapers, Inc., 51 F.3d 1191, 1197 (3rd Cir. 1995) (noting “danger of chilling competition”); United States v. AMR Corp., 335 F.3d 1109, 1114 (10th Cir. 2003) (“Chicago scholars argued that lowering prices could only be pro-competitive and any prohibition on such conduct could ultimately deter firms from engaging in conduct that is socially beneficial.”) (citing Richard J. Pierce, Jr., </w:t>
      </w:r>
      <w:r w:rsidRPr="000444AC">
        <w:rPr>
          <w:rFonts w:ascii="Times New Roman" w:hAnsi="Times New Roman" w:cs="Times New Roman"/>
          <w:i/>
          <w:sz w:val="20"/>
          <w:szCs w:val="20"/>
        </w:rPr>
        <w:t xml:space="preserve">Is Post-Chicago Ready for the Courtroom? A Response to Professor </w:t>
      </w:r>
      <w:bookmarkStart w:id="16" w:name="SDU_20"/>
      <w:bookmarkEnd w:id="16"/>
      <w:r w:rsidRPr="000444AC">
        <w:rPr>
          <w:rFonts w:ascii="Times New Roman" w:hAnsi="Times New Roman" w:cs="Times New Roman"/>
          <w:i/>
          <w:sz w:val="20"/>
          <w:szCs w:val="20"/>
        </w:rPr>
        <w:t>Brennan</w:t>
      </w:r>
      <w:r w:rsidRPr="000444AC">
        <w:rPr>
          <w:rFonts w:ascii="Times New Roman" w:hAnsi="Times New Roman" w:cs="Times New Roman"/>
          <w:sz w:val="20"/>
          <w:szCs w:val="20"/>
        </w:rPr>
        <w:t xml:space="preserve">, 69 </w:t>
      </w:r>
      <w:r w:rsidRPr="000444AC">
        <w:rPr>
          <w:rFonts w:ascii="Times New Roman" w:hAnsi="Times New Roman" w:cs="Times New Roman"/>
          <w:smallCaps/>
          <w:sz w:val="20"/>
          <w:szCs w:val="20"/>
        </w:rPr>
        <w:t>Geo. Wash. L. Rev</w:t>
      </w:r>
      <w:r w:rsidRPr="000444AC">
        <w:rPr>
          <w:rFonts w:ascii="Times New Roman" w:hAnsi="Times New Roman" w:cs="Times New Roman"/>
          <w:sz w:val="20"/>
          <w:szCs w:val="20"/>
        </w:rPr>
        <w:t>. 1103, 1106 (2001))</w:t>
      </w:r>
      <w:r w:rsidRPr="000444AC">
        <w:rPr>
          <w:rFonts w:ascii="Times New Roman" w:hAnsi="Times New Roman" w:cs="Times New Roman"/>
          <w:bCs/>
          <w:sz w:val="20"/>
          <w:szCs w:val="20"/>
        </w:rPr>
        <w:t xml:space="preserve">. See also </w:t>
      </w:r>
      <w:r w:rsidRPr="000444AC">
        <w:rPr>
          <w:rFonts w:ascii="Times New Roman" w:hAnsi="Times New Roman" w:cs="Times New Roman"/>
          <w:sz w:val="20"/>
          <w:szCs w:val="20"/>
        </w:rPr>
        <w:t xml:space="preserve">Tri-State Rubbish Inc. v. Waste </w:t>
      </w:r>
      <w:proofErr w:type="spellStart"/>
      <w:r w:rsidRPr="000444AC">
        <w:rPr>
          <w:rFonts w:ascii="Times New Roman" w:hAnsi="Times New Roman" w:cs="Times New Roman"/>
          <w:sz w:val="20"/>
          <w:szCs w:val="20"/>
        </w:rPr>
        <w:t>Mgmt</w:t>
      </w:r>
      <w:proofErr w:type="spellEnd"/>
      <w:r w:rsidRPr="000444AC">
        <w:rPr>
          <w:rFonts w:ascii="Times New Roman" w:hAnsi="Times New Roman" w:cs="Times New Roman"/>
          <w:sz w:val="20"/>
          <w:szCs w:val="20"/>
        </w:rPr>
        <w:t>, Inc., 998 F.2d 1073, 1080 (1st Cir. 1993) (noting that predatory pricing “can easily be confused with merely low prices which benefit customers.”) (citation omitted); Dial A Car, Inc. v. Transportation, Inc., 82 F.3d 484, 487 (D.C. Cir. 1996) (“Predatory pricing claims, because they are premised on a temporary increase in competition, inherently ask the court to penalize potentially beneficial conduct.”).</w:t>
      </w:r>
    </w:p>
  </w:footnote>
  <w:footnote w:id="67">
    <w:p w:rsidR="006F1A30" w:rsidRPr="000444AC" w:rsidRDefault="006F1A30" w:rsidP="006E7EE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Joseph F. </w:t>
      </w:r>
      <w:proofErr w:type="spellStart"/>
      <w:r w:rsidRPr="000444AC">
        <w:rPr>
          <w:rFonts w:ascii="Times New Roman" w:hAnsi="Times New Roman" w:cs="Times New Roman"/>
          <w:sz w:val="20"/>
          <w:szCs w:val="20"/>
        </w:rPr>
        <w:t>Brodley</w:t>
      </w:r>
      <w:proofErr w:type="spellEnd"/>
      <w:r w:rsidRPr="000444AC">
        <w:rPr>
          <w:rFonts w:ascii="Times New Roman" w:hAnsi="Times New Roman" w:cs="Times New Roman"/>
          <w:sz w:val="20"/>
          <w:szCs w:val="20"/>
        </w:rPr>
        <w:t xml:space="preserve"> &amp; George A. Hay, </w:t>
      </w:r>
      <w:r w:rsidRPr="000444AC">
        <w:rPr>
          <w:rFonts w:ascii="Times New Roman" w:hAnsi="Times New Roman" w:cs="Times New Roman"/>
          <w:i/>
          <w:sz w:val="20"/>
          <w:szCs w:val="20"/>
        </w:rPr>
        <w:t>Predatory Pricing: Competing Economic Theories and the Evolution of Legal Standards</w:t>
      </w:r>
      <w:r w:rsidRPr="000444AC">
        <w:rPr>
          <w:rFonts w:ascii="Times New Roman" w:hAnsi="Times New Roman" w:cs="Times New Roman"/>
          <w:sz w:val="20"/>
          <w:szCs w:val="20"/>
        </w:rPr>
        <w:t xml:space="preserve">, 66 </w:t>
      </w:r>
      <w:r w:rsidRPr="000444AC">
        <w:rPr>
          <w:rFonts w:ascii="Times New Roman" w:hAnsi="Times New Roman" w:cs="Times New Roman"/>
          <w:smallCaps/>
          <w:sz w:val="20"/>
          <w:szCs w:val="20"/>
        </w:rPr>
        <w:t>Cornell L. Rev.</w:t>
      </w:r>
      <w:r w:rsidRPr="000444AC">
        <w:rPr>
          <w:rFonts w:ascii="Times New Roman" w:hAnsi="Times New Roman" w:cs="Times New Roman"/>
          <w:sz w:val="20"/>
          <w:szCs w:val="20"/>
        </w:rPr>
        <w:t xml:space="preserve"> 738, 790 (1981).</w:t>
      </w:r>
    </w:p>
  </w:footnote>
  <w:footnote w:id="68">
    <w:p w:rsidR="006F1A30" w:rsidRPr="000444AC" w:rsidRDefault="006F1A30" w:rsidP="0013732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Wheeling-Pittsburgh Steel Corp. v. Mitsui &amp; Co., 35 F.Supp.2d 597, 602-03 (S.D. Ohio 1999).</w:t>
      </w:r>
    </w:p>
  </w:footnote>
  <w:footnote w:id="69">
    <w:p w:rsidR="006F1A30" w:rsidRPr="000444AC" w:rsidRDefault="006F1A30" w:rsidP="006E7EE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Barry Wright Corp. v. ITT Grinnell Corp., 724 F.2d 227, 230 (1st Cir. 1983) (“A legal precedent or rule of law that prevents a firm from unilaterally cutting its prices risks interference with one the Sherman Act’s most basic objectives: the low price levels that one would find in well-functioning markets.”).</w:t>
      </w:r>
    </w:p>
  </w:footnote>
  <w:footnote w:id="70">
    <w:p w:rsidR="006F1A30" w:rsidRPr="000444AC" w:rsidRDefault="006F1A30" w:rsidP="0013732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United States v. AMR Corp., 335 F.3d 1109, 1114 (10th Cir. 2003) (“Chicago scholars argued that lowering prices could only be pro-competitive and any prohibition on such conduct could ultimately deter firms from engaging in conduct that is socially beneficial.”); Morgan v. Ponder, 892 F.2d 1355, 1358-59 (8th Cir. 1989) (“Indeed, there is a real danger in mislabeling such practices as predatory, because consumers generally benefit from the low prices resulting from aggressive price competition.”).</w:t>
      </w:r>
    </w:p>
  </w:footnote>
  <w:footnote w:id="71">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bdr w:val="none" w:sz="0" w:space="0" w:color="auto" w:frame="1"/>
        </w:rPr>
        <w:t>Brooke Grp. Ltd. v. Brown &amp; Williamson Tobacco Corp.</w:t>
      </w:r>
      <w:r w:rsidRPr="000444AC">
        <w:rPr>
          <w:rFonts w:ascii="Times New Roman" w:eastAsia="Times New Roman" w:hAnsi="Times New Roman" w:cs="Times New Roman"/>
          <w:color w:val="000000"/>
          <w:sz w:val="20"/>
          <w:szCs w:val="20"/>
        </w:rPr>
        <w:t xml:space="preserve">, 509 U.S. 209, 226 (1993) (quoting </w:t>
      </w:r>
      <w:r w:rsidRPr="000444AC">
        <w:rPr>
          <w:rFonts w:ascii="Times New Roman" w:eastAsia="Times New Roman" w:hAnsi="Times New Roman" w:cs="Times New Roman"/>
          <w:i/>
          <w:iCs/>
          <w:color w:val="000000"/>
          <w:sz w:val="20"/>
          <w:szCs w:val="20"/>
          <w:bdr w:val="none" w:sz="0" w:space="0" w:color="auto" w:frame="1"/>
        </w:rPr>
        <w:t>Matsushita,</w:t>
      </w:r>
      <w:r w:rsidRPr="000444AC">
        <w:rPr>
          <w:rFonts w:ascii="Times New Roman" w:eastAsia="Times New Roman" w:hAnsi="Times New Roman" w:cs="Times New Roman"/>
          <w:color w:val="000000"/>
          <w:sz w:val="20"/>
          <w:szCs w:val="20"/>
          <w:shd w:val="clear" w:color="auto" w:fill="FFFFFF"/>
        </w:rPr>
        <w:t xml:space="preserve"> 475 U.S., at 589</w:t>
      </w:r>
      <w:r w:rsidRPr="000444AC">
        <w:rPr>
          <w:rFonts w:ascii="Times New Roman" w:eastAsia="Times New Roman" w:hAnsi="Times New Roman" w:cs="Times New Roman"/>
          <w:color w:val="000000"/>
          <w:sz w:val="20"/>
          <w:szCs w:val="20"/>
        </w:rPr>
        <w:t>).</w:t>
      </w:r>
    </w:p>
  </w:footnote>
  <w:footnote w:id="72">
    <w:p w:rsidR="006F1A30" w:rsidRPr="000444AC" w:rsidRDefault="006F1A30" w:rsidP="00C929C5">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Kwoka</w:t>
      </w:r>
      <w:proofErr w:type="spellEnd"/>
      <w:r w:rsidRPr="000444AC">
        <w:rPr>
          <w:rFonts w:ascii="Times New Roman" w:hAnsi="Times New Roman" w:cs="Times New Roman"/>
          <w:sz w:val="20"/>
          <w:szCs w:val="20"/>
        </w:rPr>
        <w:t xml:space="preserve"> &amp; White,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 xml:space="preserve">note __ at 173; Trujillo,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 xml:space="preserve">note __ at 820 (“The Court’s recoupment standard is premised upon the theory that ‘predatory pricing schemes are rarely tried, and even more rarely successful,’ and, as a result, the prerequisites to recovery are purposefully difficult to establish.”). </w:t>
      </w:r>
    </w:p>
  </w:footnote>
  <w:footnote w:id="73">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Stitt Spark Plug Co. v. Champion Spark Plug Co., 840 F.2d 1253, 1255 (5th Cir. 1988).</w:t>
      </w:r>
    </w:p>
  </w:footnote>
  <w:footnote w:id="74">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Advo</w:t>
      </w:r>
      <w:proofErr w:type="spellEnd"/>
      <w:r w:rsidRPr="000444AC">
        <w:rPr>
          <w:rFonts w:ascii="Times New Roman" w:hAnsi="Times New Roman" w:cs="Times New Roman"/>
          <w:sz w:val="20"/>
          <w:szCs w:val="20"/>
        </w:rPr>
        <w:t xml:space="preserve">, Inc. v. </w:t>
      </w:r>
      <w:proofErr w:type="spellStart"/>
      <w:r w:rsidRPr="000444AC">
        <w:rPr>
          <w:rFonts w:ascii="Times New Roman" w:hAnsi="Times New Roman" w:cs="Times New Roman"/>
          <w:sz w:val="20"/>
          <w:szCs w:val="20"/>
        </w:rPr>
        <w:t>Phila</w:t>
      </w:r>
      <w:proofErr w:type="spellEnd"/>
      <w:r w:rsidRPr="000444AC">
        <w:rPr>
          <w:rFonts w:ascii="Times New Roman" w:hAnsi="Times New Roman" w:cs="Times New Roman"/>
          <w:sz w:val="20"/>
          <w:szCs w:val="20"/>
        </w:rPr>
        <w:t>. Newspapers, Inc., 51 F.3d 1191, 1196 (3d Cir. 1995).</w:t>
      </w:r>
    </w:p>
  </w:footnote>
  <w:footnote w:id="75">
    <w:p w:rsidR="006F1A30" w:rsidRPr="000444AC" w:rsidRDefault="006F1A30" w:rsidP="00B241B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Bathke</w:t>
      </w:r>
      <w:proofErr w:type="spellEnd"/>
      <w:r w:rsidRPr="000444AC">
        <w:rPr>
          <w:rFonts w:ascii="Times New Roman" w:hAnsi="Times New Roman" w:cs="Times New Roman"/>
          <w:sz w:val="20"/>
          <w:szCs w:val="20"/>
        </w:rPr>
        <w:t xml:space="preserve"> v. Casey’s General Stores, Inc., 64 F.3d 340, 343 (8th Cir. 1995).</w:t>
      </w:r>
    </w:p>
  </w:footnote>
  <w:footnote w:id="76">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United States v. American Can Co., 230 F. 859 (D. Md. 1916).</w:t>
      </w:r>
    </w:p>
  </w:footnote>
  <w:footnote w:id="77">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Walker Process Equipment, Inc. v. Food Machinery &amp; Chemical Corp., 382 U.S. 172 (1965).</w:t>
      </w:r>
    </w:p>
  </w:footnote>
  <w:footnote w:id="78">
    <w:p w:rsidR="006F1A30" w:rsidRPr="000444AC" w:rsidRDefault="006F1A30" w:rsidP="0007439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McGee,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140; </w:t>
      </w:r>
      <w:r w:rsidRPr="000444AC">
        <w:rPr>
          <w:rFonts w:ascii="Times New Roman" w:hAnsi="Times New Roman" w:cs="Times New Roman"/>
          <w:smallCaps/>
          <w:sz w:val="20"/>
          <w:szCs w:val="20"/>
        </w:rPr>
        <w:t xml:space="preserve">Bork,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w:t>
      </w:r>
      <w:r w:rsidRPr="000444AC">
        <w:rPr>
          <w:rFonts w:ascii="Times New Roman" w:hAnsi="Times New Roman" w:cs="Times New Roman"/>
          <w:smallCaps/>
          <w:sz w:val="20"/>
          <w:szCs w:val="20"/>
        </w:rPr>
        <w:t xml:space="preserve"> </w:t>
      </w:r>
      <w:r w:rsidRPr="000444AC">
        <w:rPr>
          <w:rFonts w:ascii="Times New Roman" w:hAnsi="Times New Roman" w:cs="Times New Roman"/>
          <w:sz w:val="20"/>
          <w:szCs w:val="20"/>
        </w:rPr>
        <w:t>148.</w:t>
      </w:r>
    </w:p>
  </w:footnote>
  <w:footnote w:id="79">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Matsushita at n.17</w:t>
      </w:r>
    </w:p>
  </w:footnote>
  <w:footnote w:id="80">
    <w:p w:rsidR="006F1A30" w:rsidRPr="000444AC" w:rsidRDefault="006F1A30" w:rsidP="001C264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Dalton &amp; Esposito,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161 (“Standard also employed a sophisticated and extensive intelligence network. Its employees identified the shipments and customer destinations of wholesalers of competing refiners using information obtained from agents of the railroads, retailers of refined oil products, and other employees of Standard. Standard maintained this information in an elaborate card catalogue that was then used to direct its sales force to capture or recapture the customers of rival refiners.”); </w:t>
      </w:r>
      <w:r w:rsidRPr="000444AC">
        <w:rPr>
          <w:rFonts w:ascii="Times New Roman" w:hAnsi="Times New Roman" w:cs="Times New Roman"/>
          <w:i/>
          <w:sz w:val="20"/>
          <w:szCs w:val="20"/>
        </w:rPr>
        <w:t>see also id</w:t>
      </w:r>
      <w:r w:rsidRPr="000444AC">
        <w:rPr>
          <w:rFonts w:ascii="Times New Roman" w:hAnsi="Times New Roman" w:cs="Times New Roman"/>
          <w:sz w:val="20"/>
          <w:szCs w:val="20"/>
        </w:rPr>
        <w:t xml:space="preserve">. at 168 (“Standard responded to the threat of losing customers by selectively reducing its prices. Standard Oil of Kentucky had developed a customer database for the geographic markets in which it operated and used it to identify customers that had defected to Red C.”); Leslie, USC (“According to the testimony from Standard’s own agents, Standard offered lower prices or rebates only to those buyers making purchases from independent refiners, not to Standard’s own customers.”); Dalton &amp; Esposito,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175 (discussing testimony from Standard’s agent in Kansas City agent).</w:t>
      </w:r>
    </w:p>
  </w:footnote>
  <w:footnote w:id="81">
    <w:p w:rsidR="006F1A30" w:rsidRPr="000444AC" w:rsidRDefault="006F1A30" w:rsidP="001C264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Tarbell</w:t>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51.</w:t>
      </w:r>
    </w:p>
  </w:footnote>
  <w:footnote w:id="82">
    <w:p w:rsidR="006F1A30" w:rsidRPr="000444AC" w:rsidRDefault="006F1A30" w:rsidP="008E6474">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 xml:space="preserve">Bureau of Corporations,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438 (“Instances have been known where the Standard has virtually given oil away to destroy the business of independent concerns. These extraordinary cuts are perhaps most often made in the form of sales to consumers by bogus-independent concerns</w:t>
      </w:r>
      <w:r w:rsidRPr="000444AC">
        <w:rPr>
          <w:rFonts w:ascii="Times New Roman" w:eastAsia="HiddenHorzOCR" w:hAnsi="Times New Roman" w:cs="Times New Roman"/>
          <w:sz w:val="20"/>
          <w:szCs w:val="20"/>
        </w:rPr>
        <w:t>.</w:t>
      </w:r>
      <w:r w:rsidRPr="000444AC">
        <w:rPr>
          <w:rFonts w:ascii="Times New Roman" w:hAnsi="Times New Roman" w:cs="Times New Roman"/>
          <w:sz w:val="20"/>
          <w:szCs w:val="20"/>
        </w:rPr>
        <w:t>”).</w:t>
      </w:r>
    </w:p>
  </w:footnote>
  <w:footnote w:id="83">
    <w:p w:rsidR="006F1A30" w:rsidRPr="000444AC" w:rsidRDefault="006F1A30" w:rsidP="001C264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Tarbell</w:t>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51-52; Dalton &amp; Esposito,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169 (collecting examples).</w:t>
      </w:r>
    </w:p>
  </w:footnote>
  <w:footnote w:id="84">
    <w:p w:rsidR="006F1A30" w:rsidRPr="000444AC" w:rsidRDefault="006F1A30" w:rsidP="001C264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Tarbell,</w:t>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60-61; Leslie, USC</w:t>
      </w:r>
    </w:p>
  </w:footnote>
  <w:footnote w:id="85">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e.g</w:t>
      </w:r>
      <w:r w:rsidRPr="000444AC">
        <w:rPr>
          <w:rFonts w:ascii="Times New Roman" w:hAnsi="Times New Roman" w:cs="Times New Roman"/>
          <w:sz w:val="20"/>
          <w:szCs w:val="20"/>
        </w:rPr>
        <w:t xml:space="preserve">., Energy Conversion Devices Liquidation Tr. v. Trina Solar Ltd., 833 F.3d 680, 686 (6th Cir. 2016) (quoting </w:t>
      </w:r>
      <w:r w:rsidRPr="000444AC">
        <w:rPr>
          <w:rFonts w:ascii="Times New Roman" w:hAnsi="Times New Roman" w:cs="Times New Roman"/>
          <w:i/>
          <w:sz w:val="20"/>
          <w:szCs w:val="20"/>
        </w:rPr>
        <w:t>Matsushita</w:t>
      </w:r>
      <w:r w:rsidRPr="000444AC">
        <w:rPr>
          <w:rFonts w:ascii="Times New Roman" w:hAnsi="Times New Roman" w:cs="Times New Roman"/>
          <w:sz w:val="20"/>
          <w:szCs w:val="20"/>
        </w:rPr>
        <w:t xml:space="preserve">); United States v. AMR Corp., 335 F.3d 1109, 1114 (10th Cir. 2003) (same); Bay Guardian Co. v. New Times Media LLC, 187 Cal. App. 4th 438, 456, 114 Cal. </w:t>
      </w:r>
      <w:proofErr w:type="spellStart"/>
      <w:r w:rsidRPr="000444AC">
        <w:rPr>
          <w:rFonts w:ascii="Times New Roman" w:hAnsi="Times New Roman" w:cs="Times New Roman"/>
          <w:sz w:val="20"/>
          <w:szCs w:val="20"/>
        </w:rPr>
        <w:t>Rptr</w:t>
      </w:r>
      <w:proofErr w:type="spellEnd"/>
      <w:r w:rsidRPr="000444AC">
        <w:rPr>
          <w:rFonts w:ascii="Times New Roman" w:hAnsi="Times New Roman" w:cs="Times New Roman"/>
          <w:sz w:val="20"/>
          <w:szCs w:val="20"/>
        </w:rPr>
        <w:t>. 3d 392, 404–05 (2010) (same).</w:t>
      </w:r>
    </w:p>
  </w:footnote>
  <w:footnote w:id="86">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Norman Hawker, </w:t>
      </w:r>
      <w:r w:rsidRPr="000444AC">
        <w:rPr>
          <w:rFonts w:ascii="Times New Roman" w:hAnsi="Times New Roman" w:cs="Times New Roman"/>
          <w:i/>
          <w:sz w:val="20"/>
          <w:szCs w:val="20"/>
        </w:rPr>
        <w:t>Predatory Pricing Law in the United States and Canada</w:t>
      </w:r>
      <w:r w:rsidRPr="000444AC">
        <w:rPr>
          <w:rFonts w:ascii="Times New Roman" w:hAnsi="Times New Roman" w:cs="Times New Roman"/>
          <w:sz w:val="20"/>
          <w:szCs w:val="20"/>
        </w:rPr>
        <w:t xml:space="preserve">, 7 </w:t>
      </w:r>
      <w:r w:rsidRPr="000444AC">
        <w:rPr>
          <w:rFonts w:ascii="Times New Roman" w:hAnsi="Times New Roman" w:cs="Times New Roman"/>
          <w:smallCaps/>
          <w:sz w:val="20"/>
          <w:szCs w:val="20"/>
        </w:rPr>
        <w:t>U. Miami Bus. L. Rev</w:t>
      </w:r>
      <w:r w:rsidRPr="000444AC">
        <w:rPr>
          <w:rFonts w:ascii="Times New Roman" w:hAnsi="Times New Roman" w:cs="Times New Roman"/>
          <w:sz w:val="20"/>
          <w:szCs w:val="20"/>
        </w:rPr>
        <w:t>. 201, 217 (1999) (citing James E. Meeks, </w:t>
      </w:r>
      <w:r w:rsidRPr="000444AC">
        <w:rPr>
          <w:rFonts w:ascii="Times New Roman" w:hAnsi="Times New Roman" w:cs="Times New Roman"/>
          <w:i/>
          <w:sz w:val="20"/>
          <w:szCs w:val="20"/>
        </w:rPr>
        <w:t>Predatory Behavior as an Exclusionary Device in the Emerging Telecommunications Industry</w:t>
      </w:r>
      <w:r w:rsidRPr="000444AC">
        <w:rPr>
          <w:rFonts w:ascii="Times New Roman" w:hAnsi="Times New Roman" w:cs="Times New Roman"/>
          <w:sz w:val="20"/>
          <w:szCs w:val="20"/>
        </w:rPr>
        <w:t>, 33 </w:t>
      </w:r>
      <w:r w:rsidRPr="000444AC">
        <w:rPr>
          <w:rFonts w:ascii="Times New Roman" w:hAnsi="Times New Roman" w:cs="Times New Roman"/>
          <w:smallCaps/>
          <w:sz w:val="20"/>
          <w:szCs w:val="20"/>
        </w:rPr>
        <w:t>Wake Forest L. Rev</w:t>
      </w:r>
      <w:r w:rsidRPr="000444AC">
        <w:rPr>
          <w:rFonts w:ascii="Times New Roman" w:hAnsi="Times New Roman" w:cs="Times New Roman"/>
          <w:sz w:val="20"/>
          <w:szCs w:val="20"/>
        </w:rPr>
        <w:t xml:space="preserve">. 125, 132, 136-41 (1998); Walter Adams &amp; James W. Brock, Predation, “Rationality,” and Judicial </w:t>
      </w:r>
      <w:proofErr w:type="spellStart"/>
      <w:r w:rsidRPr="000444AC">
        <w:rPr>
          <w:rFonts w:ascii="Times New Roman" w:hAnsi="Times New Roman" w:cs="Times New Roman"/>
          <w:sz w:val="20"/>
          <w:szCs w:val="20"/>
        </w:rPr>
        <w:t>Somnambulance</w:t>
      </w:r>
      <w:proofErr w:type="spellEnd"/>
      <w:r w:rsidRPr="000444AC">
        <w:rPr>
          <w:rFonts w:ascii="Times New Roman" w:hAnsi="Times New Roman" w:cs="Times New Roman"/>
          <w:sz w:val="20"/>
          <w:szCs w:val="20"/>
        </w:rPr>
        <w:t>, 64 </w:t>
      </w:r>
      <w:r w:rsidRPr="000444AC">
        <w:rPr>
          <w:rFonts w:ascii="Times New Roman" w:hAnsi="Times New Roman" w:cs="Times New Roman"/>
          <w:smallCaps/>
          <w:sz w:val="20"/>
          <w:szCs w:val="20"/>
        </w:rPr>
        <w:t>U. </w:t>
      </w:r>
      <w:proofErr w:type="spellStart"/>
      <w:r w:rsidRPr="000444AC">
        <w:rPr>
          <w:rFonts w:ascii="Times New Roman" w:hAnsi="Times New Roman" w:cs="Times New Roman"/>
          <w:smallCaps/>
          <w:sz w:val="20"/>
          <w:szCs w:val="20"/>
        </w:rPr>
        <w:t>Cin</w:t>
      </w:r>
      <w:proofErr w:type="spellEnd"/>
      <w:r w:rsidRPr="000444AC">
        <w:rPr>
          <w:rFonts w:ascii="Times New Roman" w:hAnsi="Times New Roman" w:cs="Times New Roman"/>
          <w:smallCaps/>
          <w:sz w:val="20"/>
          <w:szCs w:val="20"/>
        </w:rPr>
        <w:t>. L. Rev.</w:t>
      </w:r>
      <w:r w:rsidRPr="000444AC">
        <w:rPr>
          <w:rFonts w:ascii="Times New Roman" w:hAnsi="Times New Roman" w:cs="Times New Roman"/>
          <w:sz w:val="20"/>
          <w:szCs w:val="20"/>
        </w:rPr>
        <w:t xml:space="preserve"> 811, 855-67 (1996); Alvin K. </w:t>
      </w:r>
      <w:proofErr w:type="spellStart"/>
      <w:r w:rsidRPr="000444AC">
        <w:rPr>
          <w:rFonts w:ascii="Times New Roman" w:hAnsi="Times New Roman" w:cs="Times New Roman"/>
          <w:sz w:val="20"/>
          <w:szCs w:val="20"/>
        </w:rPr>
        <w:t>Klevorick</w:t>
      </w:r>
      <w:proofErr w:type="spellEnd"/>
      <w:r w:rsidRPr="000444AC">
        <w:rPr>
          <w:rFonts w:ascii="Times New Roman" w:hAnsi="Times New Roman" w:cs="Times New Roman"/>
          <w:sz w:val="20"/>
          <w:szCs w:val="20"/>
        </w:rPr>
        <w:t>, The Current State of the Law and Economics of Predatory Pricing, 83 </w:t>
      </w:r>
      <w:r w:rsidRPr="000444AC">
        <w:rPr>
          <w:rFonts w:ascii="Times New Roman" w:hAnsi="Times New Roman" w:cs="Times New Roman"/>
          <w:smallCaps/>
          <w:sz w:val="20"/>
          <w:szCs w:val="20"/>
        </w:rPr>
        <w:t>Am. Econ. Rev</w:t>
      </w:r>
      <w:r w:rsidRPr="000444AC">
        <w:rPr>
          <w:rFonts w:ascii="Times New Roman" w:hAnsi="Times New Roman" w:cs="Times New Roman"/>
          <w:sz w:val="20"/>
          <w:szCs w:val="20"/>
        </w:rPr>
        <w:t>. 162 (1993))</w:t>
      </w:r>
    </w:p>
  </w:footnote>
  <w:footnote w:id="87">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at 589 (citations omitted).</w:t>
      </w:r>
    </w:p>
  </w:footnote>
  <w:footnote w:id="88">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e.g</w:t>
      </w:r>
      <w:r w:rsidRPr="000444AC">
        <w:rPr>
          <w:rFonts w:ascii="Times New Roman" w:hAnsi="Times New Roman" w:cs="Times New Roman"/>
          <w:sz w:val="20"/>
          <w:szCs w:val="20"/>
        </w:rPr>
        <w:t xml:space="preserve">., James A. Dalton &amp; Louis Esposito, </w:t>
      </w:r>
      <w:r w:rsidRPr="000444AC">
        <w:rPr>
          <w:rFonts w:ascii="Times New Roman" w:hAnsi="Times New Roman" w:cs="Times New Roman"/>
          <w:i/>
          <w:sz w:val="20"/>
          <w:szCs w:val="20"/>
        </w:rPr>
        <w:t>Predatory Price Cutting and Standard Oil: A Re-Examination of the Trial Record</w:t>
      </w:r>
      <w:r w:rsidRPr="000444AC">
        <w:rPr>
          <w:rFonts w:ascii="Times New Roman" w:hAnsi="Times New Roman" w:cs="Times New Roman"/>
          <w:sz w:val="20"/>
          <w:szCs w:val="20"/>
        </w:rPr>
        <w:t xml:space="preserve">, 22 </w:t>
      </w:r>
      <w:r w:rsidRPr="000444AC">
        <w:rPr>
          <w:rFonts w:ascii="Times New Roman" w:hAnsi="Times New Roman" w:cs="Times New Roman"/>
          <w:smallCaps/>
          <w:sz w:val="20"/>
          <w:szCs w:val="20"/>
        </w:rPr>
        <w:t>Research in L. &amp; Econ</w:t>
      </w:r>
      <w:r w:rsidRPr="000444AC">
        <w:rPr>
          <w:rFonts w:ascii="Times New Roman" w:hAnsi="Times New Roman" w:cs="Times New Roman"/>
          <w:sz w:val="20"/>
          <w:szCs w:val="20"/>
        </w:rPr>
        <w:t xml:space="preserve">. 155, 156 (2007) (“This single publication appears to serve as a foundation of the U.S. Supreme Court's position on the issue of predatory pricing, as well as the basis for the assertion by many economists that predatory pricing is irrational and rarely </w:t>
      </w:r>
      <w:r w:rsidRPr="000444AC">
        <w:rPr>
          <w:rFonts w:ascii="Times New Roman" w:eastAsia="HiddenHorzOCR" w:hAnsi="Times New Roman" w:cs="Times New Roman"/>
          <w:sz w:val="20"/>
          <w:szCs w:val="20"/>
        </w:rPr>
        <w:t>occurs.</w:t>
      </w:r>
      <w:r w:rsidRPr="000444AC">
        <w:rPr>
          <w:rFonts w:ascii="Times New Roman" w:hAnsi="Times New Roman" w:cs="Times New Roman"/>
          <w:sz w:val="20"/>
          <w:szCs w:val="20"/>
        </w:rPr>
        <w:t xml:space="preserve">”); Richard J. Pierce, Jr., </w:t>
      </w:r>
      <w:r w:rsidRPr="000444AC">
        <w:rPr>
          <w:rFonts w:ascii="Times New Roman" w:hAnsi="Times New Roman" w:cs="Times New Roman"/>
          <w:i/>
          <w:sz w:val="20"/>
          <w:szCs w:val="20"/>
        </w:rPr>
        <w:t>Is Post-Chicago Economics Ready for the Courtroom? A Response to Professor Brennan</w:t>
      </w:r>
      <w:r w:rsidRPr="000444AC">
        <w:rPr>
          <w:rFonts w:ascii="Times New Roman" w:hAnsi="Times New Roman" w:cs="Times New Roman"/>
          <w:sz w:val="20"/>
          <w:szCs w:val="20"/>
        </w:rPr>
        <w:t xml:space="preserve">, 69 </w:t>
      </w:r>
      <w:r w:rsidRPr="000444AC">
        <w:rPr>
          <w:rFonts w:ascii="Times New Roman" w:hAnsi="Times New Roman" w:cs="Times New Roman"/>
          <w:smallCaps/>
          <w:sz w:val="20"/>
          <w:szCs w:val="20"/>
        </w:rPr>
        <w:t>Geo. Wash. L. Rev</w:t>
      </w:r>
      <w:r w:rsidRPr="000444AC">
        <w:rPr>
          <w:rFonts w:ascii="Times New Roman" w:hAnsi="Times New Roman" w:cs="Times New Roman"/>
          <w:sz w:val="20"/>
          <w:szCs w:val="20"/>
        </w:rPr>
        <w:t xml:space="preserve">. </w:t>
      </w:r>
      <w:r w:rsidRPr="000444AC">
        <w:rPr>
          <w:rFonts w:ascii="Times New Roman" w:eastAsia="HiddenHorzOCR" w:hAnsi="Times New Roman" w:cs="Times New Roman"/>
          <w:sz w:val="20"/>
          <w:szCs w:val="20"/>
        </w:rPr>
        <w:t>1103, 1117 (2001) (“</w:t>
      </w:r>
      <w:r w:rsidRPr="000444AC">
        <w:rPr>
          <w:rFonts w:ascii="Times New Roman" w:hAnsi="Times New Roman" w:cs="Times New Roman"/>
          <w:sz w:val="20"/>
          <w:szCs w:val="20"/>
        </w:rPr>
        <w:t>McGee's analysis was instrumental in persuading the Supreme Court to issue two opinions in the past fifteen years in which it has expressed an extremely skeptical attitude toward predatory pricing complaints.</w:t>
      </w:r>
      <w:r w:rsidRPr="000444AC">
        <w:rPr>
          <w:rFonts w:ascii="Times New Roman" w:eastAsia="HiddenHorzOCR" w:hAnsi="Times New Roman" w:cs="Times New Roman"/>
          <w:sz w:val="20"/>
          <w:szCs w:val="20"/>
        </w:rPr>
        <w:t xml:space="preserve">”); </w:t>
      </w:r>
      <w:r w:rsidRPr="000444AC">
        <w:rPr>
          <w:rFonts w:ascii="Times New Roman" w:hAnsi="Times New Roman" w:cs="Times New Roman"/>
          <w:sz w:val="20"/>
          <w:szCs w:val="20"/>
        </w:rPr>
        <w:t xml:space="preserve">Donald J. Boudreaux &amp; Burton </w:t>
      </w:r>
      <w:proofErr w:type="spellStart"/>
      <w:r w:rsidRPr="000444AC">
        <w:rPr>
          <w:rFonts w:ascii="Times New Roman" w:hAnsi="Times New Roman" w:cs="Times New Roman"/>
          <w:sz w:val="20"/>
          <w:szCs w:val="20"/>
        </w:rPr>
        <w:t>W.Folsom</w:t>
      </w:r>
      <w:proofErr w:type="spellEnd"/>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Microsoft and Standard Oil: Radical Lessons for Antitrust Reform</w:t>
      </w:r>
      <w:r w:rsidRPr="000444AC">
        <w:rPr>
          <w:rFonts w:ascii="Times New Roman" w:hAnsi="Times New Roman" w:cs="Times New Roman"/>
          <w:sz w:val="20"/>
          <w:szCs w:val="20"/>
        </w:rPr>
        <w:t xml:space="preserve">, 44 </w:t>
      </w:r>
      <w:r w:rsidRPr="000444AC">
        <w:rPr>
          <w:rFonts w:ascii="Times New Roman" w:hAnsi="Times New Roman" w:cs="Times New Roman"/>
          <w:smallCaps/>
          <w:sz w:val="20"/>
          <w:szCs w:val="20"/>
        </w:rPr>
        <w:t>Antitrust Bulletin</w:t>
      </w:r>
      <w:r w:rsidRPr="000444AC">
        <w:rPr>
          <w:rFonts w:ascii="Times New Roman" w:hAnsi="Times New Roman" w:cs="Times New Roman"/>
          <w:sz w:val="20"/>
          <w:szCs w:val="20"/>
        </w:rPr>
        <w:t xml:space="preserve"> 555, 559 (1999) (asserting that “[t]he reasons for [McGee’s] conclusion are today well-known and need not be reviewed here”);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James A. Dalton &amp; Louis Esposito, </w:t>
      </w:r>
      <w:r w:rsidRPr="000444AC">
        <w:rPr>
          <w:rFonts w:ascii="Times New Roman" w:hAnsi="Times New Roman" w:cs="Times New Roman"/>
          <w:i/>
          <w:sz w:val="20"/>
          <w:szCs w:val="20"/>
        </w:rPr>
        <w:t>Standard Oil and Predatory Pricing: Myth Paralleling Fact</w:t>
      </w:r>
      <w:r w:rsidRPr="000444AC">
        <w:rPr>
          <w:rFonts w:ascii="Times New Roman" w:hAnsi="Times New Roman" w:cs="Times New Roman"/>
          <w:sz w:val="20"/>
          <w:szCs w:val="20"/>
        </w:rPr>
        <w:t xml:space="preserve">, 38 </w:t>
      </w:r>
      <w:r w:rsidRPr="000444AC">
        <w:rPr>
          <w:rFonts w:ascii="Times New Roman" w:hAnsi="Times New Roman" w:cs="Times New Roman"/>
          <w:smallCaps/>
          <w:sz w:val="20"/>
          <w:szCs w:val="20"/>
        </w:rPr>
        <w:t xml:space="preserve">Rev. Indus. </w:t>
      </w:r>
      <w:proofErr w:type="spellStart"/>
      <w:r w:rsidRPr="000444AC">
        <w:rPr>
          <w:rFonts w:ascii="Times New Roman" w:hAnsi="Times New Roman" w:cs="Times New Roman"/>
          <w:smallCaps/>
          <w:sz w:val="20"/>
          <w:szCs w:val="20"/>
        </w:rPr>
        <w:t>Org’n</w:t>
      </w:r>
      <w:proofErr w:type="spellEnd"/>
      <w:r w:rsidRPr="000444AC">
        <w:rPr>
          <w:rFonts w:ascii="Times New Roman" w:hAnsi="Times New Roman" w:cs="Times New Roman"/>
          <w:sz w:val="20"/>
          <w:szCs w:val="20"/>
        </w:rPr>
        <w:t xml:space="preserve">. 245, 255-57 (2011) (showing McGee’s influence in economics textbooks and legal scholarship); </w:t>
      </w:r>
      <w:r w:rsidRPr="000444AC">
        <w:rPr>
          <w:rFonts w:ascii="Times New Roman" w:hAnsi="Times New Roman" w:cs="Times New Roman"/>
          <w:smallCaps/>
          <w:sz w:val="20"/>
          <w:szCs w:val="20"/>
        </w:rPr>
        <w:t xml:space="preserve">David D. Friedman, Law’s order: What economics has to do with law and why it </w:t>
      </w:r>
      <w:r w:rsidRPr="000444AC">
        <w:rPr>
          <w:rFonts w:ascii="Times New Roman" w:eastAsia="HiddenHorzOCR" w:hAnsi="Times New Roman" w:cs="Times New Roman"/>
          <w:smallCaps/>
          <w:sz w:val="20"/>
          <w:szCs w:val="20"/>
        </w:rPr>
        <w:t>matters</w:t>
      </w:r>
      <w:r w:rsidRPr="000444AC">
        <w:rPr>
          <w:rFonts w:ascii="Times New Roman" w:eastAsia="HiddenHorzOCR" w:hAnsi="Times New Roman" w:cs="Times New Roman"/>
          <w:sz w:val="20"/>
          <w:szCs w:val="20"/>
        </w:rPr>
        <w:t xml:space="preserve"> </w:t>
      </w:r>
      <w:r w:rsidRPr="000444AC">
        <w:rPr>
          <w:rFonts w:ascii="Times New Roman" w:hAnsi="Times New Roman" w:cs="Times New Roman"/>
          <w:sz w:val="20"/>
          <w:szCs w:val="20"/>
        </w:rPr>
        <w:t>249-50 (2000) (“Despite the widespread belief that Rockefeller maintained his position by selling oil below cost in order to drive competitors out of business, a careful study of the record of the antitrust case that led to the breaking up of Standard Oil found no evidence that he had ever done so. The story appears to be the historian's equivalent of an urban myth.”) (citing McGee).</w:t>
      </w:r>
    </w:p>
  </w:footnote>
  <w:footnote w:id="89">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William H. Jordan, </w:t>
      </w:r>
      <w:r w:rsidRPr="000444AC">
        <w:rPr>
          <w:rFonts w:ascii="Times New Roman" w:hAnsi="Times New Roman" w:cs="Times New Roman"/>
          <w:i/>
          <w:sz w:val="20"/>
          <w:szCs w:val="20"/>
        </w:rPr>
        <w:t>Predatory Pricing After Brooke Group: The Problem of State “Sales Below Cost” Statutes</w:t>
      </w:r>
      <w:r w:rsidRPr="000444AC">
        <w:rPr>
          <w:rFonts w:ascii="Times New Roman" w:hAnsi="Times New Roman" w:cs="Times New Roman"/>
          <w:sz w:val="20"/>
          <w:szCs w:val="20"/>
        </w:rPr>
        <w:t xml:space="preserve">, 44 </w:t>
      </w:r>
      <w:r w:rsidRPr="000444AC">
        <w:rPr>
          <w:rFonts w:ascii="Times New Roman" w:hAnsi="Times New Roman" w:cs="Times New Roman"/>
          <w:smallCaps/>
          <w:sz w:val="20"/>
          <w:szCs w:val="20"/>
        </w:rPr>
        <w:t>Emory L.J</w:t>
      </w:r>
      <w:r w:rsidRPr="000444AC">
        <w:rPr>
          <w:rFonts w:ascii="Times New Roman" w:hAnsi="Times New Roman" w:cs="Times New Roman"/>
          <w:sz w:val="20"/>
          <w:szCs w:val="20"/>
        </w:rPr>
        <w:t>. 267, 274 (1995).</w:t>
      </w:r>
    </w:p>
  </w:footnote>
  <w:footnote w:id="90">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Daniel R. </w:t>
      </w:r>
      <w:proofErr w:type="spellStart"/>
      <w:r w:rsidRPr="000444AC">
        <w:rPr>
          <w:rFonts w:ascii="Times New Roman" w:hAnsi="Times New Roman" w:cs="Times New Roman"/>
          <w:sz w:val="20"/>
          <w:szCs w:val="20"/>
        </w:rPr>
        <w:t>Fischel</w:t>
      </w:r>
      <w:bookmarkStart w:id="25" w:name="FNRFa1102000425"/>
      <w:bookmarkEnd w:id="25"/>
      <w:proofErr w:type="spellEnd"/>
      <w:r w:rsidRPr="000444AC">
        <w:rPr>
          <w:rFonts w:ascii="Times New Roman" w:hAnsi="Times New Roman" w:cs="Times New Roman"/>
          <w:sz w:val="20"/>
          <w:szCs w:val="20"/>
        </w:rPr>
        <w:t xml:space="preserve">, Andrew M. Rosenfield </w:t>
      </w:r>
      <w:bookmarkStart w:id="26" w:name="FNRFaa1102000425"/>
      <w:bookmarkEnd w:id="26"/>
      <w:r w:rsidRPr="000444AC">
        <w:rPr>
          <w:rFonts w:ascii="Times New Roman" w:hAnsi="Times New Roman" w:cs="Times New Roman"/>
          <w:sz w:val="20"/>
          <w:szCs w:val="20"/>
        </w:rPr>
        <w:t xml:space="preserve">&amp; Robert S. </w:t>
      </w:r>
      <w:proofErr w:type="spellStart"/>
      <w:r w:rsidRPr="000444AC">
        <w:rPr>
          <w:rFonts w:ascii="Times New Roman" w:hAnsi="Times New Roman" w:cs="Times New Roman"/>
          <w:sz w:val="20"/>
          <w:szCs w:val="20"/>
        </w:rPr>
        <w:t>Stillman</w:t>
      </w:r>
      <w:proofErr w:type="spellEnd"/>
      <w:r w:rsidRPr="000444AC">
        <w:rPr>
          <w:rFonts w:ascii="Times New Roman" w:hAnsi="Times New Roman" w:cs="Times New Roman"/>
          <w:sz w:val="20"/>
          <w:szCs w:val="20"/>
        </w:rPr>
        <w:t xml:space="preserve">, </w:t>
      </w:r>
      <w:bookmarkStart w:id="27" w:name="citeas((Cite_as:_73_Va._L._Rev._301,_*30"/>
      <w:bookmarkEnd w:id="27"/>
      <w:r w:rsidRPr="000444AC">
        <w:rPr>
          <w:rFonts w:ascii="Times New Roman" w:hAnsi="Times New Roman" w:cs="Times New Roman"/>
          <w:i/>
          <w:sz w:val="20"/>
          <w:szCs w:val="20"/>
        </w:rPr>
        <w:t>The Regulation of Banks and Bank Holding Companies</w:t>
      </w:r>
      <w:bookmarkStart w:id="28" w:name="FNRFd1102000425"/>
      <w:bookmarkEnd w:id="28"/>
      <w:r w:rsidRPr="000444AC">
        <w:rPr>
          <w:rFonts w:ascii="Times New Roman" w:hAnsi="Times New Roman" w:cs="Times New Roman"/>
          <w:sz w:val="20"/>
          <w:szCs w:val="20"/>
        </w:rPr>
        <w:t xml:space="preserve">, 73 </w:t>
      </w:r>
      <w:r w:rsidRPr="000444AC">
        <w:rPr>
          <w:rFonts w:ascii="Times New Roman" w:hAnsi="Times New Roman" w:cs="Times New Roman"/>
          <w:smallCaps/>
          <w:sz w:val="20"/>
          <w:szCs w:val="20"/>
        </w:rPr>
        <w:t>Va. L. Rev</w:t>
      </w:r>
      <w:r w:rsidRPr="000444AC">
        <w:rPr>
          <w:rFonts w:ascii="Times New Roman" w:hAnsi="Times New Roman" w:cs="Times New Roman"/>
          <w:sz w:val="20"/>
          <w:szCs w:val="20"/>
        </w:rPr>
        <w:t>. 301, 327 (1987) (citing only McGee).</w:t>
      </w:r>
    </w:p>
  </w:footnote>
  <w:footnote w:id="91">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Yeomin</w:t>
      </w:r>
      <w:proofErr w:type="spellEnd"/>
      <w:r w:rsidRPr="000444AC">
        <w:rPr>
          <w:rFonts w:ascii="Times New Roman" w:hAnsi="Times New Roman" w:cs="Times New Roman"/>
          <w:sz w:val="20"/>
          <w:szCs w:val="20"/>
        </w:rPr>
        <w:t xml:space="preserve"> Yoon, </w:t>
      </w:r>
      <w:r w:rsidRPr="000444AC">
        <w:rPr>
          <w:rFonts w:ascii="Times New Roman" w:hAnsi="Times New Roman" w:cs="Times New Roman"/>
          <w:i/>
          <w:sz w:val="20"/>
          <w:szCs w:val="20"/>
        </w:rPr>
        <w:t xml:space="preserve">The Korean Chip Dumping Controversy: Are They Accused of Violating an Unjust </w:t>
      </w:r>
      <w:proofErr w:type="gramStart"/>
      <w:r w:rsidRPr="000444AC">
        <w:rPr>
          <w:rFonts w:ascii="Times New Roman" w:hAnsi="Times New Roman" w:cs="Times New Roman"/>
          <w:i/>
          <w:sz w:val="20"/>
          <w:szCs w:val="20"/>
        </w:rPr>
        <w:t>Law?</w:t>
      </w:r>
      <w:r w:rsidRPr="000444AC">
        <w:rPr>
          <w:rFonts w:ascii="Times New Roman" w:hAnsi="Times New Roman" w:cs="Times New Roman"/>
          <w:sz w:val="20"/>
          <w:szCs w:val="20"/>
        </w:rPr>
        <w:t>,</w:t>
      </w:r>
      <w:proofErr w:type="gramEnd"/>
      <w:r w:rsidRPr="000444AC">
        <w:rPr>
          <w:rFonts w:ascii="Times New Roman" w:hAnsi="Times New Roman" w:cs="Times New Roman"/>
          <w:sz w:val="20"/>
          <w:szCs w:val="20"/>
        </w:rPr>
        <w:t xml:space="preserve"> 19 </w:t>
      </w:r>
      <w:r w:rsidRPr="000444AC">
        <w:rPr>
          <w:rFonts w:ascii="Times New Roman" w:hAnsi="Times New Roman" w:cs="Times New Roman"/>
          <w:smallCaps/>
          <w:sz w:val="20"/>
          <w:szCs w:val="20"/>
        </w:rPr>
        <w:t>N.C. J. Int’l L. &amp; Com. Reg.</w:t>
      </w:r>
      <w:r w:rsidRPr="000444AC">
        <w:rPr>
          <w:rFonts w:ascii="Times New Roman" w:hAnsi="Times New Roman" w:cs="Times New Roman"/>
          <w:sz w:val="20"/>
          <w:szCs w:val="20"/>
        </w:rPr>
        <w:t xml:space="preserve"> 247, 263-64 (1994)</w:t>
      </w:r>
      <w:bookmarkStart w:id="29" w:name="sp_1198_247"/>
      <w:bookmarkStart w:id="30" w:name="SDU_247"/>
      <w:bookmarkEnd w:id="29"/>
      <w:bookmarkEnd w:id="30"/>
      <w:r w:rsidRPr="000444AC">
        <w:rPr>
          <w:rFonts w:ascii="Times New Roman" w:hAnsi="Times New Roman" w:cs="Times New Roman"/>
          <w:sz w:val="20"/>
          <w:szCs w:val="20"/>
        </w:rPr>
        <w:t xml:space="preserve"> (citing McGee).</w:t>
      </w:r>
    </w:p>
  </w:footnote>
  <w:footnote w:id="92">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See, e.g., </w:t>
      </w:r>
      <w:bookmarkStart w:id="31" w:name="sp_999_1"/>
      <w:bookmarkStart w:id="32" w:name="SDU_1"/>
      <w:r w:rsidRPr="000444AC">
        <w:rPr>
          <w:rFonts w:ascii="Times New Roman" w:hAnsi="Times New Roman" w:cs="Times New Roman"/>
          <w:sz w:val="20"/>
          <w:szCs w:val="20"/>
        </w:rPr>
        <w:t xml:space="preserve">Michael A. Salinger, </w:t>
      </w:r>
      <w:r w:rsidRPr="000444AC">
        <w:rPr>
          <w:rFonts w:ascii="Times New Roman" w:hAnsi="Times New Roman" w:cs="Times New Roman"/>
          <w:i/>
          <w:sz w:val="20"/>
          <w:szCs w:val="20"/>
        </w:rPr>
        <w:t xml:space="preserve">The Insights of Joseph </w:t>
      </w:r>
      <w:proofErr w:type="spellStart"/>
      <w:r w:rsidRPr="000444AC">
        <w:rPr>
          <w:rFonts w:ascii="Times New Roman" w:hAnsi="Times New Roman" w:cs="Times New Roman"/>
          <w:i/>
          <w:sz w:val="20"/>
          <w:szCs w:val="20"/>
        </w:rPr>
        <w:t>Brodley’s</w:t>
      </w:r>
      <w:proofErr w:type="spellEnd"/>
      <w:r w:rsidRPr="000444AC">
        <w:rPr>
          <w:rFonts w:ascii="Times New Roman" w:hAnsi="Times New Roman" w:cs="Times New Roman"/>
          <w:i/>
          <w:sz w:val="20"/>
          <w:szCs w:val="20"/>
        </w:rPr>
        <w:t xml:space="preserve"> Scholarship for the Current Debates over the Antitrust Treatment of Single-Firm Conduct</w:t>
      </w:r>
      <w:r w:rsidRPr="000444AC">
        <w:rPr>
          <w:rFonts w:ascii="Times New Roman" w:hAnsi="Times New Roman" w:cs="Times New Roman"/>
          <w:sz w:val="20"/>
          <w:szCs w:val="20"/>
        </w:rPr>
        <w:t>,</w:t>
      </w:r>
      <w:bookmarkEnd w:id="31"/>
      <w:bookmarkEnd w:id="32"/>
      <w:r w:rsidRPr="000444AC">
        <w:rPr>
          <w:rFonts w:ascii="Times New Roman" w:hAnsi="Times New Roman" w:cs="Times New Roman"/>
          <w:sz w:val="20"/>
          <w:szCs w:val="20"/>
        </w:rPr>
        <w:t xml:space="preserve"> 90 </w:t>
      </w:r>
      <w:r w:rsidRPr="000444AC">
        <w:rPr>
          <w:rFonts w:ascii="Times New Roman" w:hAnsi="Times New Roman" w:cs="Times New Roman"/>
          <w:smallCaps/>
          <w:sz w:val="20"/>
          <w:szCs w:val="20"/>
        </w:rPr>
        <w:t>B.U. L. Rev</w:t>
      </w:r>
      <w:r w:rsidRPr="000444AC">
        <w:rPr>
          <w:rFonts w:ascii="Times New Roman" w:hAnsi="Times New Roman" w:cs="Times New Roman"/>
          <w:sz w:val="20"/>
          <w:szCs w:val="20"/>
        </w:rPr>
        <w:t xml:space="preserve">. 1543, 1546 n.19 (2010) (referring to McGee as “empirical study”); C. Scott Hemphill, Note, The </w:t>
      </w:r>
      <w:bookmarkStart w:id="33" w:name="SR;22903"/>
      <w:bookmarkEnd w:id="33"/>
      <w:r w:rsidRPr="000444AC">
        <w:rPr>
          <w:rFonts w:ascii="Times New Roman" w:hAnsi="Times New Roman" w:cs="Times New Roman"/>
          <w:sz w:val="20"/>
          <w:szCs w:val="20"/>
        </w:rPr>
        <w:t xml:space="preserve">Role of Recoupment in Predatory Pricing Analyses, 53 Stan. L. Rev. 1581, 1601 n.60 (2001) (same); </w:t>
      </w:r>
      <w:r w:rsidRPr="000444AC">
        <w:rPr>
          <w:rFonts w:ascii="Times New Roman" w:hAnsi="Times New Roman" w:cs="Times New Roman"/>
          <w:i/>
          <w:sz w:val="20"/>
          <w:szCs w:val="20"/>
        </w:rPr>
        <w:t>Predatory Pricing – Oligopolistic Tacit Collusion</w:t>
      </w:r>
      <w:r w:rsidRPr="000444AC">
        <w:rPr>
          <w:rFonts w:ascii="Times New Roman" w:hAnsi="Times New Roman" w:cs="Times New Roman"/>
          <w:sz w:val="20"/>
          <w:szCs w:val="20"/>
        </w:rPr>
        <w:t xml:space="preserve">, 107 </w:t>
      </w:r>
      <w:proofErr w:type="spellStart"/>
      <w:r w:rsidRPr="000444AC">
        <w:rPr>
          <w:rFonts w:ascii="Times New Roman" w:hAnsi="Times New Roman" w:cs="Times New Roman"/>
          <w:smallCaps/>
          <w:sz w:val="20"/>
          <w:szCs w:val="20"/>
        </w:rPr>
        <w:t>Harv</w:t>
      </w:r>
      <w:proofErr w:type="spellEnd"/>
      <w:r w:rsidRPr="000444AC">
        <w:rPr>
          <w:rFonts w:ascii="Times New Roman" w:hAnsi="Times New Roman" w:cs="Times New Roman"/>
          <w:smallCaps/>
          <w:sz w:val="20"/>
          <w:szCs w:val="20"/>
        </w:rPr>
        <w:t>. L. Rev</w:t>
      </w:r>
      <w:r w:rsidRPr="000444AC">
        <w:rPr>
          <w:rFonts w:ascii="Times New Roman" w:hAnsi="Times New Roman" w:cs="Times New Roman"/>
          <w:sz w:val="20"/>
          <w:szCs w:val="20"/>
        </w:rPr>
        <w:t>. 322, 329 (1993) (same).</w:t>
      </w:r>
    </w:p>
  </w:footnote>
  <w:footnote w:id="93">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Bruce Johnsen </w:t>
      </w:r>
      <w:bookmarkStart w:id="34" w:name="FNRFa1303153684"/>
      <w:bookmarkEnd w:id="34"/>
      <w:r w:rsidRPr="000444AC">
        <w:rPr>
          <w:rFonts w:ascii="Times New Roman" w:hAnsi="Times New Roman" w:cs="Times New Roman"/>
          <w:sz w:val="20"/>
          <w:szCs w:val="20"/>
        </w:rPr>
        <w:t xml:space="preserve">&amp; </w:t>
      </w:r>
      <w:proofErr w:type="spellStart"/>
      <w:r w:rsidRPr="000444AC">
        <w:rPr>
          <w:rFonts w:ascii="Times New Roman" w:hAnsi="Times New Roman" w:cs="Times New Roman"/>
          <w:sz w:val="20"/>
          <w:szCs w:val="20"/>
        </w:rPr>
        <w:t>Moin</w:t>
      </w:r>
      <w:proofErr w:type="spellEnd"/>
      <w:r w:rsidRPr="000444AC">
        <w:rPr>
          <w:rFonts w:ascii="Times New Roman" w:hAnsi="Times New Roman" w:cs="Times New Roman"/>
          <w:sz w:val="20"/>
          <w:szCs w:val="20"/>
        </w:rPr>
        <w:t xml:space="preserve"> A. Yahya,</w:t>
      </w:r>
      <w:r w:rsidRPr="000444AC">
        <w:rPr>
          <w:rFonts w:ascii="Times New Roman" w:hAnsi="Times New Roman" w:cs="Times New Roman"/>
          <w:i/>
          <w:sz w:val="20"/>
          <w:szCs w:val="20"/>
        </w:rPr>
        <w:t xml:space="preserve"> The </w:t>
      </w:r>
      <w:proofErr w:type="spellStart"/>
      <w:r w:rsidRPr="000444AC">
        <w:rPr>
          <w:rFonts w:ascii="Times New Roman" w:hAnsi="Times New Roman" w:cs="Times New Roman"/>
          <w:i/>
          <w:sz w:val="20"/>
          <w:szCs w:val="20"/>
        </w:rPr>
        <w:t>Evoluation</w:t>
      </w:r>
      <w:proofErr w:type="spellEnd"/>
      <w:r w:rsidRPr="000444AC">
        <w:rPr>
          <w:rFonts w:ascii="Times New Roman" w:hAnsi="Times New Roman" w:cs="Times New Roman"/>
          <w:i/>
          <w:sz w:val="20"/>
          <w:szCs w:val="20"/>
        </w:rPr>
        <w:t xml:space="preserve"> of Sherman Act Jurisdiction: A Roadmap for Competitive Federalism</w:t>
      </w:r>
      <w:r w:rsidRPr="000444AC">
        <w:rPr>
          <w:rFonts w:ascii="Times New Roman" w:hAnsi="Times New Roman" w:cs="Times New Roman"/>
          <w:sz w:val="20"/>
          <w:szCs w:val="20"/>
        </w:rPr>
        <w:t xml:space="preserve">, 7 </w:t>
      </w:r>
      <w:r w:rsidRPr="000444AC">
        <w:rPr>
          <w:rFonts w:ascii="Times New Roman" w:hAnsi="Times New Roman" w:cs="Times New Roman"/>
          <w:smallCaps/>
          <w:sz w:val="20"/>
          <w:szCs w:val="20"/>
        </w:rPr>
        <w:t>U. Pa. J. Const. L</w:t>
      </w:r>
      <w:r w:rsidRPr="000444AC">
        <w:rPr>
          <w:rFonts w:ascii="Times New Roman" w:hAnsi="Times New Roman" w:cs="Times New Roman"/>
          <w:sz w:val="20"/>
          <w:szCs w:val="20"/>
        </w:rPr>
        <w:t>. 403, 407 n.20 (2004).</w:t>
      </w:r>
    </w:p>
  </w:footnote>
  <w:footnote w:id="94">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Advo</w:t>
      </w:r>
      <w:proofErr w:type="spellEnd"/>
      <w:r w:rsidRPr="000444AC">
        <w:rPr>
          <w:rFonts w:ascii="Times New Roman" w:hAnsi="Times New Roman" w:cs="Times New Roman"/>
          <w:sz w:val="20"/>
          <w:szCs w:val="20"/>
        </w:rPr>
        <w:t xml:space="preserve">, Inc. v. Philadelphia Newspapers, Inc., 51 F.3d 1191, 1196 (3rd Cir. 1995) (citing McGee,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168-69).</w:t>
      </w:r>
    </w:p>
  </w:footnote>
  <w:footnote w:id="95">
    <w:p w:rsidR="006F1A30" w:rsidRPr="000444AC" w:rsidRDefault="006F1A30" w:rsidP="00DF383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John S. McGee, </w:t>
      </w:r>
      <w:r w:rsidRPr="000444AC">
        <w:rPr>
          <w:rFonts w:ascii="Times New Roman" w:hAnsi="Times New Roman" w:cs="Times New Roman"/>
          <w:i/>
          <w:sz w:val="20"/>
          <w:szCs w:val="20"/>
        </w:rPr>
        <w:t>Predatory Price Cutting: The Standard Oil (N.J.) Case</w:t>
      </w:r>
      <w:r w:rsidRPr="000444AC">
        <w:rPr>
          <w:rFonts w:ascii="Times New Roman" w:hAnsi="Times New Roman" w:cs="Times New Roman"/>
          <w:sz w:val="20"/>
          <w:szCs w:val="20"/>
        </w:rPr>
        <w:t xml:space="preserve">, 1 </w:t>
      </w:r>
      <w:r w:rsidRPr="000444AC">
        <w:rPr>
          <w:rFonts w:ascii="Times New Roman" w:hAnsi="Times New Roman" w:cs="Times New Roman"/>
          <w:smallCaps/>
          <w:sz w:val="20"/>
          <w:szCs w:val="20"/>
        </w:rPr>
        <w:t>J. L. &amp; Econ.</w:t>
      </w:r>
      <w:r w:rsidRPr="000444AC">
        <w:rPr>
          <w:rFonts w:ascii="Times New Roman" w:hAnsi="Times New Roman" w:cs="Times New Roman"/>
          <w:sz w:val="20"/>
          <w:szCs w:val="20"/>
        </w:rPr>
        <w:t xml:space="preserve"> 137, 157 (1958).</w:t>
      </w:r>
    </w:p>
  </w:footnote>
  <w:footnote w:id="96">
    <w:p w:rsidR="006F1A30" w:rsidRPr="000444AC" w:rsidRDefault="006F1A30" w:rsidP="008D1D6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USC at __ (discussing McGee at 166).</w:t>
      </w:r>
    </w:p>
  </w:footnote>
  <w:footnote w:id="97">
    <w:p w:rsidR="006F1A30" w:rsidRPr="000444AC" w:rsidRDefault="006F1A30" w:rsidP="008D1D6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McGee at 148. Leslie, USC at __ (explaining why McGee’s interpretation is unpersuasive).</w:t>
      </w:r>
    </w:p>
  </w:footnote>
  <w:footnote w:id="98">
    <w:p w:rsidR="006F1A30" w:rsidRPr="000444AC" w:rsidRDefault="006F1A30" w:rsidP="008D1D6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Dalton &amp; Esposito,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158.</w:t>
      </w:r>
    </w:p>
  </w:footnote>
  <w:footnote w:id="99">
    <w:p w:rsidR="006F1A30" w:rsidRPr="000444AC" w:rsidRDefault="006F1A30" w:rsidP="008D1D6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Dalton &amp; Esposito,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171-84.</w:t>
      </w:r>
    </w:p>
  </w:footnote>
  <w:footnote w:id="100">
    <w:p w:rsidR="006F1A30" w:rsidRPr="000444AC" w:rsidRDefault="006F1A30" w:rsidP="00E52482">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at 104.</w:t>
      </w:r>
    </w:p>
  </w:footnote>
  <w:footnote w:id="101">
    <w:p w:rsidR="006F1A30" w:rsidRPr="000444AC" w:rsidRDefault="006F1A30" w:rsidP="002026CE">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Tarbell</w:t>
      </w:r>
      <w:r w:rsidRPr="000444AC">
        <w:rPr>
          <w:rFonts w:ascii="Times New Roman" w:hAnsi="Times New Roman" w:cs="Times New Roman"/>
          <w:sz w:val="20"/>
          <w:szCs w:val="20"/>
        </w:rPr>
        <w:t xml:space="preserve"> at 42-62.</w:t>
      </w:r>
    </w:p>
  </w:footnote>
  <w:footnote w:id="102">
    <w:p w:rsidR="006F1A30" w:rsidRPr="000444AC" w:rsidRDefault="006F1A30" w:rsidP="002026CE">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Tarbell</w:t>
      </w:r>
      <w:r w:rsidRPr="000444AC">
        <w:rPr>
          <w:rFonts w:ascii="Times New Roman" w:hAnsi="Times New Roman" w:cs="Times New Roman"/>
          <w:sz w:val="20"/>
          <w:szCs w:val="20"/>
        </w:rPr>
        <w:t xml:space="preserve"> at 43 (quoting Peter Shull, of Independent Oil Company of Mansfield, Ohio, testimony before the Ohio Investigative Committee).</w:t>
      </w:r>
    </w:p>
  </w:footnote>
  <w:footnote w:id="103">
    <w:p w:rsidR="006F1A30" w:rsidRPr="000444AC" w:rsidRDefault="006F1A30" w:rsidP="002026CE">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Tarbell at 59 (“the price of oil has always gone back with a jerk to the point where it was when the cutting began, and not infrequently it has gone higher – the public pays.”); </w:t>
      </w:r>
      <w:r w:rsidRPr="000444AC">
        <w:rPr>
          <w:rFonts w:ascii="Times New Roman" w:hAnsi="Times New Roman" w:cs="Times New Roman"/>
          <w:i/>
          <w:sz w:val="20"/>
          <w:szCs w:val="20"/>
        </w:rPr>
        <w:t>see id</w:t>
      </w:r>
      <w:r w:rsidRPr="000444AC">
        <w:rPr>
          <w:rFonts w:ascii="Times New Roman" w:hAnsi="Times New Roman" w:cs="Times New Roman"/>
          <w:sz w:val="20"/>
          <w:szCs w:val="20"/>
        </w:rPr>
        <w:t>. (“Several of the letters already quoted in this chapter show the immediate recoil of the market to higher prices with the removal of competition.”).</w:t>
      </w:r>
    </w:p>
  </w:footnote>
  <w:footnote w:id="104">
    <w:p w:rsidR="006F1A30" w:rsidRPr="000444AC" w:rsidRDefault="006F1A30" w:rsidP="00E52482">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 xml:space="preserve">Bureau of Corporations,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491-92; Id. at 438 (“When necessary, [Standard] puts the prices in a given locality </w:t>
      </w:r>
      <w:r w:rsidRPr="000444AC">
        <w:rPr>
          <w:rFonts w:ascii="Times New Roman" w:eastAsia="HiddenHorzOCR" w:hAnsi="Times New Roman" w:cs="Times New Roman"/>
          <w:sz w:val="20"/>
          <w:szCs w:val="20"/>
        </w:rPr>
        <w:t xml:space="preserve">down </w:t>
      </w:r>
      <w:r w:rsidRPr="000444AC">
        <w:rPr>
          <w:rFonts w:ascii="Times New Roman" w:hAnsi="Times New Roman" w:cs="Times New Roman"/>
          <w:sz w:val="20"/>
          <w:szCs w:val="20"/>
        </w:rPr>
        <w:t xml:space="preserve">even below its own cost of manufacture, transportation, and </w:t>
      </w:r>
      <w:r w:rsidRPr="000444AC">
        <w:rPr>
          <w:rFonts w:ascii="Times New Roman" w:eastAsia="HiddenHorzOCR" w:hAnsi="Times New Roman" w:cs="Times New Roman"/>
          <w:sz w:val="20"/>
          <w:szCs w:val="20"/>
        </w:rPr>
        <w:t>delivery.</w:t>
      </w:r>
      <w:r w:rsidRPr="000444AC">
        <w:rPr>
          <w:rFonts w:ascii="Times New Roman" w:hAnsi="Times New Roman" w:cs="Times New Roman"/>
          <w:sz w:val="20"/>
          <w:szCs w:val="20"/>
        </w:rPr>
        <w:t>”).</w:t>
      </w:r>
    </w:p>
  </w:footnote>
  <w:footnote w:id="105">
    <w:p w:rsidR="006F1A30" w:rsidRPr="000444AC" w:rsidRDefault="006F1A30" w:rsidP="002026CE">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Reply Brief for the United States, Standard Oil Co. v. U.S., 1911 WL 19167 at *44.</w:t>
      </w:r>
    </w:p>
  </w:footnote>
  <w:footnote w:id="106">
    <w:p w:rsidR="006F1A30" w:rsidRPr="000444AC" w:rsidRDefault="006F1A30" w:rsidP="000734FF">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e.g</w:t>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 xml:space="preserve">Ron </w:t>
      </w:r>
      <w:proofErr w:type="spellStart"/>
      <w:r w:rsidRPr="000444AC">
        <w:rPr>
          <w:rFonts w:ascii="Times New Roman" w:hAnsi="Times New Roman" w:cs="Times New Roman"/>
          <w:smallCaps/>
          <w:sz w:val="20"/>
          <w:szCs w:val="20"/>
        </w:rPr>
        <w:t>Chernow</w:t>
      </w:r>
      <w:proofErr w:type="spellEnd"/>
      <w:r w:rsidRPr="000444AC">
        <w:rPr>
          <w:rFonts w:ascii="Times New Roman" w:hAnsi="Times New Roman" w:cs="Times New Roman"/>
          <w:smallCaps/>
          <w:sz w:val="20"/>
          <w:szCs w:val="20"/>
        </w:rPr>
        <w:t>, Titan: The Life of John D. Rockefeller, Sr.</w:t>
      </w:r>
      <w:r w:rsidRPr="000444AC">
        <w:rPr>
          <w:rFonts w:ascii="Times New Roman" w:hAnsi="Times New Roman" w:cs="Times New Roman"/>
          <w:sz w:val="20"/>
          <w:szCs w:val="20"/>
        </w:rPr>
        <w:t xml:space="preserve"> 258 (1998) (“Rockefeller’s files are [] rife with references to this practice of predatory pricing”; quoting 1886 letter from Standard executive to </w:t>
      </w:r>
      <w:r w:rsidRPr="000444AC">
        <w:rPr>
          <w:rFonts w:ascii="Times New Roman" w:hAnsi="Times New Roman" w:cs="Times New Roman"/>
          <w:iCs/>
          <w:sz w:val="20"/>
          <w:szCs w:val="20"/>
        </w:rPr>
        <w:t>J</w:t>
      </w:r>
      <w:r w:rsidRPr="000444AC">
        <w:rPr>
          <w:rFonts w:ascii="Times New Roman" w:hAnsi="Times New Roman" w:cs="Times New Roman"/>
          <w:i/>
          <w:iCs/>
          <w:sz w:val="20"/>
          <w:szCs w:val="20"/>
        </w:rPr>
        <w:t xml:space="preserve">. </w:t>
      </w:r>
      <w:r w:rsidRPr="000444AC">
        <w:rPr>
          <w:rFonts w:ascii="Times New Roman" w:hAnsi="Times New Roman" w:cs="Times New Roman"/>
          <w:sz w:val="20"/>
          <w:szCs w:val="20"/>
        </w:rPr>
        <w:t>D. Rockefeller, suggesting that Standard sold a quarter of his oil at cost or below).</w:t>
      </w:r>
    </w:p>
  </w:footnote>
  <w:footnote w:id="107">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Sandeep </w:t>
      </w:r>
      <w:proofErr w:type="spellStart"/>
      <w:r w:rsidRPr="000444AC">
        <w:rPr>
          <w:rFonts w:ascii="Times New Roman" w:hAnsi="Times New Roman" w:cs="Times New Roman"/>
          <w:sz w:val="20"/>
          <w:szCs w:val="20"/>
        </w:rPr>
        <w:t>Vaheesan</w:t>
      </w:r>
      <w:proofErr w:type="spellEnd"/>
      <w:r w:rsidRPr="000444AC">
        <w:rPr>
          <w:rFonts w:ascii="Times New Roman" w:hAnsi="Times New Roman" w:cs="Times New Roman"/>
          <w:sz w:val="20"/>
          <w:szCs w:val="20"/>
        </w:rPr>
        <w:t>, </w:t>
      </w:r>
      <w:r w:rsidRPr="000444AC">
        <w:rPr>
          <w:rFonts w:ascii="Times New Roman" w:hAnsi="Times New Roman" w:cs="Times New Roman"/>
          <w:i/>
          <w:sz w:val="20"/>
          <w:szCs w:val="20"/>
        </w:rPr>
        <w:t xml:space="preserve">Reconsidering </w:t>
      </w:r>
      <w:r w:rsidRPr="000444AC">
        <w:rPr>
          <w:rFonts w:ascii="Times New Roman" w:hAnsi="Times New Roman" w:cs="Times New Roman"/>
          <w:sz w:val="20"/>
          <w:szCs w:val="20"/>
        </w:rPr>
        <w:t>Brooke Group</w:t>
      </w:r>
      <w:r w:rsidRPr="000444AC">
        <w:rPr>
          <w:rFonts w:ascii="Times New Roman" w:hAnsi="Times New Roman" w:cs="Times New Roman"/>
          <w:i/>
          <w:sz w:val="20"/>
          <w:szCs w:val="20"/>
        </w:rPr>
        <w:t>: Predatory Pricing in Light of the Empirical Learning</w:t>
      </w:r>
      <w:r w:rsidRPr="000444AC">
        <w:rPr>
          <w:rFonts w:ascii="Times New Roman" w:hAnsi="Times New Roman" w:cs="Times New Roman"/>
          <w:sz w:val="20"/>
          <w:szCs w:val="20"/>
        </w:rPr>
        <w:t xml:space="preserve">, 12 </w:t>
      </w:r>
      <w:r w:rsidRPr="000444AC">
        <w:rPr>
          <w:rFonts w:ascii="Times New Roman" w:hAnsi="Times New Roman" w:cs="Times New Roman"/>
          <w:smallCaps/>
          <w:sz w:val="20"/>
          <w:szCs w:val="20"/>
        </w:rPr>
        <w:t>Berkeley Bus. L.J</w:t>
      </w:r>
      <w:r w:rsidRPr="000444AC">
        <w:rPr>
          <w:rFonts w:ascii="Times New Roman" w:hAnsi="Times New Roman" w:cs="Times New Roman"/>
          <w:sz w:val="20"/>
          <w:szCs w:val="20"/>
        </w:rPr>
        <w:t>. 81, 110 (2015); Jonathan B. Baker, </w:t>
      </w:r>
      <w:r w:rsidRPr="000444AC">
        <w:rPr>
          <w:rFonts w:ascii="Times New Roman" w:hAnsi="Times New Roman" w:cs="Times New Roman"/>
          <w:i/>
          <w:sz w:val="20"/>
          <w:szCs w:val="20"/>
        </w:rPr>
        <w:t>Recent Developments in Economics that Challenge Chicago School Views</w:t>
      </w:r>
      <w:r w:rsidRPr="000444AC">
        <w:rPr>
          <w:rFonts w:ascii="Times New Roman" w:hAnsi="Times New Roman" w:cs="Times New Roman"/>
          <w:sz w:val="20"/>
          <w:szCs w:val="20"/>
        </w:rPr>
        <w:t>, 58 </w:t>
      </w:r>
      <w:r w:rsidRPr="000444AC">
        <w:rPr>
          <w:rFonts w:ascii="Times New Roman" w:hAnsi="Times New Roman" w:cs="Times New Roman"/>
          <w:smallCaps/>
          <w:sz w:val="20"/>
          <w:szCs w:val="20"/>
        </w:rPr>
        <w:t>Antitrust L.J</w:t>
      </w:r>
      <w:r w:rsidRPr="000444AC">
        <w:rPr>
          <w:rFonts w:ascii="Times New Roman" w:hAnsi="Times New Roman" w:cs="Times New Roman"/>
          <w:sz w:val="20"/>
          <w:szCs w:val="20"/>
        </w:rPr>
        <w:t>. 645, 649 (1989) (citing studies); Malcolm R. Burns, </w:t>
      </w:r>
      <w:r w:rsidRPr="000444AC">
        <w:rPr>
          <w:rFonts w:ascii="Times New Roman" w:hAnsi="Times New Roman" w:cs="Times New Roman"/>
          <w:i/>
          <w:sz w:val="20"/>
          <w:szCs w:val="20"/>
        </w:rPr>
        <w:t>Predatory Pricing and the Acquisition Cost of Competitors</w:t>
      </w:r>
      <w:r w:rsidRPr="000444AC">
        <w:rPr>
          <w:rFonts w:ascii="Times New Roman" w:hAnsi="Times New Roman" w:cs="Times New Roman"/>
          <w:sz w:val="20"/>
          <w:szCs w:val="20"/>
        </w:rPr>
        <w:t>, </w:t>
      </w:r>
      <w:r w:rsidRPr="000444AC">
        <w:rPr>
          <w:rFonts w:ascii="Times New Roman" w:hAnsi="Times New Roman" w:cs="Times New Roman"/>
          <w:smallCaps/>
          <w:sz w:val="20"/>
          <w:szCs w:val="20"/>
        </w:rPr>
        <w:t>J. Pol. Econ</w:t>
      </w:r>
      <w:r w:rsidRPr="000444AC">
        <w:rPr>
          <w:rFonts w:ascii="Times New Roman" w:hAnsi="Times New Roman" w:cs="Times New Roman"/>
          <w:sz w:val="20"/>
          <w:szCs w:val="20"/>
        </w:rPr>
        <w:t>. 266 (1986).</w:t>
      </w:r>
    </w:p>
  </w:footnote>
  <w:footnote w:id="108">
    <w:p w:rsidR="006F1A30" w:rsidRPr="000444AC" w:rsidRDefault="006F1A30" w:rsidP="00E1606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Predatory Pricing: Strategic Theory and Legal Policy, 88 Geo. L.J. 2239, 2246 (2000) (</w:t>
      </w:r>
      <w:r w:rsidRPr="000444AC">
        <w:rPr>
          <w:rFonts w:ascii="Times New Roman" w:eastAsia="Times New Roman" w:hAnsi="Times New Roman" w:cs="Times New Roman"/>
          <w:sz w:val="20"/>
          <w:szCs w:val="20"/>
        </w:rPr>
        <w:t>“</w:t>
      </w:r>
      <w:r w:rsidRPr="000444AC">
        <w:rPr>
          <w:rFonts w:ascii="Times New Roman" w:eastAsia="Times New Roman" w:hAnsi="Times New Roman" w:cs="Times New Roman"/>
          <w:color w:val="000000"/>
          <w:sz w:val="20"/>
          <w:szCs w:val="20"/>
          <w:shd w:val="clear" w:color="auto" w:fill="FFFFFF"/>
        </w:rPr>
        <w:t xml:space="preserve">By contrast, recent case studies that have found striking episodes of conduct clearly consistent with predatory pricing, such as the Burns study of the American Tobacco case, have used powerful econometric techniques not employed in earlier, more impressionistic surveys, or have probed deeply into historical archives, as have Fiona Scott Morton and </w:t>
      </w:r>
      <w:proofErr w:type="spellStart"/>
      <w:r w:rsidRPr="000444AC">
        <w:rPr>
          <w:rFonts w:ascii="Times New Roman" w:eastAsia="Times New Roman" w:hAnsi="Times New Roman" w:cs="Times New Roman"/>
          <w:color w:val="000000"/>
          <w:sz w:val="20"/>
          <w:szCs w:val="20"/>
          <w:shd w:val="clear" w:color="auto" w:fill="FFFFFF"/>
        </w:rPr>
        <w:t>Genesove</w:t>
      </w:r>
      <w:proofErr w:type="spellEnd"/>
      <w:r w:rsidRPr="000444AC">
        <w:rPr>
          <w:rFonts w:ascii="Times New Roman" w:eastAsia="Times New Roman" w:hAnsi="Times New Roman" w:cs="Times New Roman"/>
          <w:color w:val="000000"/>
          <w:sz w:val="20"/>
          <w:szCs w:val="20"/>
          <w:shd w:val="clear" w:color="auto" w:fill="FFFFFF"/>
        </w:rPr>
        <w:t xml:space="preserve"> and Mullin.</w:t>
      </w:r>
      <w:r w:rsidRPr="000444AC">
        <w:rPr>
          <w:rFonts w:ascii="Times New Roman" w:eastAsia="Times New Roman" w:hAnsi="Times New Roman" w:cs="Times New Roman"/>
          <w:color w:val="000000"/>
          <w:sz w:val="20"/>
          <w:szCs w:val="20"/>
        </w:rPr>
        <w:t>”).</w:t>
      </w:r>
    </w:p>
  </w:footnote>
  <w:footnote w:id="109">
    <w:p w:rsidR="006F1A30" w:rsidRPr="000444AC" w:rsidRDefault="006F1A30" w:rsidP="00DD66AD">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Patrick Bolton, Joseph F. </w:t>
      </w:r>
      <w:proofErr w:type="spellStart"/>
      <w:r w:rsidRPr="000444AC">
        <w:rPr>
          <w:rFonts w:ascii="Times New Roman" w:hAnsi="Times New Roman" w:cs="Times New Roman"/>
          <w:sz w:val="20"/>
          <w:szCs w:val="20"/>
        </w:rPr>
        <w:t>Brodley</w:t>
      </w:r>
      <w:proofErr w:type="spellEnd"/>
      <w:r w:rsidRPr="000444AC">
        <w:rPr>
          <w:rFonts w:ascii="Times New Roman" w:hAnsi="Times New Roman" w:cs="Times New Roman"/>
          <w:sz w:val="20"/>
          <w:szCs w:val="20"/>
        </w:rPr>
        <w:t xml:space="preserve"> &amp; Michael H. Riordan, </w:t>
      </w:r>
      <w:r w:rsidRPr="000444AC">
        <w:rPr>
          <w:rFonts w:ascii="Times New Roman" w:hAnsi="Times New Roman" w:cs="Times New Roman"/>
          <w:i/>
          <w:sz w:val="20"/>
          <w:szCs w:val="20"/>
        </w:rPr>
        <w:t>Predatory Pricing: Strategy Theory and Legal Policy</w:t>
      </w:r>
      <w:r w:rsidRPr="000444AC">
        <w:rPr>
          <w:rFonts w:ascii="Times New Roman" w:hAnsi="Times New Roman" w:cs="Times New Roman"/>
          <w:sz w:val="20"/>
          <w:szCs w:val="20"/>
        </w:rPr>
        <w:t xml:space="preserve">, 88 </w:t>
      </w:r>
      <w:r w:rsidRPr="000444AC">
        <w:rPr>
          <w:rFonts w:ascii="Times New Roman" w:hAnsi="Times New Roman" w:cs="Times New Roman"/>
          <w:smallCaps/>
          <w:sz w:val="20"/>
          <w:szCs w:val="20"/>
        </w:rPr>
        <w:t>Geo. L.J.</w:t>
      </w:r>
      <w:r w:rsidRPr="000444AC">
        <w:rPr>
          <w:rFonts w:ascii="Times New Roman" w:hAnsi="Times New Roman" w:cs="Times New Roman"/>
          <w:sz w:val="20"/>
          <w:szCs w:val="20"/>
        </w:rPr>
        <w:t xml:space="preserve"> 2239 (2000)</w:t>
      </w:r>
    </w:p>
  </w:footnote>
  <w:footnote w:id="110">
    <w:p w:rsidR="006F1A30" w:rsidRPr="000444AC" w:rsidRDefault="006F1A30" w:rsidP="00C164D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Western Parcel Express v. United Parcel Serv., 65 F.Supp.2d 1052, 1063 (N.D. Cal 1998).</w:t>
      </w:r>
    </w:p>
  </w:footnote>
  <w:footnote w:id="111">
    <w:p w:rsidR="006F1A30" w:rsidRPr="000444AC" w:rsidRDefault="006F1A30" w:rsidP="00C164D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Rose Acre, 881 F.2d at 1401 (“Price less than cost today, followed by the competitive price tomorrow, bestows a gift on consumers. Because antitrust laws are designed for the benefit of consumers, not competitors, a gift of this kind is not actionable.”).</w:t>
      </w:r>
    </w:p>
  </w:footnote>
  <w:footnote w:id="112">
    <w:p w:rsidR="006F1A30" w:rsidRPr="000444AC" w:rsidRDefault="006F1A30" w:rsidP="00C164D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Brooke Group</w:t>
      </w:r>
      <w:r w:rsidRPr="000444AC">
        <w:rPr>
          <w:rFonts w:ascii="Times New Roman" w:hAnsi="Times New Roman" w:cs="Times New Roman"/>
          <w:sz w:val="20"/>
          <w:szCs w:val="20"/>
        </w:rPr>
        <w:t xml:space="preserve">, 509 U.S. at 224; </w:t>
      </w:r>
      <w:r w:rsidRPr="000444AC">
        <w:rPr>
          <w:rFonts w:ascii="Times New Roman" w:hAnsi="Times New Roman" w:cs="Times New Roman"/>
          <w:i/>
          <w:sz w:val="20"/>
          <w:szCs w:val="20"/>
        </w:rPr>
        <w:t xml:space="preserve">see also </w:t>
      </w:r>
      <w:r w:rsidRPr="000444AC">
        <w:rPr>
          <w:rFonts w:ascii="Times New Roman" w:hAnsi="Times New Roman" w:cs="Times New Roman"/>
          <w:sz w:val="20"/>
          <w:szCs w:val="20"/>
        </w:rPr>
        <w:t xml:space="preserve">Atlantic Richfield Co. v. USA Petroleum Co., 495 U.S. 328, 340 (1990) (“Low prices benefit consumers regardless of how those prices are set.”); Michael L. Freedman, </w:t>
      </w:r>
      <w:r w:rsidRPr="000444AC">
        <w:rPr>
          <w:rFonts w:ascii="Times New Roman" w:hAnsi="Times New Roman" w:cs="Times New Roman"/>
          <w:i/>
          <w:sz w:val="20"/>
          <w:szCs w:val="20"/>
        </w:rPr>
        <w:t xml:space="preserve">Predatory Pricing after </w:t>
      </w:r>
      <w:r w:rsidRPr="000444AC">
        <w:rPr>
          <w:rFonts w:ascii="Times New Roman" w:hAnsi="Times New Roman" w:cs="Times New Roman"/>
          <w:sz w:val="20"/>
          <w:szCs w:val="20"/>
        </w:rPr>
        <w:t>Brook Group</w:t>
      </w:r>
      <w:r w:rsidRPr="000444AC">
        <w:rPr>
          <w:rFonts w:ascii="Times New Roman" w:hAnsi="Times New Roman" w:cs="Times New Roman"/>
          <w:i/>
          <w:sz w:val="20"/>
          <w:szCs w:val="20"/>
        </w:rPr>
        <w:t>: Economic Goals Prevail</w:t>
      </w:r>
      <w:r w:rsidRPr="000444AC">
        <w:rPr>
          <w:rFonts w:ascii="Times New Roman" w:hAnsi="Times New Roman" w:cs="Times New Roman"/>
          <w:sz w:val="20"/>
          <w:szCs w:val="20"/>
        </w:rPr>
        <w:t xml:space="preserve">, 58 </w:t>
      </w:r>
      <w:r w:rsidRPr="000444AC">
        <w:rPr>
          <w:rFonts w:ascii="Times New Roman" w:hAnsi="Times New Roman" w:cs="Times New Roman"/>
          <w:smallCaps/>
          <w:sz w:val="20"/>
          <w:szCs w:val="20"/>
        </w:rPr>
        <w:t>Alb. L. Rev.</w:t>
      </w:r>
      <w:r w:rsidRPr="000444AC">
        <w:rPr>
          <w:rFonts w:ascii="Times New Roman" w:hAnsi="Times New Roman" w:cs="Times New Roman"/>
          <w:sz w:val="20"/>
          <w:szCs w:val="20"/>
        </w:rPr>
        <w:t xml:space="preserve"> 243, 253 (1994) (citing </w:t>
      </w:r>
      <w:r w:rsidRPr="000444AC">
        <w:rPr>
          <w:rFonts w:ascii="Times New Roman" w:hAnsi="Times New Roman" w:cs="Times New Roman"/>
          <w:i/>
          <w:sz w:val="20"/>
          <w:szCs w:val="20"/>
        </w:rPr>
        <w:t>Brooke Group</w:t>
      </w:r>
      <w:r w:rsidRPr="000444AC">
        <w:rPr>
          <w:rFonts w:ascii="Times New Roman" w:hAnsi="Times New Roman" w:cs="Times New Roman"/>
          <w:color w:val="000000"/>
          <w:sz w:val="20"/>
          <w:szCs w:val="20"/>
        </w:rPr>
        <w:t>) (</w:t>
      </w:r>
      <w:r w:rsidRPr="000444AC">
        <w:rPr>
          <w:rFonts w:ascii="Times New Roman" w:hAnsi="Times New Roman" w:cs="Times New Roman"/>
          <w:sz w:val="20"/>
          <w:szCs w:val="20"/>
        </w:rPr>
        <w:t>“</w:t>
      </w:r>
      <w:r w:rsidRPr="000444AC">
        <w:rPr>
          <w:rFonts w:ascii="Times New Roman" w:hAnsi="Times New Roman" w:cs="Times New Roman"/>
          <w:color w:val="000000"/>
          <w:sz w:val="20"/>
          <w:szCs w:val="20"/>
        </w:rPr>
        <w:t>Without the possibility of recoupment, below-cost pricing results in enhanced consumer welfare and will not be discouraged by the courts.”)</w:t>
      </w:r>
      <w:r w:rsidRPr="000444AC">
        <w:rPr>
          <w:rFonts w:ascii="Times New Roman" w:hAnsi="Times New Roman" w:cs="Times New Roman"/>
          <w:sz w:val="20"/>
          <w:szCs w:val="20"/>
        </w:rPr>
        <w:t>.</w:t>
      </w:r>
    </w:p>
  </w:footnote>
  <w:footnote w:id="113">
    <w:p w:rsidR="006F1A30" w:rsidRPr="000444AC" w:rsidRDefault="006F1A30" w:rsidP="00C164D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Advo</w:t>
      </w:r>
      <w:proofErr w:type="spellEnd"/>
      <w:r w:rsidRPr="000444AC">
        <w:rPr>
          <w:rFonts w:ascii="Times New Roman" w:hAnsi="Times New Roman" w:cs="Times New Roman"/>
          <w:sz w:val="20"/>
          <w:szCs w:val="20"/>
        </w:rPr>
        <w:t>, Inc. v. Philadelphia Newspapers, Inc., 51 F.3d 1191, 1200 (3rd Cir. 1995)</w:t>
      </w:r>
    </w:p>
  </w:footnote>
  <w:footnote w:id="114">
    <w:p w:rsidR="006F1A30" w:rsidRPr="000444AC" w:rsidRDefault="006F1A30" w:rsidP="008E7B8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See Leslie, Recoupment at __ (using competing scenarios to prove this point).</w:t>
      </w:r>
    </w:p>
  </w:footnote>
  <w:footnote w:id="115">
    <w:p w:rsidR="006F1A30" w:rsidRPr="000444AC" w:rsidRDefault="006F1A30" w:rsidP="008E7B8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116">
    <w:p w:rsidR="006F1A30" w:rsidRPr="000444AC" w:rsidRDefault="006F1A30" w:rsidP="00C164D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117">
    <w:p w:rsidR="006F1A30" w:rsidRPr="000444AC" w:rsidRDefault="006F1A30" w:rsidP="00C164D6">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 xml:space="preserve">Areeda &amp; Hovenkamp,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note __ at ¶726.</w:t>
      </w:r>
    </w:p>
  </w:footnote>
  <w:footnote w:id="118">
    <w:p w:rsidR="006F1A30" w:rsidRPr="000444AC" w:rsidRDefault="006F1A30" w:rsidP="0026021A">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e.g.</w:t>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United States v. Falstaff Brewing Corp</w:t>
      </w:r>
      <w:r w:rsidRPr="000444AC">
        <w:rPr>
          <w:rFonts w:ascii="Times New Roman" w:hAnsi="Times New Roman" w:cs="Times New Roman"/>
          <w:sz w:val="20"/>
          <w:szCs w:val="20"/>
        </w:rPr>
        <w:t xml:space="preserve">., 410 U.S. 526, 572 (1973); Greene v. General Food Corp., 517 F.2d 635, 646 (5th Cir. 1975) (“In any event, the degree of profitability or its lack resulting from an alleged antitrust violation should play no part in the determination whether the plaintiff’s suit should be barred on equitable grounds.”); Leslie, Recoupment, at __; </w:t>
      </w:r>
    </w:p>
  </w:footnote>
  <w:footnote w:id="119">
    <w:p w:rsidR="006F1A30" w:rsidRPr="000444AC" w:rsidRDefault="006F1A30" w:rsidP="0026021A">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 xml:space="preserve">Areeda &amp; Hovenkamp,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note __ at ¶725.</w:t>
      </w:r>
    </w:p>
  </w:footnote>
  <w:footnote w:id="120">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121">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 (explaining how difficulty and unlikely reenter is).</w:t>
      </w:r>
    </w:p>
  </w:footnote>
  <w:footnote w:id="122">
    <w:p w:rsidR="006F1A30" w:rsidRPr="000444AC" w:rsidRDefault="006F1A30">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Rationality Analysis.</w:t>
      </w:r>
    </w:p>
  </w:footnote>
  <w:footnote w:id="123">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124">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125">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 (discussing </w:t>
      </w:r>
      <w:r w:rsidRPr="000444AC">
        <w:rPr>
          <w:rFonts w:ascii="Times New Roman" w:hAnsi="Times New Roman" w:cs="Times New Roman"/>
          <w:i/>
          <w:sz w:val="20"/>
          <w:szCs w:val="20"/>
        </w:rPr>
        <w:t>Microsoft</w:t>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Edlin</w:t>
      </w:r>
      <w:proofErr w:type="spellEnd"/>
      <w:r w:rsidRPr="000444AC">
        <w:rPr>
          <w:rFonts w:ascii="Times New Roman" w:hAnsi="Times New Roman" w:cs="Times New Roman"/>
          <w:sz w:val="20"/>
          <w:szCs w:val="20"/>
        </w:rPr>
        <w:t xml:space="preserve"> &amp; Farrell,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note __ at 509 (noting that “‘sacrifice’ in one product can be immediately recouped (often quite legitimately) because it boosts profits in a complementary product.”).</w:t>
      </w:r>
    </w:p>
  </w:footnote>
  <w:footnote w:id="126">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 (discussing </w:t>
      </w:r>
      <w:r w:rsidRPr="000444AC">
        <w:rPr>
          <w:rFonts w:ascii="Times New Roman" w:hAnsi="Times New Roman" w:cs="Times New Roman"/>
          <w:i/>
          <w:sz w:val="20"/>
          <w:szCs w:val="20"/>
        </w:rPr>
        <w:t>Brooke Group</w:t>
      </w:r>
      <w:r w:rsidRPr="000444AC">
        <w:rPr>
          <w:rFonts w:ascii="Times New Roman" w:hAnsi="Times New Roman" w:cs="Times New Roman"/>
          <w:sz w:val="20"/>
          <w:szCs w:val="20"/>
        </w:rPr>
        <w:t>)</w:t>
      </w:r>
    </w:p>
  </w:footnote>
  <w:footnote w:id="127">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  (discussing </w:t>
      </w:r>
      <w:r w:rsidRPr="000444AC">
        <w:rPr>
          <w:rFonts w:ascii="Times New Roman" w:hAnsi="Times New Roman" w:cs="Times New Roman"/>
          <w:i/>
          <w:sz w:val="20"/>
          <w:szCs w:val="20"/>
        </w:rPr>
        <w:t>Stitt Spark Plug Co. v. Champion Spark Plug Co</w:t>
      </w:r>
      <w:r w:rsidRPr="000444AC">
        <w:rPr>
          <w:rFonts w:ascii="Times New Roman" w:hAnsi="Times New Roman" w:cs="Times New Roman"/>
          <w:sz w:val="20"/>
          <w:szCs w:val="20"/>
        </w:rPr>
        <w:t xml:space="preserve">., 840 F.2d 1253 (5th Cir. 1988); </w:t>
      </w:r>
      <w:proofErr w:type="spellStart"/>
      <w:r w:rsidRPr="000444AC">
        <w:rPr>
          <w:rFonts w:ascii="Times New Roman" w:hAnsi="Times New Roman" w:cs="Times New Roman"/>
          <w:i/>
          <w:sz w:val="20"/>
          <w:szCs w:val="20"/>
        </w:rPr>
        <w:t>Kentmaster</w:t>
      </w:r>
      <w:proofErr w:type="spellEnd"/>
      <w:r w:rsidRPr="000444AC">
        <w:rPr>
          <w:rFonts w:ascii="Times New Roman" w:hAnsi="Times New Roman" w:cs="Times New Roman"/>
          <w:i/>
          <w:sz w:val="20"/>
          <w:szCs w:val="20"/>
        </w:rPr>
        <w:t xml:space="preserve"> Manuf. Co. v. Jarvis Products Corp</w:t>
      </w:r>
      <w:r w:rsidRPr="000444AC">
        <w:rPr>
          <w:rFonts w:ascii="Times New Roman" w:hAnsi="Times New Roman" w:cs="Times New Roman"/>
          <w:sz w:val="20"/>
          <w:szCs w:val="20"/>
        </w:rPr>
        <w:t xml:space="preserve">., 146 F.3d 691 (9th Cir. 1998); </w:t>
      </w:r>
      <w:r w:rsidRPr="000444AC">
        <w:rPr>
          <w:rFonts w:ascii="Times New Roman" w:hAnsi="Times New Roman" w:cs="Times New Roman"/>
          <w:i/>
          <w:sz w:val="20"/>
          <w:szCs w:val="20"/>
        </w:rPr>
        <w:t xml:space="preserve">Directory Sales </w:t>
      </w:r>
      <w:proofErr w:type="spellStart"/>
      <w:r w:rsidRPr="000444AC">
        <w:rPr>
          <w:rFonts w:ascii="Times New Roman" w:hAnsi="Times New Roman" w:cs="Times New Roman"/>
          <w:i/>
          <w:sz w:val="20"/>
          <w:szCs w:val="20"/>
        </w:rPr>
        <w:t>Mgmt</w:t>
      </w:r>
      <w:proofErr w:type="spellEnd"/>
      <w:r w:rsidRPr="000444AC">
        <w:rPr>
          <w:rFonts w:ascii="Times New Roman" w:hAnsi="Times New Roman" w:cs="Times New Roman"/>
          <w:i/>
          <w:sz w:val="20"/>
          <w:szCs w:val="20"/>
        </w:rPr>
        <w:t xml:space="preserve"> Corp. v. Ohio Bell Telephone Co</w:t>
      </w:r>
      <w:r w:rsidRPr="000444AC">
        <w:rPr>
          <w:rFonts w:ascii="Times New Roman" w:hAnsi="Times New Roman" w:cs="Times New Roman"/>
          <w:sz w:val="20"/>
          <w:szCs w:val="20"/>
        </w:rPr>
        <w:t>., 833 F.2d 606 (6th Cir. 1987)).</w:t>
      </w:r>
    </w:p>
  </w:footnote>
  <w:footnote w:id="128">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Recoupment at __.</w:t>
      </w:r>
    </w:p>
  </w:footnote>
  <w:footnote w:id="129">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Matsushita</w:t>
      </w:r>
      <w:r w:rsidRPr="000444AC">
        <w:rPr>
          <w:rFonts w:ascii="Times New Roman" w:hAnsi="Times New Roman" w:cs="Times New Roman"/>
          <w:sz w:val="20"/>
          <w:szCs w:val="20"/>
        </w:rPr>
        <w:t>, 475 U.S. at 592.</w:t>
      </w:r>
    </w:p>
  </w:footnote>
  <w:footnote w:id="130">
    <w:p w:rsidR="006F1A30" w:rsidRPr="000444AC" w:rsidRDefault="006F1A30" w:rsidP="00823458">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Bolton, </w:t>
      </w:r>
      <w:proofErr w:type="spellStart"/>
      <w:r w:rsidRPr="000444AC">
        <w:rPr>
          <w:rFonts w:ascii="Times New Roman" w:hAnsi="Times New Roman" w:cs="Times New Roman"/>
          <w:sz w:val="20"/>
          <w:szCs w:val="20"/>
        </w:rPr>
        <w:t>Brodley</w:t>
      </w:r>
      <w:proofErr w:type="spellEnd"/>
      <w:r w:rsidRPr="000444AC">
        <w:rPr>
          <w:rFonts w:ascii="Times New Roman" w:hAnsi="Times New Roman" w:cs="Times New Roman"/>
          <w:sz w:val="20"/>
          <w:szCs w:val="20"/>
        </w:rPr>
        <w:t xml:space="preserve"> &amp; Riordan, (“Response”) </w:t>
      </w:r>
      <w:r w:rsidRPr="000444AC">
        <w:rPr>
          <w:rFonts w:ascii="Times New Roman" w:hAnsi="Times New Roman" w:cs="Times New Roman"/>
          <w:i/>
          <w:sz w:val="20"/>
          <w:szCs w:val="20"/>
        </w:rPr>
        <w:t xml:space="preserve">supra </w:t>
      </w:r>
      <w:r w:rsidRPr="000444AC">
        <w:rPr>
          <w:rFonts w:ascii="Times New Roman" w:hAnsi="Times New Roman" w:cs="Times New Roman"/>
          <w:sz w:val="20"/>
          <w:szCs w:val="20"/>
        </w:rPr>
        <w:t>note __ at 2502 (“While a predatory pricing strategy by an oligopoly may be partially undermined by free riding, it can still be profitable.</w:t>
      </w:r>
      <w:bookmarkStart w:id="37" w:name="Document2zzB40287112288"/>
      <w:bookmarkEnd w:id="37"/>
      <w:r w:rsidRPr="000444AC">
        <w:rPr>
          <w:rFonts w:ascii="Times New Roman" w:hAnsi="Times New Roman" w:cs="Times New Roman"/>
          <w:sz w:val="20"/>
          <w:szCs w:val="20"/>
        </w:rPr>
        <w:t xml:space="preserve"> As a result, some or all members of the oligopoly may have an incentive to adopt aggressive policies, such as below-cost pricing, that contribute to the foreclosure of new entrants.”) (citing Kyle Bagwell &amp; </w:t>
      </w:r>
      <w:proofErr w:type="spellStart"/>
      <w:r w:rsidRPr="000444AC">
        <w:rPr>
          <w:rFonts w:ascii="Times New Roman" w:hAnsi="Times New Roman" w:cs="Times New Roman"/>
          <w:sz w:val="20"/>
          <w:szCs w:val="20"/>
        </w:rPr>
        <w:t>Garey</w:t>
      </w:r>
      <w:proofErr w:type="spellEnd"/>
      <w:r w:rsidRPr="000444AC">
        <w:rPr>
          <w:rFonts w:ascii="Times New Roman" w:hAnsi="Times New Roman" w:cs="Times New Roman"/>
          <w:sz w:val="20"/>
          <w:szCs w:val="20"/>
        </w:rPr>
        <w:t xml:space="preserve"> Ramey, </w:t>
      </w:r>
      <w:r w:rsidRPr="000444AC">
        <w:rPr>
          <w:rFonts w:ascii="Times New Roman" w:hAnsi="Times New Roman" w:cs="Times New Roman"/>
          <w:i/>
          <w:sz w:val="20"/>
          <w:szCs w:val="20"/>
        </w:rPr>
        <w:t>Oligopoly Limit Pricing</w:t>
      </w:r>
      <w:r w:rsidRPr="000444AC">
        <w:rPr>
          <w:rFonts w:ascii="Times New Roman" w:hAnsi="Times New Roman" w:cs="Times New Roman"/>
          <w:sz w:val="20"/>
          <w:szCs w:val="20"/>
        </w:rPr>
        <w:t xml:space="preserve">, 22 RAND J. Econ. 155, 165-67 (1991); B. Douglas </w:t>
      </w:r>
      <w:proofErr w:type="spellStart"/>
      <w:r w:rsidRPr="000444AC">
        <w:rPr>
          <w:rFonts w:ascii="Times New Roman" w:hAnsi="Times New Roman" w:cs="Times New Roman"/>
          <w:sz w:val="20"/>
          <w:szCs w:val="20"/>
        </w:rPr>
        <w:t>Bernheim</w:t>
      </w:r>
      <w:proofErr w:type="spellEnd"/>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Strategic Deterrence of Sequential Entry into an Industry</w:t>
      </w:r>
      <w:r w:rsidRPr="000444AC">
        <w:rPr>
          <w:rFonts w:ascii="Times New Roman" w:hAnsi="Times New Roman" w:cs="Times New Roman"/>
          <w:sz w:val="20"/>
          <w:szCs w:val="20"/>
        </w:rPr>
        <w:t xml:space="preserve">, 15 RAND J. Econ. 1, 1-4 (1984); Richard Gilbert &amp; Xavier </w:t>
      </w:r>
      <w:proofErr w:type="spellStart"/>
      <w:r w:rsidRPr="000444AC">
        <w:rPr>
          <w:rFonts w:ascii="Times New Roman" w:hAnsi="Times New Roman" w:cs="Times New Roman"/>
          <w:sz w:val="20"/>
          <w:szCs w:val="20"/>
        </w:rPr>
        <w:t>Vives</w:t>
      </w:r>
      <w:proofErr w:type="spellEnd"/>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Entry Deterrence and the Free Rider Problem</w:t>
      </w:r>
      <w:r w:rsidRPr="000444AC">
        <w:rPr>
          <w:rFonts w:ascii="Times New Roman" w:hAnsi="Times New Roman" w:cs="Times New Roman"/>
          <w:sz w:val="20"/>
          <w:szCs w:val="20"/>
        </w:rPr>
        <w:t xml:space="preserve">, 53 </w:t>
      </w:r>
      <w:r w:rsidRPr="000444AC">
        <w:rPr>
          <w:rFonts w:ascii="Times New Roman" w:hAnsi="Times New Roman" w:cs="Times New Roman"/>
          <w:smallCaps/>
          <w:sz w:val="20"/>
          <w:szCs w:val="20"/>
        </w:rPr>
        <w:t>Rev. Econ. Stud</w:t>
      </w:r>
      <w:r w:rsidRPr="000444AC">
        <w:rPr>
          <w:rFonts w:ascii="Times New Roman" w:hAnsi="Times New Roman" w:cs="Times New Roman"/>
          <w:sz w:val="20"/>
          <w:szCs w:val="20"/>
        </w:rPr>
        <w:t xml:space="preserve">. 71, 81 (1986); Michael H. Riordan &amp; Richard P. McLean, Industry Structure with Sequential Technology Choice, 47 </w:t>
      </w:r>
      <w:r w:rsidRPr="000444AC">
        <w:rPr>
          <w:rFonts w:ascii="Times New Roman" w:hAnsi="Times New Roman" w:cs="Times New Roman"/>
          <w:smallCaps/>
          <w:sz w:val="20"/>
          <w:szCs w:val="20"/>
        </w:rPr>
        <w:t>J. Econ. Theory</w:t>
      </w:r>
      <w:r w:rsidRPr="000444AC">
        <w:rPr>
          <w:rFonts w:ascii="Times New Roman" w:hAnsi="Times New Roman" w:cs="Times New Roman"/>
          <w:sz w:val="20"/>
          <w:szCs w:val="20"/>
        </w:rPr>
        <w:t xml:space="preserve"> 1, 1-3 (1989); Michael Waldman, </w:t>
      </w:r>
      <w:r w:rsidRPr="000444AC">
        <w:rPr>
          <w:rFonts w:ascii="Times New Roman" w:hAnsi="Times New Roman" w:cs="Times New Roman"/>
          <w:i/>
          <w:sz w:val="20"/>
          <w:szCs w:val="20"/>
        </w:rPr>
        <w:t>Noncooperative Entry Deterrence, Uncertainty and the Free Rider Problem</w:t>
      </w:r>
      <w:r w:rsidRPr="000444AC">
        <w:rPr>
          <w:rFonts w:ascii="Times New Roman" w:hAnsi="Times New Roman" w:cs="Times New Roman"/>
          <w:sz w:val="20"/>
          <w:szCs w:val="20"/>
        </w:rPr>
        <w:t xml:space="preserve">, 54 </w:t>
      </w:r>
      <w:r w:rsidRPr="000444AC">
        <w:rPr>
          <w:rFonts w:ascii="Times New Roman" w:hAnsi="Times New Roman" w:cs="Times New Roman"/>
          <w:smallCaps/>
          <w:sz w:val="20"/>
          <w:szCs w:val="20"/>
        </w:rPr>
        <w:t>Rev. Econ. Stud</w:t>
      </w:r>
      <w:r w:rsidRPr="000444AC">
        <w:rPr>
          <w:rFonts w:ascii="Times New Roman" w:hAnsi="Times New Roman" w:cs="Times New Roman"/>
          <w:sz w:val="20"/>
          <w:szCs w:val="20"/>
        </w:rPr>
        <w:t>. 301, 301-02 (1987)).</w:t>
      </w:r>
    </w:p>
  </w:footnote>
  <w:footnote w:id="131">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Brooke Group</w:t>
      </w:r>
      <w:r w:rsidRPr="000444AC">
        <w:rPr>
          <w:rFonts w:ascii="Times New Roman" w:hAnsi="Times New Roman" w:cs="Times New Roman"/>
          <w:sz w:val="20"/>
          <w:szCs w:val="20"/>
        </w:rPr>
        <w:t>, 509 U.S. at 238.</w:t>
      </w:r>
    </w:p>
  </w:footnote>
  <w:footnote w:id="132">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at 214 (“The cigarette industry…has long been one of America’s most profitable, in part because for many years there was no significant price competition among the rival firms.”).</w:t>
      </w:r>
    </w:p>
  </w:footnote>
  <w:footnote w:id="133">
    <w:p w:rsidR="006F1A30" w:rsidRPr="000444AC" w:rsidRDefault="006F1A30" w:rsidP="00A700DB">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xml:space="preserve">. </w:t>
      </w:r>
    </w:p>
  </w:footnote>
  <w:footnote w:id="134">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549 U.S. 312 (2007).</w:t>
      </w:r>
    </w:p>
  </w:footnote>
  <w:footnote w:id="135">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316.</w:t>
      </w:r>
    </w:p>
  </w:footnote>
  <w:footnote w:id="136">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Cs/>
          <w:color w:val="000000"/>
          <w:sz w:val="20"/>
          <w:szCs w:val="20"/>
          <w:bdr w:val="none" w:sz="0" w:space="0" w:color="auto" w:frame="1"/>
        </w:rPr>
        <w:t>Confederated Tribes of Siletz Indians of Ore. v. Weyerhaeuser Co.,</w:t>
      </w:r>
      <w:r w:rsidRPr="000444AC">
        <w:rPr>
          <w:rFonts w:ascii="Times New Roman" w:eastAsia="Times New Roman" w:hAnsi="Times New Roman" w:cs="Times New Roman"/>
          <w:color w:val="000000"/>
          <w:sz w:val="20"/>
          <w:szCs w:val="20"/>
        </w:rPr>
        <w:t> 411 F.3d 1030, 1035-1036 (9th Cir. 2005).</w:t>
      </w:r>
    </w:p>
  </w:footnote>
  <w:footnote w:id="137">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Weyerhaeuser</w:t>
      </w:r>
      <w:r w:rsidRPr="000444AC">
        <w:rPr>
          <w:rFonts w:ascii="Times New Roman" w:eastAsia="Times New Roman" w:hAnsi="Times New Roman" w:cs="Times New Roman"/>
          <w:color w:val="000000"/>
          <w:sz w:val="20"/>
          <w:szCs w:val="20"/>
        </w:rPr>
        <w:t xml:space="preserve">, </w:t>
      </w:r>
      <w:r w:rsidRPr="000444AC">
        <w:rPr>
          <w:rFonts w:ascii="Times New Roman" w:hAnsi="Times New Roman" w:cs="Times New Roman"/>
          <w:sz w:val="20"/>
          <w:szCs w:val="20"/>
        </w:rPr>
        <w:t>549 U.S.</w:t>
      </w:r>
      <w:r w:rsidRPr="000444AC">
        <w:rPr>
          <w:rFonts w:ascii="Times New Roman" w:eastAsia="Times New Roman" w:hAnsi="Times New Roman" w:cs="Times New Roman"/>
          <w:color w:val="000000"/>
          <w:sz w:val="20"/>
          <w:szCs w:val="20"/>
        </w:rPr>
        <w:t xml:space="preserve"> at 322 n.3.</w:t>
      </w:r>
    </w:p>
  </w:footnote>
  <w:footnote w:id="138">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321.</w:t>
      </w:r>
    </w:p>
  </w:footnote>
  <w:footnote w:id="139">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xml:space="preserve">. at 321-22 (citing Hovenkamp, The Law of Exclusionary Pricing, 2 Competition Policy Int'l, No. 1, pp. 21, 35 (Spring 2006); Kirkwood at 653; </w:t>
      </w:r>
      <w:r w:rsidRPr="000444AC">
        <w:rPr>
          <w:rFonts w:ascii="Times New Roman" w:eastAsia="Times New Roman" w:hAnsi="Times New Roman" w:cs="Times New Roman"/>
          <w:i/>
          <w:iCs/>
          <w:color w:val="000000"/>
          <w:sz w:val="20"/>
          <w:szCs w:val="20"/>
          <w:bdr w:val="none" w:sz="0" w:space="0" w:color="auto" w:frame="1"/>
        </w:rPr>
        <w:t>Khan v. State Oil Co.,</w:t>
      </w:r>
      <w:r w:rsidRPr="000444AC">
        <w:rPr>
          <w:rFonts w:ascii="Times New Roman" w:eastAsia="Times New Roman" w:hAnsi="Times New Roman" w:cs="Times New Roman"/>
          <w:color w:val="000000"/>
          <w:sz w:val="20"/>
          <w:szCs w:val="20"/>
        </w:rPr>
        <w:t> 93 F.3d 1358, 1361 (C.A.7 1996); </w:t>
      </w:r>
      <w:r w:rsidRPr="000444AC">
        <w:rPr>
          <w:rFonts w:ascii="Times New Roman" w:eastAsia="Times New Roman" w:hAnsi="Times New Roman" w:cs="Times New Roman"/>
          <w:i/>
          <w:iCs/>
          <w:color w:val="000000"/>
          <w:sz w:val="20"/>
          <w:szCs w:val="20"/>
          <w:bdr w:val="none" w:sz="0" w:space="0" w:color="auto" w:frame="1"/>
        </w:rPr>
        <w:t>Vogel v. American Soc. of Appraisers,</w:t>
      </w:r>
      <w:r w:rsidRPr="000444AC">
        <w:rPr>
          <w:rFonts w:ascii="Times New Roman" w:eastAsia="Times New Roman" w:hAnsi="Times New Roman" w:cs="Times New Roman"/>
          <w:color w:val="000000"/>
          <w:sz w:val="20"/>
          <w:szCs w:val="20"/>
        </w:rPr>
        <w:t> 744 F.2d 598, 601 (C.A.7 1984)).</w:t>
      </w:r>
    </w:p>
  </w:footnote>
  <w:footnote w:id="140">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322.</w:t>
      </w:r>
    </w:p>
  </w:footnote>
  <w:footnote w:id="141">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Walker Process</w:t>
      </w:r>
    </w:p>
  </w:footnote>
  <w:footnote w:id="142">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Dentsply</w:t>
      </w:r>
    </w:p>
  </w:footnote>
  <w:footnote w:id="143">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Aspen Skiing</w:t>
      </w:r>
    </w:p>
  </w:footnote>
  <w:footnote w:id="144">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322.</w:t>
      </w:r>
    </w:p>
  </w:footnote>
  <w:footnote w:id="145">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322.</w:t>
      </w:r>
    </w:p>
  </w:footnote>
  <w:footnote w:id="146">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323.</w:t>
      </w:r>
    </w:p>
  </w:footnote>
  <w:footnote w:id="147">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 xml:space="preserve">Justice Thomas wrote that “a firm might bid up input prices to acquire excess inputs as a hedge against the risk of future rises in input costs or future input shortages.”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323. His reasoning is deeply flawed because guarding against future price increases is not a reason why any firm would want to affirmatively “</w:t>
      </w:r>
      <w:r w:rsidRPr="000444AC">
        <w:rPr>
          <w:rFonts w:ascii="Times New Roman" w:eastAsia="Times New Roman" w:hAnsi="Times New Roman" w:cs="Times New Roman"/>
          <w:i/>
          <w:color w:val="000000"/>
          <w:sz w:val="20"/>
          <w:szCs w:val="20"/>
        </w:rPr>
        <w:t>bid up</w:t>
      </w:r>
      <w:r w:rsidRPr="000444AC">
        <w:rPr>
          <w:rFonts w:ascii="Times New Roman" w:eastAsia="Times New Roman" w:hAnsi="Times New Roman" w:cs="Times New Roman"/>
          <w:color w:val="000000"/>
          <w:sz w:val="20"/>
          <w:szCs w:val="20"/>
        </w:rPr>
        <w:t xml:space="preserve"> inputs prices.” The most logical reason why a firm would want to do that would be to hurt its rivals. </w:t>
      </w:r>
      <w:r w:rsidRPr="000444AC">
        <w:rPr>
          <w:rStyle w:val="apple-style-span"/>
          <w:rFonts w:ascii="Times New Roman" w:hAnsi="Times New Roman" w:cs="Times New Roman"/>
          <w:color w:val="000000"/>
          <w:sz w:val="20"/>
          <w:szCs w:val="20"/>
        </w:rPr>
        <w:t xml:space="preserve">Thomas G. </w:t>
      </w:r>
      <w:proofErr w:type="spellStart"/>
      <w:r w:rsidRPr="000444AC">
        <w:rPr>
          <w:rStyle w:val="apple-style-span"/>
          <w:rFonts w:ascii="Times New Roman" w:hAnsi="Times New Roman" w:cs="Times New Roman"/>
          <w:color w:val="000000"/>
          <w:sz w:val="20"/>
          <w:szCs w:val="20"/>
        </w:rPr>
        <w:t>Krattenmaker</w:t>
      </w:r>
      <w:proofErr w:type="spellEnd"/>
      <w:r w:rsidRPr="000444AC">
        <w:rPr>
          <w:rStyle w:val="apple-style-span"/>
          <w:rFonts w:ascii="Times New Roman" w:hAnsi="Times New Roman" w:cs="Times New Roman"/>
          <w:color w:val="000000"/>
          <w:sz w:val="20"/>
          <w:szCs w:val="20"/>
        </w:rPr>
        <w:t xml:space="preserve"> &amp; Steven C. Salop, </w:t>
      </w:r>
      <w:r w:rsidRPr="000444AC">
        <w:rPr>
          <w:rStyle w:val="apple-style-span"/>
          <w:rFonts w:ascii="Times New Roman" w:hAnsi="Times New Roman" w:cs="Times New Roman"/>
          <w:i/>
          <w:color w:val="000000"/>
          <w:sz w:val="20"/>
          <w:szCs w:val="20"/>
        </w:rPr>
        <w:t xml:space="preserve">Anticompetitive Exclusion: Raising Rivals’ Costs to Achieve Power over Price, </w:t>
      </w:r>
      <w:r w:rsidRPr="000444AC">
        <w:rPr>
          <w:rStyle w:val="apple-style-span"/>
          <w:rFonts w:ascii="Times New Roman" w:hAnsi="Times New Roman" w:cs="Times New Roman"/>
          <w:color w:val="000000"/>
          <w:sz w:val="20"/>
          <w:szCs w:val="20"/>
        </w:rPr>
        <w:t xml:space="preserve">96 </w:t>
      </w:r>
      <w:r w:rsidRPr="000444AC">
        <w:rPr>
          <w:rStyle w:val="apple-style-span"/>
          <w:rFonts w:ascii="Times New Roman" w:hAnsi="Times New Roman" w:cs="Times New Roman"/>
          <w:smallCaps/>
          <w:color w:val="000000"/>
          <w:sz w:val="20"/>
          <w:szCs w:val="20"/>
        </w:rPr>
        <w:t>Yale L.J.</w:t>
      </w:r>
      <w:r w:rsidRPr="000444AC">
        <w:rPr>
          <w:rStyle w:val="apple-style-span"/>
          <w:rFonts w:ascii="Times New Roman" w:hAnsi="Times New Roman" w:cs="Times New Roman"/>
          <w:color w:val="000000"/>
          <w:sz w:val="20"/>
          <w:szCs w:val="20"/>
        </w:rPr>
        <w:t xml:space="preserve"> 209 (1986)</w:t>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In any case, Thomas’s concession reveals a fundamental distinction between predatory pricing and predatory overbuying.</w:t>
      </w:r>
    </w:p>
  </w:footnote>
  <w:footnote w:id="148">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323 (“More importantly, predatory bidding mirrors predatory pricing in respects that we deemed significant to our analysis in </w:t>
      </w:r>
      <w:r w:rsidRPr="000444AC">
        <w:rPr>
          <w:rFonts w:ascii="Times New Roman" w:eastAsia="Times New Roman" w:hAnsi="Times New Roman" w:cs="Times New Roman"/>
          <w:i/>
          <w:iCs/>
          <w:color w:val="000000"/>
          <w:sz w:val="20"/>
          <w:szCs w:val="20"/>
          <w:bdr w:val="none" w:sz="0" w:space="0" w:color="auto" w:frame="1"/>
        </w:rPr>
        <w:t>Brooke Group</w:t>
      </w:r>
      <w:r w:rsidRPr="000444AC">
        <w:rPr>
          <w:rFonts w:ascii="Times New Roman" w:eastAsia="Times New Roman" w:hAnsi="Times New Roman" w:cs="Times New Roman"/>
          <w:color w:val="000000"/>
          <w:sz w:val="20"/>
          <w:szCs w:val="20"/>
        </w:rPr>
        <w:t>. In </w:t>
      </w:r>
      <w:r w:rsidRPr="000444AC">
        <w:rPr>
          <w:rFonts w:ascii="Times New Roman" w:eastAsia="Times New Roman" w:hAnsi="Times New Roman" w:cs="Times New Roman"/>
          <w:i/>
          <w:iCs/>
          <w:color w:val="000000"/>
          <w:sz w:val="20"/>
          <w:szCs w:val="20"/>
          <w:bdr w:val="none" w:sz="0" w:space="0" w:color="auto" w:frame="1"/>
        </w:rPr>
        <w:t>Brooke Group,</w:t>
      </w:r>
      <w:r w:rsidRPr="000444AC">
        <w:rPr>
          <w:rFonts w:ascii="Times New Roman" w:eastAsia="Times New Roman" w:hAnsi="Times New Roman" w:cs="Times New Roman"/>
          <w:color w:val="000000"/>
          <w:sz w:val="20"/>
          <w:szCs w:val="20"/>
        </w:rPr>
        <w:t> we noted that “‘predatory pricing schemes are rarely tried, and even more rarely successful.’” 509 U.S., at 226 (quoting </w:t>
      </w:r>
      <w:r w:rsidRPr="000444AC">
        <w:rPr>
          <w:rFonts w:ascii="Times New Roman" w:eastAsia="Times New Roman" w:hAnsi="Times New Roman" w:cs="Times New Roman"/>
          <w:i/>
          <w:iCs/>
          <w:color w:val="000000"/>
          <w:sz w:val="20"/>
          <w:szCs w:val="20"/>
          <w:bdr w:val="none" w:sz="0" w:space="0" w:color="auto" w:frame="1"/>
        </w:rPr>
        <w:t>Matsushita,</w:t>
      </w:r>
      <w:r w:rsidRPr="000444AC">
        <w:rPr>
          <w:rFonts w:ascii="Times New Roman" w:eastAsia="Times New Roman" w:hAnsi="Times New Roman" w:cs="Times New Roman"/>
          <w:color w:val="000000"/>
          <w:sz w:val="20"/>
          <w:szCs w:val="20"/>
        </w:rPr>
        <w:t> 475 U.S., at 589)).</w:t>
      </w:r>
    </w:p>
  </w:footnote>
  <w:footnote w:id="149">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324 (citing BG, 509 U.S., at 224).</w:t>
      </w:r>
    </w:p>
  </w:footnote>
  <w:footnote w:id="150">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324.</w:t>
      </w:r>
    </w:p>
  </w:footnote>
  <w:footnote w:id="151">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p>
  </w:footnote>
  <w:footnote w:id="152">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324 n.5 (“Also, if the same firms compete in the input and output markets, any increase in outputs by the predator could be offset by decreases in outputs from the predator's struggling competitors.</w:t>
      </w:r>
      <w:proofErr w:type="gramStart"/>
      <w:r w:rsidRPr="000444AC">
        <w:rPr>
          <w:rFonts w:ascii="Times New Roman" w:eastAsia="Times New Roman" w:hAnsi="Times New Roman" w:cs="Times New Roman"/>
          <w:color w:val="000000"/>
          <w:sz w:val="20"/>
          <w:szCs w:val="20"/>
        </w:rPr>
        <w:t>” )</w:t>
      </w:r>
      <w:proofErr w:type="gramEnd"/>
      <w:r w:rsidRPr="000444AC">
        <w:rPr>
          <w:rFonts w:ascii="Times New Roman" w:eastAsia="Times New Roman" w:hAnsi="Times New Roman" w:cs="Times New Roman"/>
          <w:color w:val="000000"/>
          <w:sz w:val="20"/>
          <w:szCs w:val="20"/>
        </w:rPr>
        <w:t xml:space="preserve"> (citing Salop 677, n. 22).</w:t>
      </w:r>
    </w:p>
  </w:footnote>
  <w:footnote w:id="153">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 </w:t>
      </w:r>
      <w:r w:rsidRPr="000444AC">
        <w:rPr>
          <w:rFonts w:ascii="Times New Roman" w:hAnsi="Times New Roman" w:cs="Times New Roman"/>
          <w:sz w:val="20"/>
          <w:szCs w:val="20"/>
        </w:rPr>
        <w:t xml:space="preserve">549 U.S. </w:t>
      </w:r>
      <w:r w:rsidRPr="000444AC">
        <w:rPr>
          <w:rFonts w:ascii="Times New Roman" w:eastAsia="Times New Roman" w:hAnsi="Times New Roman" w:cs="Times New Roman"/>
          <w:color w:val="000000"/>
          <w:sz w:val="20"/>
          <w:szCs w:val="20"/>
        </w:rPr>
        <w:t xml:space="preserve">at 320 (quoting Brooke Group and </w:t>
      </w:r>
      <w:r w:rsidRPr="000444AC">
        <w:rPr>
          <w:rFonts w:ascii="Times New Roman" w:eastAsia="Times New Roman" w:hAnsi="Times New Roman" w:cs="Times New Roman"/>
          <w:i/>
          <w:iCs/>
          <w:color w:val="000000"/>
          <w:sz w:val="20"/>
          <w:szCs w:val="20"/>
          <w:bdr w:val="none" w:sz="0" w:space="0" w:color="auto" w:frame="1"/>
        </w:rPr>
        <w:t>Cargill,</w:t>
      </w:r>
      <w:r w:rsidRPr="000444AC">
        <w:rPr>
          <w:rFonts w:ascii="Times New Roman" w:eastAsia="Times New Roman" w:hAnsi="Times New Roman" w:cs="Times New Roman"/>
          <w:color w:val="000000"/>
          <w:sz w:val="20"/>
          <w:szCs w:val="20"/>
        </w:rPr>
        <w:t> </w:t>
      </w:r>
      <w:r w:rsidRPr="000444AC">
        <w:rPr>
          <w:rFonts w:ascii="Times New Roman" w:eastAsia="Times New Roman" w:hAnsi="Times New Roman" w:cs="Times New Roman"/>
          <w:i/>
          <w:iCs/>
          <w:color w:val="000000"/>
          <w:sz w:val="20"/>
          <w:szCs w:val="20"/>
          <w:bdr w:val="none" w:sz="0" w:space="0" w:color="auto" w:frame="1"/>
        </w:rPr>
        <w:t>supra,</w:t>
      </w:r>
      <w:r w:rsidRPr="000444AC">
        <w:rPr>
          <w:rFonts w:ascii="Times New Roman" w:eastAsia="Times New Roman" w:hAnsi="Times New Roman" w:cs="Times New Roman"/>
          <w:color w:val="000000"/>
          <w:sz w:val="20"/>
          <w:szCs w:val="20"/>
        </w:rPr>
        <w:t> at 122, n. 17).</w:t>
      </w:r>
    </w:p>
  </w:footnote>
  <w:footnote w:id="154">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323.</w:t>
      </w:r>
    </w:p>
  </w:footnote>
  <w:footnote w:id="155">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bdr w:val="none" w:sz="0" w:space="0" w:color="auto" w:frame="1"/>
        </w:rPr>
        <w:t>Id</w:t>
      </w:r>
      <w:r w:rsidRPr="000444AC">
        <w:rPr>
          <w:rFonts w:ascii="Times New Roman" w:eastAsia="Times New Roman" w:hAnsi="Times New Roman" w:cs="Times New Roman"/>
          <w:color w:val="000000"/>
          <w:sz w:val="20"/>
          <w:szCs w:val="20"/>
          <w:bdr w:val="none" w:sz="0" w:space="0" w:color="auto" w:frame="1"/>
        </w:rPr>
        <w:t>. at</w:t>
      </w:r>
      <w:r w:rsidRPr="000444AC">
        <w:rPr>
          <w:rFonts w:ascii="Times New Roman" w:eastAsia="Times New Roman" w:hAnsi="Times New Roman" w:cs="Times New Roman"/>
          <w:color w:val="000000"/>
          <w:sz w:val="20"/>
          <w:szCs w:val="20"/>
        </w:rPr>
        <w:t xml:space="preserve"> 315.</w:t>
      </w:r>
    </w:p>
  </w:footnote>
  <w:footnote w:id="156">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bdr w:val="none" w:sz="0" w:space="0" w:color="auto" w:frame="1"/>
        </w:rPr>
        <w:t>Id</w:t>
      </w:r>
      <w:r w:rsidRPr="000444AC">
        <w:rPr>
          <w:rFonts w:ascii="Times New Roman" w:eastAsia="Times New Roman" w:hAnsi="Times New Roman" w:cs="Times New Roman"/>
          <w:color w:val="000000"/>
          <w:sz w:val="20"/>
          <w:szCs w:val="20"/>
          <w:bdr w:val="none" w:sz="0" w:space="0" w:color="auto" w:frame="1"/>
        </w:rPr>
        <w:t>. at</w:t>
      </w:r>
      <w:r w:rsidRPr="000444AC">
        <w:rPr>
          <w:rFonts w:ascii="Times New Roman" w:eastAsia="Times New Roman" w:hAnsi="Times New Roman" w:cs="Times New Roman"/>
          <w:color w:val="000000"/>
          <w:sz w:val="20"/>
          <w:szCs w:val="20"/>
        </w:rPr>
        <w:t xml:space="preserve"> 316.</w:t>
      </w:r>
    </w:p>
  </w:footnote>
  <w:footnote w:id="157">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bdr w:val="none" w:sz="0" w:space="0" w:color="auto" w:frame="1"/>
        </w:rPr>
        <w:t>Weyerhaeuser Co. v. Ross-Simmons Hardwood Lumber Co.</w:t>
      </w:r>
      <w:r w:rsidRPr="000444AC">
        <w:rPr>
          <w:rFonts w:ascii="Times New Roman" w:eastAsia="Times New Roman" w:hAnsi="Times New Roman" w:cs="Times New Roman"/>
          <w:color w:val="000000"/>
          <w:sz w:val="20"/>
          <w:szCs w:val="20"/>
        </w:rPr>
        <w:t>, 549 U.S. 312, 323 (2007) (“</w:t>
      </w:r>
      <w:r w:rsidRPr="000444AC">
        <w:rPr>
          <w:rFonts w:ascii="Times New Roman" w:eastAsia="Times New Roman" w:hAnsi="Times New Roman" w:cs="Times New Roman"/>
          <w:color w:val="000000"/>
          <w:sz w:val="20"/>
          <w:szCs w:val="20"/>
          <w:shd w:val="clear" w:color="auto" w:fill="FFFFFF"/>
        </w:rPr>
        <w:t>A more efficient firm might bid up input prices to acquire more inputs as a part of a procompetitive strategy to gain market share in the output market.</w:t>
      </w:r>
      <w:r w:rsidRPr="000444AC">
        <w:rPr>
          <w:rFonts w:ascii="Times New Roman" w:eastAsia="Times New Roman" w:hAnsi="Times New Roman" w:cs="Times New Roman"/>
          <w:color w:val="000000"/>
          <w:sz w:val="20"/>
          <w:szCs w:val="20"/>
        </w:rPr>
        <w:t>”)</w:t>
      </w:r>
    </w:p>
  </w:footnote>
  <w:footnote w:id="158">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323.</w:t>
      </w:r>
    </w:p>
  </w:footnote>
  <w:footnote w:id="159">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325.</w:t>
      </w:r>
    </w:p>
  </w:footnote>
  <w:footnote w:id="160">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325.</w:t>
      </w:r>
    </w:p>
  </w:footnote>
  <w:footnote w:id="161">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See supra</w:t>
      </w:r>
      <w:r w:rsidRPr="000444AC">
        <w:rPr>
          <w:rFonts w:ascii="Times New Roman" w:eastAsia="Times New Roman" w:hAnsi="Times New Roman" w:cs="Times New Roman"/>
          <w:color w:val="000000"/>
          <w:sz w:val="20"/>
          <w:szCs w:val="20"/>
        </w:rPr>
        <w:t xml:space="preserve"> notes __.</w:t>
      </w:r>
    </w:p>
  </w:footnote>
  <w:footnote w:id="162">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325.</w:t>
      </w:r>
    </w:p>
  </w:footnote>
  <w:footnote w:id="163">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319.</w:t>
      </w:r>
    </w:p>
  </w:footnote>
  <w:footnote w:id="164">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 xml:space="preserve">The Court conceded that predator bidder could recoup through monopoly pricing in the output market, but then asserted that this was not applicable in the case before it. </w:t>
      </w:r>
      <w:r w:rsidRPr="000444AC">
        <w:rPr>
          <w:rFonts w:ascii="Times New Roman" w:eastAsia="Times New Roman" w:hAnsi="Times New Roman" w:cs="Times New Roman"/>
          <w:i/>
          <w:color w:val="000000"/>
          <w:sz w:val="20"/>
          <w:szCs w:val="20"/>
        </w:rPr>
        <w:t>Weyerhaeuser</w:t>
      </w:r>
      <w:r w:rsidRPr="000444AC">
        <w:rPr>
          <w:rFonts w:ascii="Times New Roman" w:eastAsia="Times New Roman" w:hAnsi="Times New Roman" w:cs="Times New Roman"/>
          <w:color w:val="000000"/>
          <w:sz w:val="20"/>
          <w:szCs w:val="20"/>
        </w:rPr>
        <w:t xml:space="preserve"> at 321 n.2 (“If the predatory firm's competitors in the input market and the output market are the same, then predatory bidding can also lead to the bidder's acquisition of monopoly power in the output market. In that case, which does not appear to be present here, the </w:t>
      </w:r>
      <w:proofErr w:type="spellStart"/>
      <w:r w:rsidRPr="000444AC">
        <w:rPr>
          <w:rFonts w:ascii="Times New Roman" w:eastAsia="Times New Roman" w:hAnsi="Times New Roman" w:cs="Times New Roman"/>
          <w:color w:val="000000"/>
          <w:sz w:val="20"/>
          <w:szCs w:val="20"/>
        </w:rPr>
        <w:t>monopsonist</w:t>
      </w:r>
      <w:proofErr w:type="spellEnd"/>
      <w:r w:rsidRPr="000444AC">
        <w:rPr>
          <w:rFonts w:ascii="Times New Roman" w:eastAsia="Times New Roman" w:hAnsi="Times New Roman" w:cs="Times New Roman"/>
          <w:color w:val="000000"/>
          <w:sz w:val="20"/>
          <w:szCs w:val="20"/>
        </w:rPr>
        <w:t xml:space="preserve"> could, under certain market conditions, also recoup its losses by raising output prices to monopolistic levels.”).</w:t>
      </w:r>
    </w:p>
  </w:footnote>
  <w:footnote w:id="165">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at __; see id. (“</w:t>
      </w:r>
      <w:r w:rsidRPr="000444AC">
        <w:rPr>
          <w:rFonts w:ascii="Times New Roman" w:eastAsia="Times New Roman" w:hAnsi="Times New Roman" w:cs="Times New Roman"/>
          <w:color w:val="000000"/>
          <w:sz w:val="20"/>
          <w:szCs w:val="20"/>
        </w:rPr>
        <w:t>That is, the predator's bidding on the buy side must have caused the cost of the relevant output to rise above the revenues generated in the sale of those outputs.”).</w:t>
      </w:r>
    </w:p>
  </w:footnote>
  <w:footnote w:id="166">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color w:val="000000"/>
          <w:sz w:val="20"/>
          <w:szCs w:val="20"/>
        </w:rPr>
        <w:t xml:space="preserve">Without citing any data, the record or anything at all, the </w:t>
      </w:r>
      <w:r w:rsidRPr="000444AC">
        <w:rPr>
          <w:rFonts w:ascii="Times New Roman" w:eastAsia="Times New Roman" w:hAnsi="Times New Roman" w:cs="Times New Roman"/>
          <w:i/>
          <w:color w:val="000000"/>
          <w:sz w:val="20"/>
          <w:szCs w:val="20"/>
        </w:rPr>
        <w:t>Weyerhaeuser</w:t>
      </w:r>
      <w:r w:rsidRPr="000444AC">
        <w:rPr>
          <w:rFonts w:ascii="Times New Roman" w:eastAsia="Times New Roman" w:hAnsi="Times New Roman" w:cs="Times New Roman"/>
          <w:color w:val="000000"/>
          <w:sz w:val="20"/>
          <w:szCs w:val="20"/>
        </w:rPr>
        <w:t xml:space="preserve"> Court asserted that the case did not “it present a risk of significantly increased concentration in the market in which the </w:t>
      </w:r>
      <w:proofErr w:type="spellStart"/>
      <w:r w:rsidRPr="000444AC">
        <w:rPr>
          <w:rFonts w:ascii="Times New Roman" w:eastAsia="Times New Roman" w:hAnsi="Times New Roman" w:cs="Times New Roman"/>
          <w:color w:val="000000"/>
          <w:sz w:val="20"/>
          <w:szCs w:val="20"/>
        </w:rPr>
        <w:t>monopsonist</w:t>
      </w:r>
      <w:proofErr w:type="spellEnd"/>
      <w:r w:rsidRPr="000444AC">
        <w:rPr>
          <w:rFonts w:ascii="Times New Roman" w:eastAsia="Times New Roman" w:hAnsi="Times New Roman" w:cs="Times New Roman"/>
          <w:color w:val="000000"/>
          <w:sz w:val="20"/>
          <w:szCs w:val="20"/>
        </w:rPr>
        <w:t xml:space="preserve"> sells, </w:t>
      </w:r>
      <w:r w:rsidRPr="000444AC">
        <w:rPr>
          <w:rFonts w:ascii="Times New Roman" w:eastAsia="Times New Roman" w:hAnsi="Times New Roman" w:cs="Times New Roman"/>
          <w:i/>
          <w:iCs/>
          <w:color w:val="000000"/>
          <w:sz w:val="20"/>
          <w:szCs w:val="20"/>
          <w:bdr w:val="none" w:sz="0" w:space="0" w:color="auto" w:frame="1"/>
        </w:rPr>
        <w:t>i.e.,</w:t>
      </w:r>
      <w:r w:rsidRPr="000444AC">
        <w:rPr>
          <w:rFonts w:ascii="Times New Roman" w:eastAsia="Times New Roman" w:hAnsi="Times New Roman" w:cs="Times New Roman"/>
          <w:color w:val="000000"/>
          <w:sz w:val="20"/>
          <w:szCs w:val="20"/>
        </w:rPr>
        <w:t> the market for finished lumber.”</w:t>
      </w:r>
      <w:r w:rsidRPr="000444AC">
        <w:rPr>
          <w:rFonts w:ascii="Times New Roman" w:hAnsi="Times New Roman" w:cs="Times New Roman"/>
          <w:color w:val="000000"/>
          <w:sz w:val="20"/>
          <w:szCs w:val="20"/>
        </w:rPr>
        <w:t xml:space="preserve"> Id. at 321.</w:t>
      </w:r>
      <w:r w:rsidRPr="000444AC">
        <w:rPr>
          <w:rFonts w:ascii="Times New Roman" w:eastAsia="Times New Roman" w:hAnsi="Times New Roman" w:cs="Times New Roman"/>
          <w:color w:val="000000"/>
          <w:sz w:val="20"/>
          <w:szCs w:val="20"/>
        </w:rPr>
        <w:t xml:space="preserve"> Yet this is precisely the result when a monopolist hoards </w:t>
      </w:r>
      <w:proofErr w:type="gramStart"/>
      <w:r w:rsidRPr="000444AC">
        <w:rPr>
          <w:rFonts w:ascii="Times New Roman" w:eastAsia="Times New Roman" w:hAnsi="Times New Roman" w:cs="Times New Roman"/>
          <w:color w:val="000000"/>
          <w:sz w:val="20"/>
          <w:szCs w:val="20"/>
        </w:rPr>
        <w:t>inputs</w:t>
      </w:r>
      <w:proofErr w:type="gramEnd"/>
      <w:r w:rsidRPr="000444AC">
        <w:rPr>
          <w:rFonts w:ascii="Times New Roman" w:eastAsia="Times New Roman" w:hAnsi="Times New Roman" w:cs="Times New Roman"/>
          <w:color w:val="000000"/>
          <w:sz w:val="20"/>
          <w:szCs w:val="20"/>
        </w:rPr>
        <w:t>.</w:t>
      </w:r>
    </w:p>
  </w:footnote>
  <w:footnote w:id="167">
    <w:p w:rsidR="006F1A30" w:rsidRPr="000444AC" w:rsidRDefault="006F1A30" w:rsidP="00F47C81">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eastAsia="Times New Roman" w:hAnsi="Times New Roman" w:cs="Times New Roman"/>
          <w:i/>
          <w:color w:val="000000"/>
          <w:sz w:val="20"/>
          <w:szCs w:val="20"/>
        </w:rPr>
        <w:t>Id</w:t>
      </w:r>
      <w:r w:rsidRPr="000444AC">
        <w:rPr>
          <w:rFonts w:ascii="Times New Roman" w:eastAsia="Times New Roman" w:hAnsi="Times New Roman" w:cs="Times New Roman"/>
          <w:color w:val="000000"/>
          <w:sz w:val="20"/>
          <w:szCs w:val="20"/>
        </w:rPr>
        <w:t>. at 325.</w:t>
      </w:r>
    </w:p>
  </w:footnote>
  <w:footnote w:id="168">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Brooke Grp. Ltd. v. Brown &amp; Williamson Tobacco Corp., 509 U.S. 209, 227 (1993).</w:t>
      </w:r>
    </w:p>
  </w:footnote>
  <w:footnote w:id="169">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proofErr w:type="spellStart"/>
      <w:r w:rsidRPr="000444AC">
        <w:rPr>
          <w:rFonts w:ascii="Times New Roman" w:hAnsi="Times New Roman" w:cs="Times New Roman"/>
          <w:sz w:val="20"/>
          <w:szCs w:val="20"/>
        </w:rPr>
        <w:t>Blomkest</w:t>
      </w:r>
      <w:proofErr w:type="spellEnd"/>
      <w:r w:rsidRPr="000444AC">
        <w:rPr>
          <w:rFonts w:ascii="Times New Roman" w:hAnsi="Times New Roman" w:cs="Times New Roman"/>
          <w:sz w:val="20"/>
          <w:szCs w:val="20"/>
        </w:rPr>
        <w:t xml:space="preserve"> Fertilizer, Inc. v. Potash Corp. of Saskatchewan, 203 F.3d 1028, 1032–33 (8th Cir. 2000) (“Evidence that a business consciously met the pricing of its competitors does not prove a violation of the antitrust laws.”); </w:t>
      </w:r>
      <w:proofErr w:type="spellStart"/>
      <w:r w:rsidRPr="000444AC">
        <w:rPr>
          <w:rFonts w:ascii="Times New Roman" w:hAnsi="Times New Roman" w:cs="Times New Roman"/>
          <w:iCs/>
          <w:color w:val="000000"/>
          <w:sz w:val="20"/>
          <w:szCs w:val="20"/>
        </w:rPr>
        <w:t>Mitchael</w:t>
      </w:r>
      <w:proofErr w:type="spellEnd"/>
      <w:r w:rsidRPr="000444AC">
        <w:rPr>
          <w:rFonts w:ascii="Times New Roman" w:hAnsi="Times New Roman" w:cs="Times New Roman"/>
          <w:iCs/>
          <w:color w:val="000000"/>
          <w:sz w:val="20"/>
          <w:szCs w:val="20"/>
        </w:rPr>
        <w:t xml:space="preserve"> v. </w:t>
      </w:r>
      <w:proofErr w:type="spellStart"/>
      <w:r w:rsidRPr="000444AC">
        <w:rPr>
          <w:rFonts w:ascii="Times New Roman" w:hAnsi="Times New Roman" w:cs="Times New Roman"/>
          <w:iCs/>
          <w:color w:val="000000"/>
          <w:sz w:val="20"/>
          <w:szCs w:val="20"/>
        </w:rPr>
        <w:t>Intracorp</w:t>
      </w:r>
      <w:proofErr w:type="spellEnd"/>
      <w:r w:rsidRPr="000444AC">
        <w:rPr>
          <w:rFonts w:ascii="Times New Roman" w:hAnsi="Times New Roman" w:cs="Times New Roman"/>
          <w:iCs/>
          <w:color w:val="000000"/>
          <w:sz w:val="20"/>
          <w:szCs w:val="20"/>
        </w:rPr>
        <w:t>, Inc.,</w:t>
      </w:r>
      <w:r w:rsidRPr="000444AC">
        <w:rPr>
          <w:rFonts w:ascii="Times New Roman" w:hAnsi="Times New Roman" w:cs="Times New Roman"/>
          <w:color w:val="000000"/>
          <w:sz w:val="20"/>
          <w:szCs w:val="20"/>
        </w:rPr>
        <w:t xml:space="preserve"> 179 F.3d 847, 858–59 (10th Cir.1999) (“While consciously parallel behavior may contribute to a finding of </w:t>
      </w:r>
      <w:r w:rsidRPr="000444AC">
        <w:rPr>
          <w:rFonts w:ascii="Times New Roman" w:hAnsi="Times New Roman" w:cs="Times New Roman"/>
          <w:color w:val="000000"/>
          <w:sz w:val="20"/>
          <w:szCs w:val="20"/>
          <w:shd w:val="clear" w:color="auto" w:fill="FFFFFF"/>
        </w:rPr>
        <w:t>antitrust</w:t>
      </w:r>
      <w:r w:rsidRPr="000444AC">
        <w:rPr>
          <w:rFonts w:ascii="Times New Roman" w:hAnsi="Times New Roman" w:cs="Times New Roman"/>
          <w:color w:val="000000"/>
          <w:sz w:val="20"/>
          <w:szCs w:val="20"/>
        </w:rPr>
        <w:t xml:space="preserve"> conspiracy, it is insufficient, standing alone, to prove conspiracy.”)</w:t>
      </w:r>
      <w:r w:rsidRPr="000444AC">
        <w:rPr>
          <w:rFonts w:ascii="Times New Roman" w:hAnsi="Times New Roman" w:cs="Times New Roman"/>
          <w:sz w:val="20"/>
          <w:szCs w:val="20"/>
        </w:rPr>
        <w:t>.</w:t>
      </w:r>
    </w:p>
  </w:footnote>
  <w:footnote w:id="170">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In re</w:t>
      </w:r>
      <w:r w:rsidRPr="000444AC">
        <w:rPr>
          <w:rFonts w:ascii="Times New Roman" w:hAnsi="Times New Roman" w:cs="Times New Roman"/>
          <w:sz w:val="20"/>
          <w:szCs w:val="20"/>
        </w:rPr>
        <w:t xml:space="preserve"> Chocolate Confectionary Antitrust </w:t>
      </w:r>
      <w:proofErr w:type="spellStart"/>
      <w:r w:rsidRPr="000444AC">
        <w:rPr>
          <w:rFonts w:ascii="Times New Roman" w:hAnsi="Times New Roman" w:cs="Times New Roman"/>
          <w:sz w:val="20"/>
          <w:szCs w:val="20"/>
        </w:rPr>
        <w:t>Litig</w:t>
      </w:r>
      <w:proofErr w:type="spellEnd"/>
      <w:r w:rsidRPr="000444AC">
        <w:rPr>
          <w:rFonts w:ascii="Times New Roman" w:hAnsi="Times New Roman" w:cs="Times New Roman"/>
          <w:sz w:val="20"/>
          <w:szCs w:val="20"/>
        </w:rPr>
        <w:t xml:space="preserve">., 801 F.3d 383, 398 (3d Cir. 2015) (“Accordingly, evidence of conscious parallelism cannot alone create a reasonable inference of a conspiracy. To move the ball across the goal line, a plaintiff must also show that certain plus factors are present.”); </w:t>
      </w:r>
      <w:proofErr w:type="spellStart"/>
      <w:r w:rsidRPr="000444AC">
        <w:rPr>
          <w:rFonts w:ascii="Times New Roman" w:hAnsi="Times New Roman" w:cs="Times New Roman"/>
          <w:color w:val="000000"/>
          <w:sz w:val="20"/>
          <w:szCs w:val="20"/>
        </w:rPr>
        <w:t>Blomkest</w:t>
      </w:r>
      <w:proofErr w:type="spellEnd"/>
      <w:r w:rsidRPr="000444AC">
        <w:rPr>
          <w:rFonts w:ascii="Times New Roman" w:hAnsi="Times New Roman" w:cs="Times New Roman"/>
          <w:color w:val="000000"/>
          <w:sz w:val="20"/>
          <w:szCs w:val="20"/>
        </w:rPr>
        <w:t xml:space="preserve"> Fertilizer, Inc. v. Potash Corp. of Saskatchewan, 203 F.3d 1028, 1033 (8th Cir. 2000) (</w:t>
      </w:r>
      <w:r w:rsidRPr="000444AC">
        <w:rPr>
          <w:rFonts w:ascii="Times New Roman" w:hAnsi="Times New Roman" w:cs="Times New Roman"/>
          <w:color w:val="000000"/>
          <w:sz w:val="20"/>
          <w:szCs w:val="20"/>
          <w:shd w:val="clear" w:color="auto" w:fill="FFFFFF"/>
        </w:rPr>
        <w:t xml:space="preserve">“A plaintiff has the burden to present evidence of consciously paralleled pricing </w:t>
      </w:r>
      <w:r w:rsidRPr="000444AC">
        <w:rPr>
          <w:rFonts w:ascii="Times New Roman" w:hAnsi="Times New Roman" w:cs="Times New Roman"/>
          <w:i/>
          <w:iCs/>
          <w:color w:val="000000"/>
          <w:sz w:val="20"/>
          <w:szCs w:val="20"/>
        </w:rPr>
        <w:t xml:space="preserve">supplemented with </w:t>
      </w:r>
      <w:r w:rsidRPr="000444AC">
        <w:rPr>
          <w:rFonts w:ascii="Times New Roman" w:hAnsi="Times New Roman" w:cs="Times New Roman"/>
          <w:color w:val="000000"/>
          <w:sz w:val="20"/>
          <w:szCs w:val="20"/>
          <w:shd w:val="clear" w:color="auto" w:fill="FFFFFF"/>
        </w:rPr>
        <w:t>one or more plus factors.”</w:t>
      </w:r>
      <w:r w:rsidRPr="000444AC">
        <w:rPr>
          <w:rFonts w:ascii="Times New Roman" w:hAnsi="Times New Roman" w:cs="Times New Roman"/>
          <w:color w:val="000000"/>
          <w:sz w:val="20"/>
          <w:szCs w:val="20"/>
        </w:rPr>
        <w:t>).</w:t>
      </w:r>
    </w:p>
  </w:footnote>
  <w:footnote w:id="171">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color w:val="000000"/>
          <w:sz w:val="20"/>
          <w:szCs w:val="20"/>
        </w:rPr>
        <w:t xml:space="preserve">Apex Oil Co. v. </w:t>
      </w:r>
      <w:proofErr w:type="spellStart"/>
      <w:r w:rsidRPr="000444AC">
        <w:rPr>
          <w:rFonts w:ascii="Times New Roman" w:hAnsi="Times New Roman" w:cs="Times New Roman"/>
          <w:color w:val="000000"/>
          <w:sz w:val="20"/>
          <w:szCs w:val="20"/>
        </w:rPr>
        <w:t>DiMauro</w:t>
      </w:r>
      <w:proofErr w:type="spellEnd"/>
      <w:r w:rsidRPr="000444AC">
        <w:rPr>
          <w:rFonts w:ascii="Times New Roman" w:hAnsi="Times New Roman" w:cs="Times New Roman"/>
          <w:color w:val="000000"/>
          <w:sz w:val="20"/>
          <w:szCs w:val="20"/>
        </w:rPr>
        <w:t>, 822 F.2d 246, 253–54 (2d Cir. 1987).</w:t>
      </w:r>
    </w:p>
  </w:footnote>
  <w:footnote w:id="172">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e.g.</w:t>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In re</w:t>
      </w:r>
      <w:r w:rsidRPr="000444AC">
        <w:rPr>
          <w:rFonts w:ascii="Times New Roman" w:hAnsi="Times New Roman" w:cs="Times New Roman"/>
          <w:sz w:val="20"/>
          <w:szCs w:val="20"/>
        </w:rPr>
        <w:t xml:space="preserve"> Chocolate Confectionary Antitrust </w:t>
      </w:r>
      <w:proofErr w:type="spellStart"/>
      <w:r w:rsidRPr="000444AC">
        <w:rPr>
          <w:rFonts w:ascii="Times New Roman" w:hAnsi="Times New Roman" w:cs="Times New Roman"/>
          <w:sz w:val="20"/>
          <w:szCs w:val="20"/>
        </w:rPr>
        <w:t>Litig</w:t>
      </w:r>
      <w:proofErr w:type="spellEnd"/>
      <w:r w:rsidRPr="000444AC">
        <w:rPr>
          <w:rFonts w:ascii="Times New Roman" w:hAnsi="Times New Roman" w:cs="Times New Roman"/>
          <w:sz w:val="20"/>
          <w:szCs w:val="20"/>
        </w:rPr>
        <w:t>., 901 F.3d 383, 396 (3rd Cir. 2015).</w:t>
      </w:r>
    </w:p>
  </w:footnote>
  <w:footnote w:id="173">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color w:val="000000"/>
          <w:sz w:val="20"/>
          <w:szCs w:val="20"/>
        </w:rPr>
        <w:t>In re</w:t>
      </w:r>
      <w:r w:rsidRPr="000444AC">
        <w:rPr>
          <w:rFonts w:ascii="Times New Roman" w:hAnsi="Times New Roman" w:cs="Times New Roman"/>
          <w:color w:val="000000"/>
          <w:sz w:val="20"/>
          <w:szCs w:val="20"/>
        </w:rPr>
        <w:t xml:space="preserve"> Baby Food Antitrust </w:t>
      </w:r>
      <w:proofErr w:type="spellStart"/>
      <w:r w:rsidRPr="000444AC">
        <w:rPr>
          <w:rFonts w:ascii="Times New Roman" w:hAnsi="Times New Roman" w:cs="Times New Roman"/>
          <w:color w:val="000000"/>
          <w:sz w:val="20"/>
          <w:szCs w:val="20"/>
        </w:rPr>
        <w:t>Litig</w:t>
      </w:r>
      <w:proofErr w:type="spellEnd"/>
      <w:r w:rsidRPr="000444AC">
        <w:rPr>
          <w:rFonts w:ascii="Times New Roman" w:hAnsi="Times New Roman" w:cs="Times New Roman"/>
          <w:color w:val="000000"/>
          <w:sz w:val="20"/>
          <w:szCs w:val="20"/>
        </w:rPr>
        <w:t>., 166 F.3d 112, 118 (3d Cir. 1999).</w:t>
      </w:r>
    </w:p>
  </w:footnote>
  <w:footnote w:id="174">
    <w:p w:rsidR="006F1A30" w:rsidRPr="000444AC" w:rsidRDefault="006F1A30" w:rsidP="003149B4">
      <w:pPr>
        <w:pStyle w:val="a3"/>
        <w:rPr>
          <w:sz w:val="20"/>
          <w:szCs w:val="20"/>
        </w:rPr>
      </w:pPr>
      <w:r w:rsidRPr="000444AC">
        <w:rPr>
          <w:rStyle w:val="a4"/>
          <w:sz w:val="20"/>
          <w:szCs w:val="20"/>
        </w:rPr>
        <w:footnoteRef/>
      </w:r>
      <w:r w:rsidRPr="000444AC">
        <w:rPr>
          <w:sz w:val="20"/>
          <w:szCs w:val="20"/>
        </w:rPr>
        <w:t xml:space="preserve"> </w:t>
      </w:r>
      <w:r w:rsidRPr="000444AC">
        <w:rPr>
          <w:rFonts w:ascii="Times New Roman" w:eastAsia="Times New Roman" w:hAnsi="Times New Roman" w:cs="Times New Roman"/>
          <w:color w:val="000000"/>
          <w:sz w:val="20"/>
          <w:szCs w:val="20"/>
        </w:rPr>
        <w:t>191 F.3d 1090, 1094 (9th Cir. 1999).</w:t>
      </w:r>
    </w:p>
  </w:footnote>
  <w:footnote w:id="175">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This is not the correct metric because those consumers who pay a monopoly price in the recoupment phase suffer antitrust injury regardless of whether consumers during the predation phase saved more than the later consumer overpaid. Leslie, Recoupment __</w:t>
      </w:r>
    </w:p>
  </w:footnote>
  <w:footnote w:id="176">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999 F.Supp.2d 777 (M.D. Pa. 2014).</w:t>
      </w:r>
    </w:p>
  </w:footnote>
  <w:footnote w:id="177">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xml:space="preserve"> at 786 (quoting </w:t>
      </w:r>
      <w:r w:rsidRPr="000444AC">
        <w:rPr>
          <w:rFonts w:ascii="Times New Roman" w:hAnsi="Times New Roman" w:cs="Times New Roman"/>
          <w:i/>
          <w:iCs/>
          <w:sz w:val="20"/>
          <w:szCs w:val="20"/>
        </w:rPr>
        <w:t>Matsushita,</w:t>
      </w:r>
      <w:r w:rsidRPr="000444AC">
        <w:rPr>
          <w:rFonts w:ascii="Times New Roman" w:hAnsi="Times New Roman" w:cs="Times New Roman"/>
          <w:sz w:val="20"/>
          <w:szCs w:val="20"/>
        </w:rPr>
        <w:t> 475 U.S. at 594).</w:t>
      </w:r>
    </w:p>
  </w:footnote>
  <w:footnote w:id="178">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231 F.Supp.2d 1253 (N.D. Ga. 2002).</w:t>
      </w:r>
    </w:p>
  </w:footnote>
  <w:footnote w:id="179">
    <w:p w:rsidR="006F1A30" w:rsidRPr="000444AC" w:rsidRDefault="006F1A30" w:rsidP="00632237">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Id.</w:t>
      </w:r>
      <w:r w:rsidRPr="000444AC">
        <w:rPr>
          <w:rFonts w:ascii="Times New Roman" w:hAnsi="Times New Roman" w:cs="Times New Roman"/>
          <w:sz w:val="20"/>
          <w:szCs w:val="20"/>
        </w:rPr>
        <w:t xml:space="preserve"> at 1267 (quoting </w:t>
      </w:r>
      <w:r w:rsidRPr="000444AC">
        <w:rPr>
          <w:rFonts w:ascii="Times New Roman" w:hAnsi="Times New Roman" w:cs="Times New Roman"/>
          <w:i/>
          <w:sz w:val="20"/>
          <w:szCs w:val="20"/>
        </w:rPr>
        <w:t>Matsushita</w:t>
      </w:r>
      <w:r w:rsidRPr="000444AC">
        <w:rPr>
          <w:rFonts w:ascii="Times New Roman" w:hAnsi="Times New Roman" w:cs="Times New Roman"/>
          <w:sz w:val="20"/>
          <w:szCs w:val="20"/>
        </w:rPr>
        <w:t> at 593).</w:t>
      </w:r>
    </w:p>
  </w:footnote>
  <w:footnote w:id="180">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NCLR</w:t>
      </w:r>
    </w:p>
  </w:footnote>
  <w:footnote w:id="181">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CFPB Arbitration Study,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w:t>
      </w:r>
      <w:r w:rsidRPr="000444AC">
        <w:rPr>
          <w:rFonts w:ascii="Times New Roman" w:hAnsi="Times New Roman" w:cs="Times New Roman"/>
          <w:sz w:val="20"/>
          <w:szCs w:val="20"/>
        </w:rPr>
        <w:fldChar w:fldCharType="begin"/>
      </w:r>
      <w:r w:rsidRPr="000444AC">
        <w:rPr>
          <w:rFonts w:ascii="Times New Roman" w:hAnsi="Times New Roman" w:cs="Times New Roman"/>
          <w:sz w:val="20"/>
          <w:szCs w:val="20"/>
        </w:rPr>
        <w:instrText xml:space="preserve"> NOTEREF _Ref472670166 \h  \* MERGEFORMAT </w:instrText>
      </w:r>
      <w:r w:rsidRPr="000444AC">
        <w:rPr>
          <w:rFonts w:ascii="Times New Roman" w:hAnsi="Times New Roman" w:cs="Times New Roman"/>
          <w:sz w:val="20"/>
          <w:szCs w:val="20"/>
        </w:rPr>
      </w:r>
      <w:r w:rsidRPr="000444AC">
        <w:rPr>
          <w:rFonts w:ascii="Times New Roman" w:hAnsi="Times New Roman" w:cs="Times New Roman"/>
          <w:sz w:val="20"/>
          <w:szCs w:val="20"/>
        </w:rPr>
        <w:fldChar w:fldCharType="separate"/>
      </w:r>
      <w:r w:rsidRPr="000444AC">
        <w:rPr>
          <w:rFonts w:ascii="Times New Roman" w:hAnsi="Times New Roman" w:cs="Times New Roman"/>
          <w:sz w:val="20"/>
          <w:szCs w:val="20"/>
        </w:rPr>
        <w:t>34</w:t>
      </w:r>
      <w:r w:rsidRPr="000444AC">
        <w:rPr>
          <w:rFonts w:ascii="Times New Roman" w:hAnsi="Times New Roman" w:cs="Times New Roman"/>
          <w:sz w:val="20"/>
          <w:szCs w:val="20"/>
        </w:rPr>
        <w:fldChar w:fldCharType="end"/>
      </w:r>
      <w:r w:rsidRPr="000444AC">
        <w:rPr>
          <w:rFonts w:ascii="Times New Roman" w:hAnsi="Times New Roman" w:cs="Times New Roman"/>
          <w:sz w:val="20"/>
          <w:szCs w:val="20"/>
        </w:rPr>
        <w:t xml:space="preserve"> at 1-10, § 1.4.1 (“Nearly all the arbitration clauses studied include provisions stating that arbitration may not proceed on a class basis.”).</w:t>
      </w:r>
    </w:p>
  </w:footnote>
  <w:footnote w:id="182">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Jean R. </w:t>
      </w:r>
      <w:proofErr w:type="spellStart"/>
      <w:r w:rsidRPr="000444AC">
        <w:rPr>
          <w:rFonts w:ascii="Times New Roman" w:hAnsi="Times New Roman" w:cs="Times New Roman"/>
          <w:sz w:val="20"/>
          <w:szCs w:val="20"/>
        </w:rPr>
        <w:t>Sternlight</w:t>
      </w:r>
      <w:proofErr w:type="spellEnd"/>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Mandatory Binding Arbitration Clauses Prevent Consumers from Presenting Procedurally Difficult Claims</w:t>
      </w:r>
      <w:r w:rsidRPr="000444AC">
        <w:rPr>
          <w:rFonts w:ascii="Times New Roman" w:hAnsi="Times New Roman" w:cs="Times New Roman"/>
          <w:sz w:val="20"/>
          <w:szCs w:val="20"/>
        </w:rPr>
        <w:t xml:space="preserve">, 42 </w:t>
      </w:r>
      <w:r w:rsidRPr="000444AC">
        <w:rPr>
          <w:rFonts w:ascii="Times New Roman" w:hAnsi="Times New Roman" w:cs="Times New Roman"/>
          <w:smallCaps/>
          <w:sz w:val="20"/>
          <w:szCs w:val="20"/>
        </w:rPr>
        <w:t>Sw. L. Rev</w:t>
      </w:r>
      <w:r w:rsidRPr="000444AC">
        <w:rPr>
          <w:rFonts w:ascii="Times New Roman" w:hAnsi="Times New Roman" w:cs="Times New Roman"/>
          <w:sz w:val="20"/>
          <w:szCs w:val="20"/>
        </w:rPr>
        <w:t>. 87, 98 (2012).</w:t>
      </w:r>
    </w:p>
  </w:footnote>
  <w:footnote w:id="183">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Lemley &amp; Leslie, </w:t>
      </w:r>
      <w:r w:rsidRPr="000444AC">
        <w:rPr>
          <w:rFonts w:ascii="Times New Roman" w:hAnsi="Times New Roman" w:cs="Times New Roman"/>
          <w:i/>
          <w:sz w:val="20"/>
          <w:szCs w:val="20"/>
        </w:rPr>
        <w:t>supra</w:t>
      </w:r>
      <w:r w:rsidRPr="000444AC">
        <w:rPr>
          <w:rFonts w:ascii="Times New Roman" w:hAnsi="Times New Roman" w:cs="Times New Roman"/>
          <w:sz w:val="20"/>
          <w:szCs w:val="20"/>
        </w:rPr>
        <w:t xml:space="preserve"> note __ at 37; Leslie, Arbitration Bootstrap</w:t>
      </w:r>
    </w:p>
  </w:footnote>
  <w:footnote w:id="184">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 generally</w:t>
      </w:r>
      <w:r w:rsidRPr="000444AC">
        <w:rPr>
          <w:rFonts w:ascii="Times New Roman" w:hAnsi="Times New Roman" w:cs="Times New Roman"/>
          <w:sz w:val="20"/>
          <w:szCs w:val="20"/>
        </w:rPr>
        <w:t xml:space="preserve"> Mark R. Patterson, </w:t>
      </w:r>
      <w:r w:rsidRPr="000444AC">
        <w:rPr>
          <w:rFonts w:ascii="Times New Roman" w:hAnsi="Times New Roman" w:cs="Times New Roman"/>
          <w:i/>
          <w:sz w:val="20"/>
          <w:szCs w:val="20"/>
        </w:rPr>
        <w:t>Standardization of Standard-Form Contracts: Competition and Contract Implications</w:t>
      </w:r>
      <w:r w:rsidRPr="000444AC">
        <w:rPr>
          <w:rFonts w:ascii="Times New Roman" w:hAnsi="Times New Roman" w:cs="Times New Roman"/>
          <w:sz w:val="20"/>
          <w:szCs w:val="20"/>
        </w:rPr>
        <w:t xml:space="preserve">, </w:t>
      </w:r>
      <w:r w:rsidRPr="000444AC">
        <w:rPr>
          <w:rFonts w:ascii="Times New Roman" w:hAnsi="Times New Roman" w:cs="Times New Roman"/>
          <w:smallCaps/>
          <w:sz w:val="20"/>
          <w:szCs w:val="20"/>
        </w:rPr>
        <w:t>52 Wm. &amp; Mary L. Rev.</w:t>
      </w:r>
      <w:r w:rsidRPr="000444AC">
        <w:rPr>
          <w:rFonts w:ascii="Times New Roman" w:hAnsi="Times New Roman" w:cs="Times New Roman"/>
          <w:sz w:val="20"/>
          <w:szCs w:val="20"/>
        </w:rPr>
        <w:t xml:space="preserve"> 327, 410-11 (2010) (“The imposition of unfair or burdensome terms </w:t>
      </w:r>
      <w:r w:rsidRPr="000444AC">
        <w:rPr>
          <w:rFonts w:ascii="Times New Roman" w:hAnsi="Times New Roman" w:cs="Times New Roman"/>
          <w:bCs/>
          <w:sz w:val="20"/>
          <w:szCs w:val="20"/>
        </w:rPr>
        <w:t xml:space="preserve">by </w:t>
      </w:r>
      <w:r w:rsidRPr="000444AC">
        <w:rPr>
          <w:rFonts w:ascii="Times New Roman" w:hAnsi="Times New Roman" w:cs="Times New Roman"/>
          <w:sz w:val="20"/>
          <w:szCs w:val="20"/>
        </w:rPr>
        <w:t xml:space="preserve">multiple sellers suggests that any of those sellers could attract buyers </w:t>
      </w:r>
      <w:r w:rsidRPr="000444AC">
        <w:rPr>
          <w:rFonts w:ascii="Times New Roman" w:hAnsi="Times New Roman" w:cs="Times New Roman"/>
          <w:bCs/>
          <w:sz w:val="20"/>
          <w:szCs w:val="20"/>
        </w:rPr>
        <w:t xml:space="preserve">by </w:t>
      </w:r>
      <w:r w:rsidRPr="000444AC">
        <w:rPr>
          <w:rFonts w:ascii="Times New Roman" w:hAnsi="Times New Roman" w:cs="Times New Roman"/>
          <w:i/>
          <w:iCs/>
          <w:sz w:val="20"/>
          <w:szCs w:val="20"/>
        </w:rPr>
        <w:t xml:space="preserve">not </w:t>
      </w:r>
      <w:r w:rsidRPr="000444AC">
        <w:rPr>
          <w:rFonts w:ascii="Times New Roman" w:hAnsi="Times New Roman" w:cs="Times New Roman"/>
          <w:sz w:val="20"/>
          <w:szCs w:val="20"/>
        </w:rPr>
        <w:t>imposing those terms...”) (emphasis in original). In deposition testimony from an attorney at Citigroup in one conspiracy-to-arbitrate case “reveal[</w:t>
      </w:r>
      <w:proofErr w:type="spellStart"/>
      <w:r w:rsidRPr="000444AC">
        <w:rPr>
          <w:rFonts w:ascii="Times New Roman" w:hAnsi="Times New Roman" w:cs="Times New Roman"/>
          <w:sz w:val="20"/>
          <w:szCs w:val="20"/>
        </w:rPr>
        <w:t>ed</w:t>
      </w:r>
      <w:proofErr w:type="spellEnd"/>
      <w:r w:rsidRPr="000444AC">
        <w:rPr>
          <w:rFonts w:ascii="Times New Roman" w:hAnsi="Times New Roman" w:cs="Times New Roman"/>
          <w:sz w:val="20"/>
          <w:szCs w:val="20"/>
        </w:rPr>
        <w:t xml:space="preserve">] that [the] Defendants may have been concerned that consumers would cancel their cards if Citigroup unilaterally adopted an arbitration clause.” </w:t>
      </w:r>
      <w:r w:rsidRPr="000444AC">
        <w:rPr>
          <w:rFonts w:ascii="Times New Roman" w:hAnsi="Times New Roman" w:cs="Times New Roman"/>
          <w:i/>
          <w:sz w:val="20"/>
          <w:szCs w:val="20"/>
        </w:rPr>
        <w:t>In re</w:t>
      </w:r>
      <w:r w:rsidRPr="000444AC">
        <w:rPr>
          <w:rFonts w:ascii="Times New Roman" w:hAnsi="Times New Roman" w:cs="Times New Roman"/>
          <w:sz w:val="20"/>
          <w:szCs w:val="20"/>
        </w:rPr>
        <w:t xml:space="preserve"> Currency Conversion Fee Antitrust </w:t>
      </w:r>
      <w:proofErr w:type="spellStart"/>
      <w:r w:rsidRPr="000444AC">
        <w:rPr>
          <w:rFonts w:ascii="Times New Roman" w:hAnsi="Times New Roman" w:cs="Times New Roman"/>
          <w:sz w:val="20"/>
          <w:szCs w:val="20"/>
        </w:rPr>
        <w:t>Litig</w:t>
      </w:r>
      <w:proofErr w:type="spellEnd"/>
      <w:r w:rsidRPr="000444AC">
        <w:rPr>
          <w:rFonts w:ascii="Times New Roman" w:hAnsi="Times New Roman" w:cs="Times New Roman"/>
          <w:sz w:val="20"/>
          <w:szCs w:val="20"/>
        </w:rPr>
        <w:t>., 2012 WL 401113 at 1, 7 (S.D.N.Y. 2012).</w:t>
      </w:r>
    </w:p>
  </w:footnote>
  <w:footnote w:id="185">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NCLR</w:t>
      </w:r>
    </w:p>
  </w:footnote>
  <w:footnote w:id="186">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282 U.S. 30 (1930).</w:t>
      </w:r>
    </w:p>
  </w:footnote>
  <w:footnote w:id="187">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NCLR (explaining how the language and approach of </w:t>
      </w:r>
      <w:r w:rsidRPr="000444AC">
        <w:rPr>
          <w:rFonts w:ascii="Times New Roman" w:hAnsi="Times New Roman" w:cs="Times New Roman"/>
          <w:i/>
          <w:sz w:val="20"/>
          <w:szCs w:val="20"/>
        </w:rPr>
        <w:t xml:space="preserve">Paramount Famous Lasky </w:t>
      </w:r>
      <w:r w:rsidRPr="000444AC">
        <w:rPr>
          <w:rFonts w:ascii="Times New Roman" w:hAnsi="Times New Roman" w:cs="Times New Roman"/>
          <w:sz w:val="20"/>
          <w:szCs w:val="20"/>
        </w:rPr>
        <w:t>was per se).</w:t>
      </w:r>
    </w:p>
  </w:footnote>
  <w:footnote w:id="188">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475 U.S. 574 (1986).</w:t>
      </w:r>
    </w:p>
  </w:footnote>
  <w:footnote w:id="189">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Ross v. Am. Exp. Co., 2014 WL 1396492, *24 (S.D.N.Y. 2014) (quoting </w:t>
      </w:r>
      <w:r w:rsidRPr="000444AC">
        <w:rPr>
          <w:rFonts w:ascii="Times New Roman" w:hAnsi="Times New Roman" w:cs="Times New Roman"/>
          <w:i/>
          <w:sz w:val="20"/>
          <w:szCs w:val="20"/>
        </w:rPr>
        <w:t>Matsushita</w:t>
      </w:r>
      <w:r w:rsidRPr="000444AC">
        <w:rPr>
          <w:rFonts w:ascii="Times New Roman" w:hAnsi="Times New Roman" w:cs="Times New Roman"/>
          <w:sz w:val="20"/>
          <w:szCs w:val="20"/>
        </w:rPr>
        <w:t>, 475 U.S. at 588).</w:t>
      </w:r>
    </w:p>
  </w:footnote>
  <w:footnote w:id="190">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As an initial matter, </w:t>
      </w:r>
      <w:r w:rsidRPr="000444AC">
        <w:rPr>
          <w:rFonts w:ascii="Times New Roman" w:hAnsi="Times New Roman" w:cs="Times New Roman"/>
          <w:i/>
          <w:sz w:val="20"/>
          <w:szCs w:val="20"/>
        </w:rPr>
        <w:t>Matsushita</w:t>
      </w:r>
      <w:r w:rsidRPr="000444AC">
        <w:rPr>
          <w:rFonts w:ascii="Times New Roman" w:hAnsi="Times New Roman" w:cs="Times New Roman"/>
          <w:sz w:val="20"/>
          <w:szCs w:val="20"/>
        </w:rPr>
        <w:t xml:space="preserve"> merely established the evidentiary burden for surviving a motion for summary judgment, which the plaintiffs had already done.</w:t>
      </w:r>
    </w:p>
  </w:footnote>
  <w:footnote w:id="191">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Christopher R. Leslie, </w:t>
      </w:r>
      <w:r w:rsidRPr="000444AC">
        <w:rPr>
          <w:rFonts w:ascii="Times New Roman" w:hAnsi="Times New Roman" w:cs="Times New Roman"/>
          <w:i/>
          <w:sz w:val="20"/>
          <w:szCs w:val="20"/>
        </w:rPr>
        <w:t>Rationality Analysis in Antitrust</w:t>
      </w:r>
      <w:r w:rsidRPr="000444AC">
        <w:rPr>
          <w:rFonts w:ascii="Times New Roman" w:hAnsi="Times New Roman" w:cs="Times New Roman"/>
          <w:sz w:val="20"/>
          <w:szCs w:val="20"/>
        </w:rPr>
        <w:t xml:space="preserve">, 158 </w:t>
      </w:r>
      <w:r w:rsidRPr="000444AC">
        <w:rPr>
          <w:rFonts w:ascii="Times New Roman" w:hAnsi="Times New Roman" w:cs="Times New Roman"/>
          <w:smallCaps/>
          <w:sz w:val="20"/>
          <w:szCs w:val="20"/>
        </w:rPr>
        <w:t>U. Penn. L. Rev.</w:t>
      </w:r>
      <w:r w:rsidRPr="000444AC">
        <w:rPr>
          <w:rFonts w:ascii="Times New Roman" w:hAnsi="Times New Roman" w:cs="Times New Roman"/>
          <w:sz w:val="20"/>
          <w:szCs w:val="20"/>
        </w:rPr>
        <w:t xml:space="preserve"> 261 (2010).</w:t>
      </w:r>
    </w:p>
  </w:footnote>
  <w:footnote w:id="192">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In re High Fructose Corn Syrup Antitrust </w:t>
      </w:r>
      <w:proofErr w:type="spellStart"/>
      <w:r w:rsidRPr="000444AC">
        <w:rPr>
          <w:rFonts w:ascii="Times New Roman" w:hAnsi="Times New Roman" w:cs="Times New Roman"/>
          <w:sz w:val="20"/>
          <w:szCs w:val="20"/>
        </w:rPr>
        <w:t>Litig</w:t>
      </w:r>
      <w:proofErr w:type="spellEnd"/>
      <w:r w:rsidRPr="000444AC">
        <w:rPr>
          <w:rFonts w:ascii="Times New Roman" w:hAnsi="Times New Roman" w:cs="Times New Roman"/>
          <w:sz w:val="20"/>
          <w:szCs w:val="20"/>
        </w:rPr>
        <w:t>., 295 F.3d 651, 661 (7th Cir. 2002).</w:t>
      </w:r>
    </w:p>
  </w:footnote>
  <w:footnote w:id="193">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w:t>
      </w:r>
      <w:r w:rsidRPr="000444AC">
        <w:rPr>
          <w:rFonts w:ascii="Times New Roman" w:hAnsi="Times New Roman" w:cs="Times New Roman"/>
          <w:i/>
          <w:sz w:val="20"/>
          <w:szCs w:val="20"/>
        </w:rPr>
        <w:t>See</w:t>
      </w:r>
      <w:r w:rsidRPr="000444AC">
        <w:rPr>
          <w:rFonts w:ascii="Times New Roman" w:hAnsi="Times New Roman" w:cs="Times New Roman"/>
          <w:sz w:val="20"/>
          <w:szCs w:val="20"/>
        </w:rPr>
        <w:t xml:space="preserve"> Christopher R. Leslie, </w:t>
      </w:r>
      <w:r w:rsidRPr="000444AC">
        <w:rPr>
          <w:rFonts w:ascii="Times New Roman" w:hAnsi="Times New Roman" w:cs="Times New Roman"/>
          <w:i/>
          <w:sz w:val="20"/>
          <w:szCs w:val="20"/>
        </w:rPr>
        <w:t>Predatory Pricing and Recoupment</w:t>
      </w:r>
      <w:r w:rsidRPr="000444AC">
        <w:rPr>
          <w:rFonts w:ascii="Times New Roman" w:hAnsi="Times New Roman" w:cs="Times New Roman"/>
          <w:sz w:val="20"/>
          <w:szCs w:val="20"/>
        </w:rPr>
        <w:t xml:space="preserve">, 113 </w:t>
      </w:r>
      <w:r w:rsidRPr="000444AC">
        <w:rPr>
          <w:rFonts w:ascii="Times New Roman" w:hAnsi="Times New Roman" w:cs="Times New Roman"/>
          <w:smallCaps/>
          <w:sz w:val="20"/>
          <w:szCs w:val="20"/>
        </w:rPr>
        <w:t>Colum. L. Rev.</w:t>
      </w:r>
      <w:r w:rsidRPr="000444AC">
        <w:rPr>
          <w:rFonts w:ascii="Times New Roman" w:hAnsi="Times New Roman" w:cs="Times New Roman"/>
          <w:sz w:val="20"/>
          <w:szCs w:val="20"/>
        </w:rPr>
        <w:t xml:space="preserve"> 1695 (2013).</w:t>
      </w:r>
    </w:p>
    <w:p w:rsidR="006F1A30" w:rsidRPr="000444AC" w:rsidRDefault="006F1A30" w:rsidP="000444AC">
      <w:pPr>
        <w:pStyle w:val="a3"/>
        <w:rPr>
          <w:rFonts w:ascii="Times New Roman" w:hAnsi="Times New Roman" w:cs="Times New Roman"/>
          <w:sz w:val="20"/>
          <w:szCs w:val="20"/>
        </w:rPr>
      </w:pPr>
      <w:r w:rsidRPr="000444AC">
        <w:rPr>
          <w:rFonts w:ascii="Times New Roman" w:hAnsi="Times New Roman" w:cs="Times New Roman"/>
          <w:sz w:val="20"/>
          <w:szCs w:val="20"/>
        </w:rPr>
        <w:tab/>
        <w:t xml:space="preserve">Notably, when the district court in </w:t>
      </w:r>
      <w:r w:rsidRPr="000444AC">
        <w:rPr>
          <w:rFonts w:ascii="Times New Roman" w:hAnsi="Times New Roman" w:cs="Times New Roman"/>
          <w:i/>
          <w:sz w:val="20"/>
          <w:szCs w:val="20"/>
        </w:rPr>
        <w:t>In re Currency Conversion Fee Antitrust Litigation</w:t>
      </w:r>
      <w:r w:rsidRPr="000444AC">
        <w:rPr>
          <w:rFonts w:ascii="Times New Roman" w:hAnsi="Times New Roman" w:cs="Times New Roman"/>
          <w:sz w:val="20"/>
          <w:szCs w:val="20"/>
        </w:rPr>
        <w:t xml:space="preserve"> applied </w:t>
      </w:r>
      <w:r w:rsidRPr="000444AC">
        <w:rPr>
          <w:rFonts w:ascii="Times New Roman" w:hAnsi="Times New Roman" w:cs="Times New Roman"/>
          <w:i/>
          <w:iCs/>
          <w:sz w:val="20"/>
          <w:szCs w:val="20"/>
        </w:rPr>
        <w:t>Matsushita</w:t>
      </w:r>
      <w:r w:rsidRPr="000444AC">
        <w:rPr>
          <w:rFonts w:ascii="Times New Roman" w:hAnsi="Times New Roman" w:cs="Times New Roman"/>
          <w:iCs/>
          <w:sz w:val="20"/>
          <w:szCs w:val="20"/>
        </w:rPr>
        <w:t xml:space="preserve">, it </w:t>
      </w:r>
      <w:r w:rsidRPr="000444AC">
        <w:rPr>
          <w:rFonts w:ascii="Times New Roman" w:hAnsi="Times New Roman" w:cs="Times New Roman"/>
          <w:sz w:val="20"/>
          <w:szCs w:val="20"/>
        </w:rPr>
        <w:t xml:space="preserve">concluded that “a conspiracy to adopt arbitration clauses would not be entirely irrational,” and denied the defendants’ motion for summary judgment. </w:t>
      </w:r>
      <w:r w:rsidRPr="000444AC">
        <w:rPr>
          <w:rFonts w:ascii="Times New Roman" w:hAnsi="Times New Roman" w:cs="Times New Roman"/>
          <w:i/>
          <w:sz w:val="20"/>
          <w:szCs w:val="20"/>
        </w:rPr>
        <w:t>In re</w:t>
      </w:r>
      <w:r w:rsidRPr="000444AC">
        <w:rPr>
          <w:rFonts w:ascii="Times New Roman" w:hAnsi="Times New Roman" w:cs="Times New Roman"/>
          <w:sz w:val="20"/>
          <w:szCs w:val="20"/>
        </w:rPr>
        <w:t xml:space="preserve"> Currency Conversion Fee Antitrust </w:t>
      </w:r>
      <w:proofErr w:type="spellStart"/>
      <w:r w:rsidRPr="000444AC">
        <w:rPr>
          <w:rFonts w:ascii="Times New Roman" w:hAnsi="Times New Roman" w:cs="Times New Roman"/>
          <w:sz w:val="20"/>
          <w:szCs w:val="20"/>
        </w:rPr>
        <w:t>Litig</w:t>
      </w:r>
      <w:proofErr w:type="spellEnd"/>
      <w:r w:rsidRPr="000444AC">
        <w:rPr>
          <w:rFonts w:ascii="Times New Roman" w:hAnsi="Times New Roman" w:cs="Times New Roman"/>
          <w:sz w:val="20"/>
          <w:szCs w:val="20"/>
        </w:rPr>
        <w:t>., 2012 WL 401113 at 1, 7 (2012).</w:t>
      </w:r>
    </w:p>
  </w:footnote>
  <w:footnote w:id="194">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Ross v. American Exp. Co., 35 F.Supp.3d 407, 434 (S.D.N.Y. 2014) (“The mere existence of the clauses, diminishes the cards’ value by foreclosing the opportunity for cardholders to go to court and address grievances through class action litigation.”). Leslie, NCLR</w:t>
      </w:r>
    </w:p>
  </w:footnote>
  <w:footnote w:id="195">
    <w:p w:rsidR="006F1A30" w:rsidRPr="000444AC" w:rsidRDefault="006F1A30" w:rsidP="000444AC">
      <w:pPr>
        <w:pStyle w:val="a3"/>
        <w:rPr>
          <w:rFonts w:ascii="Times New Roman" w:hAnsi="Times New Roman" w:cs="Times New Roman"/>
          <w:sz w:val="20"/>
          <w:szCs w:val="20"/>
        </w:rPr>
      </w:pPr>
      <w:r w:rsidRPr="000444AC">
        <w:rPr>
          <w:rStyle w:val="a4"/>
          <w:rFonts w:ascii="Times New Roman" w:hAnsi="Times New Roman" w:cs="Times New Roman"/>
          <w:sz w:val="20"/>
          <w:szCs w:val="20"/>
        </w:rPr>
        <w:footnoteRef/>
      </w:r>
      <w:r w:rsidRPr="000444AC">
        <w:rPr>
          <w:rFonts w:ascii="Times New Roman" w:hAnsi="Times New Roman" w:cs="Times New Roman"/>
          <w:sz w:val="20"/>
          <w:szCs w:val="20"/>
        </w:rPr>
        <w:t xml:space="preserve"> Leslie, N</w:t>
      </w:r>
      <w:r>
        <w:rPr>
          <w:rFonts w:ascii="Times New Roman" w:hAnsi="Times New Roman" w:cs="Times New Roman"/>
          <w:sz w:val="20"/>
          <w:szCs w:val="20"/>
        </w:rPr>
        <w:t>.</w:t>
      </w:r>
      <w:r w:rsidRPr="000444AC">
        <w:rPr>
          <w:rFonts w:ascii="Times New Roman" w:hAnsi="Times New Roman" w:cs="Times New Roman"/>
          <w:sz w:val="20"/>
          <w:szCs w:val="20"/>
        </w:rPr>
        <w:t>C</w:t>
      </w:r>
      <w:r>
        <w:rPr>
          <w:rFonts w:ascii="Times New Roman" w:hAnsi="Times New Roman" w:cs="Times New Roman"/>
          <w:sz w:val="20"/>
          <w:szCs w:val="20"/>
        </w:rPr>
        <w:t xml:space="preserve">. </w:t>
      </w:r>
      <w:r w:rsidRPr="000444AC">
        <w:rPr>
          <w:rFonts w:ascii="Times New Roman" w:hAnsi="Times New Roman" w:cs="Times New Roman"/>
          <w:sz w:val="20"/>
          <w:szCs w:val="20"/>
        </w:rPr>
        <w:t>L</w:t>
      </w:r>
      <w:r>
        <w:rPr>
          <w:rFonts w:ascii="Times New Roman" w:hAnsi="Times New Roman" w:cs="Times New Roman"/>
          <w:sz w:val="20"/>
          <w:szCs w:val="20"/>
        </w:rPr>
        <w:t xml:space="preserve">. </w:t>
      </w:r>
      <w:r w:rsidRPr="000444AC">
        <w:rPr>
          <w:rFonts w:ascii="Times New Roman" w:hAnsi="Times New Roman" w:cs="Times New Roman"/>
          <w:sz w:val="20"/>
          <w:szCs w:val="20"/>
        </w:rPr>
        <w:t>R</w:t>
      </w:r>
      <w:r>
        <w:rPr>
          <w:rFonts w:ascii="Times New Roman" w:hAnsi="Times New Roman" w:cs="Times New Roman"/>
          <w:sz w:val="20"/>
          <w:szCs w:val="20"/>
        </w:rPr>
        <w: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30" w:rsidRDefault="006F1A30" w:rsidP="00BD7513">
    <w:pPr>
      <w:pStyle w:val="a5"/>
    </w:pPr>
    <w:r>
      <w:t xml:space="preserve">Some thoughts </w:t>
    </w:r>
    <w:proofErr w:type="spellStart"/>
    <w:r>
      <w:t>en</w:t>
    </w:r>
    <w:proofErr w:type="spellEnd"/>
    <w:r>
      <w:t xml:space="preserve"> route to a rough draft.</w:t>
    </w:r>
  </w:p>
  <w:p w:rsidR="006F1A30" w:rsidRDefault="006F1A30">
    <w:pPr>
      <w:pStyle w:val="a5"/>
    </w:pPr>
    <w:r>
      <w:t>Please do not circulate.</w:t>
    </w:r>
  </w:p>
  <w:p w:rsidR="006F1A30" w:rsidRDefault="006F1A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1CA"/>
    <w:rsid w:val="000041CC"/>
    <w:rsid w:val="000078A4"/>
    <w:rsid w:val="00015487"/>
    <w:rsid w:val="00015718"/>
    <w:rsid w:val="00023D0C"/>
    <w:rsid w:val="00027290"/>
    <w:rsid w:val="000444AC"/>
    <w:rsid w:val="000511DC"/>
    <w:rsid w:val="00052C35"/>
    <w:rsid w:val="00066965"/>
    <w:rsid w:val="00070069"/>
    <w:rsid w:val="00070B7E"/>
    <w:rsid w:val="000734FF"/>
    <w:rsid w:val="00074391"/>
    <w:rsid w:val="00075E39"/>
    <w:rsid w:val="00080B30"/>
    <w:rsid w:val="00082D10"/>
    <w:rsid w:val="00090B4F"/>
    <w:rsid w:val="000920D7"/>
    <w:rsid w:val="000A45E6"/>
    <w:rsid w:val="000B1F7B"/>
    <w:rsid w:val="000B46E8"/>
    <w:rsid w:val="000C1E6E"/>
    <w:rsid w:val="000D44CF"/>
    <w:rsid w:val="000E3D51"/>
    <w:rsid w:val="000F128B"/>
    <w:rsid w:val="001018AB"/>
    <w:rsid w:val="00103D07"/>
    <w:rsid w:val="00105B94"/>
    <w:rsid w:val="001101E6"/>
    <w:rsid w:val="00113A5B"/>
    <w:rsid w:val="00116B2E"/>
    <w:rsid w:val="001205BB"/>
    <w:rsid w:val="00122075"/>
    <w:rsid w:val="00127643"/>
    <w:rsid w:val="00135313"/>
    <w:rsid w:val="00137326"/>
    <w:rsid w:val="00140A11"/>
    <w:rsid w:val="00142040"/>
    <w:rsid w:val="00143FFF"/>
    <w:rsid w:val="00144296"/>
    <w:rsid w:val="0014503E"/>
    <w:rsid w:val="0015061D"/>
    <w:rsid w:val="001541E6"/>
    <w:rsid w:val="00154EF9"/>
    <w:rsid w:val="001557A2"/>
    <w:rsid w:val="0015665C"/>
    <w:rsid w:val="001618B8"/>
    <w:rsid w:val="00162098"/>
    <w:rsid w:val="00183A6D"/>
    <w:rsid w:val="001900D2"/>
    <w:rsid w:val="0019455D"/>
    <w:rsid w:val="00194AF7"/>
    <w:rsid w:val="0019666E"/>
    <w:rsid w:val="00197410"/>
    <w:rsid w:val="00197C25"/>
    <w:rsid w:val="001B328D"/>
    <w:rsid w:val="001B76AD"/>
    <w:rsid w:val="001C07ED"/>
    <w:rsid w:val="001C2647"/>
    <w:rsid w:val="001C3B40"/>
    <w:rsid w:val="001C4A8B"/>
    <w:rsid w:val="001C7777"/>
    <w:rsid w:val="001C78B4"/>
    <w:rsid w:val="001D434F"/>
    <w:rsid w:val="001E1207"/>
    <w:rsid w:val="001E460F"/>
    <w:rsid w:val="001F2097"/>
    <w:rsid w:val="001F3CE5"/>
    <w:rsid w:val="001F4D7A"/>
    <w:rsid w:val="001F6388"/>
    <w:rsid w:val="00201BED"/>
    <w:rsid w:val="002026CE"/>
    <w:rsid w:val="00207BEA"/>
    <w:rsid w:val="00211600"/>
    <w:rsid w:val="00212E61"/>
    <w:rsid w:val="00213B5F"/>
    <w:rsid w:val="002156E3"/>
    <w:rsid w:val="00215D73"/>
    <w:rsid w:val="00217184"/>
    <w:rsid w:val="00217D55"/>
    <w:rsid w:val="00222872"/>
    <w:rsid w:val="00242042"/>
    <w:rsid w:val="002474FE"/>
    <w:rsid w:val="00255037"/>
    <w:rsid w:val="00257C69"/>
    <w:rsid w:val="0026021A"/>
    <w:rsid w:val="00260652"/>
    <w:rsid w:val="00263228"/>
    <w:rsid w:val="002645D6"/>
    <w:rsid w:val="00265851"/>
    <w:rsid w:val="00272105"/>
    <w:rsid w:val="00280A19"/>
    <w:rsid w:val="00285C7A"/>
    <w:rsid w:val="002A3AFB"/>
    <w:rsid w:val="002B592E"/>
    <w:rsid w:val="002C25CC"/>
    <w:rsid w:val="002C77B9"/>
    <w:rsid w:val="002D085E"/>
    <w:rsid w:val="002D42DF"/>
    <w:rsid w:val="002D75B1"/>
    <w:rsid w:val="002F3BC8"/>
    <w:rsid w:val="002F6295"/>
    <w:rsid w:val="002F73DD"/>
    <w:rsid w:val="00301771"/>
    <w:rsid w:val="003149B4"/>
    <w:rsid w:val="003153C3"/>
    <w:rsid w:val="00327E32"/>
    <w:rsid w:val="00333818"/>
    <w:rsid w:val="0033446C"/>
    <w:rsid w:val="00344975"/>
    <w:rsid w:val="00345B97"/>
    <w:rsid w:val="00351401"/>
    <w:rsid w:val="00360683"/>
    <w:rsid w:val="00362C7D"/>
    <w:rsid w:val="00365BC9"/>
    <w:rsid w:val="00365F3A"/>
    <w:rsid w:val="003734FC"/>
    <w:rsid w:val="00373B2B"/>
    <w:rsid w:val="00381A88"/>
    <w:rsid w:val="00381AB0"/>
    <w:rsid w:val="0038577F"/>
    <w:rsid w:val="003860CA"/>
    <w:rsid w:val="00387FDC"/>
    <w:rsid w:val="00394B84"/>
    <w:rsid w:val="00396C2D"/>
    <w:rsid w:val="003A37FF"/>
    <w:rsid w:val="003A56C8"/>
    <w:rsid w:val="003A6194"/>
    <w:rsid w:val="003A7A27"/>
    <w:rsid w:val="003B3CC8"/>
    <w:rsid w:val="003B7F7A"/>
    <w:rsid w:val="003C32CC"/>
    <w:rsid w:val="003D5AD1"/>
    <w:rsid w:val="003D727D"/>
    <w:rsid w:val="003E0993"/>
    <w:rsid w:val="003E142C"/>
    <w:rsid w:val="003F406F"/>
    <w:rsid w:val="004001CA"/>
    <w:rsid w:val="00411EA4"/>
    <w:rsid w:val="0041221B"/>
    <w:rsid w:val="0041448A"/>
    <w:rsid w:val="00414B7E"/>
    <w:rsid w:val="00436ABD"/>
    <w:rsid w:val="00444365"/>
    <w:rsid w:val="0045200C"/>
    <w:rsid w:val="004522CC"/>
    <w:rsid w:val="00452474"/>
    <w:rsid w:val="004572FA"/>
    <w:rsid w:val="00457D5C"/>
    <w:rsid w:val="00460059"/>
    <w:rsid w:val="00462002"/>
    <w:rsid w:val="00463C96"/>
    <w:rsid w:val="00466BEB"/>
    <w:rsid w:val="00470BC4"/>
    <w:rsid w:val="00481A00"/>
    <w:rsid w:val="004844B2"/>
    <w:rsid w:val="00490CCC"/>
    <w:rsid w:val="00491173"/>
    <w:rsid w:val="00495B45"/>
    <w:rsid w:val="004A49C9"/>
    <w:rsid w:val="004B0130"/>
    <w:rsid w:val="004B14BB"/>
    <w:rsid w:val="004B22E5"/>
    <w:rsid w:val="004B523A"/>
    <w:rsid w:val="004B5943"/>
    <w:rsid w:val="004B6D0A"/>
    <w:rsid w:val="004C0ACC"/>
    <w:rsid w:val="004D30D3"/>
    <w:rsid w:val="004E2ABD"/>
    <w:rsid w:val="004F3B11"/>
    <w:rsid w:val="004F4188"/>
    <w:rsid w:val="004F6416"/>
    <w:rsid w:val="004F7D3E"/>
    <w:rsid w:val="005027C4"/>
    <w:rsid w:val="0051006A"/>
    <w:rsid w:val="0051255D"/>
    <w:rsid w:val="005125DC"/>
    <w:rsid w:val="00513E40"/>
    <w:rsid w:val="00514B9F"/>
    <w:rsid w:val="00521154"/>
    <w:rsid w:val="00527607"/>
    <w:rsid w:val="00527FBF"/>
    <w:rsid w:val="0053210C"/>
    <w:rsid w:val="005355A6"/>
    <w:rsid w:val="00541063"/>
    <w:rsid w:val="005458F5"/>
    <w:rsid w:val="005528E3"/>
    <w:rsid w:val="00553F28"/>
    <w:rsid w:val="00560697"/>
    <w:rsid w:val="005645E3"/>
    <w:rsid w:val="00570542"/>
    <w:rsid w:val="00575890"/>
    <w:rsid w:val="00581C26"/>
    <w:rsid w:val="00584A61"/>
    <w:rsid w:val="00586312"/>
    <w:rsid w:val="0059369F"/>
    <w:rsid w:val="00596BA1"/>
    <w:rsid w:val="0059762C"/>
    <w:rsid w:val="005A268D"/>
    <w:rsid w:val="005A3C5E"/>
    <w:rsid w:val="005B1646"/>
    <w:rsid w:val="005B1FE9"/>
    <w:rsid w:val="005B55A6"/>
    <w:rsid w:val="005B5BB7"/>
    <w:rsid w:val="005C2226"/>
    <w:rsid w:val="005C5CFF"/>
    <w:rsid w:val="005D16B2"/>
    <w:rsid w:val="005D75A1"/>
    <w:rsid w:val="005E36CD"/>
    <w:rsid w:val="005F7138"/>
    <w:rsid w:val="005F7FF3"/>
    <w:rsid w:val="00601712"/>
    <w:rsid w:val="0061549C"/>
    <w:rsid w:val="0061744D"/>
    <w:rsid w:val="00617DD5"/>
    <w:rsid w:val="006203FA"/>
    <w:rsid w:val="00625B93"/>
    <w:rsid w:val="006266BD"/>
    <w:rsid w:val="00626A91"/>
    <w:rsid w:val="00632237"/>
    <w:rsid w:val="006411FB"/>
    <w:rsid w:val="00641AFA"/>
    <w:rsid w:val="0064755B"/>
    <w:rsid w:val="006502A1"/>
    <w:rsid w:val="00651387"/>
    <w:rsid w:val="006562B5"/>
    <w:rsid w:val="00657A2A"/>
    <w:rsid w:val="00657AC0"/>
    <w:rsid w:val="006704EF"/>
    <w:rsid w:val="00671042"/>
    <w:rsid w:val="006710A2"/>
    <w:rsid w:val="006718BE"/>
    <w:rsid w:val="00671B6A"/>
    <w:rsid w:val="00675540"/>
    <w:rsid w:val="00676087"/>
    <w:rsid w:val="00677AC7"/>
    <w:rsid w:val="00681808"/>
    <w:rsid w:val="00694047"/>
    <w:rsid w:val="006A3BE7"/>
    <w:rsid w:val="006A636B"/>
    <w:rsid w:val="006A779A"/>
    <w:rsid w:val="006B232D"/>
    <w:rsid w:val="006B2DD0"/>
    <w:rsid w:val="006B3AF3"/>
    <w:rsid w:val="006C53D2"/>
    <w:rsid w:val="006D04F5"/>
    <w:rsid w:val="006D3709"/>
    <w:rsid w:val="006D3CD4"/>
    <w:rsid w:val="006D7FF5"/>
    <w:rsid w:val="006E5599"/>
    <w:rsid w:val="006E7B8B"/>
    <w:rsid w:val="006E7EE6"/>
    <w:rsid w:val="006F1A30"/>
    <w:rsid w:val="006F32E4"/>
    <w:rsid w:val="006F647D"/>
    <w:rsid w:val="006F64A3"/>
    <w:rsid w:val="006F673D"/>
    <w:rsid w:val="006F7FBE"/>
    <w:rsid w:val="00700CBD"/>
    <w:rsid w:val="00700F83"/>
    <w:rsid w:val="00702CCF"/>
    <w:rsid w:val="007069B0"/>
    <w:rsid w:val="0070700D"/>
    <w:rsid w:val="00711D67"/>
    <w:rsid w:val="00713614"/>
    <w:rsid w:val="00715723"/>
    <w:rsid w:val="00716244"/>
    <w:rsid w:val="00723652"/>
    <w:rsid w:val="00733553"/>
    <w:rsid w:val="0073482E"/>
    <w:rsid w:val="0073712C"/>
    <w:rsid w:val="00741F95"/>
    <w:rsid w:val="007466FC"/>
    <w:rsid w:val="0074670A"/>
    <w:rsid w:val="00750B50"/>
    <w:rsid w:val="00752023"/>
    <w:rsid w:val="00752E7D"/>
    <w:rsid w:val="007553AF"/>
    <w:rsid w:val="007570FA"/>
    <w:rsid w:val="0075771C"/>
    <w:rsid w:val="00762680"/>
    <w:rsid w:val="0076699B"/>
    <w:rsid w:val="00770CD7"/>
    <w:rsid w:val="007733E3"/>
    <w:rsid w:val="0077427F"/>
    <w:rsid w:val="007743F2"/>
    <w:rsid w:val="0077698D"/>
    <w:rsid w:val="007851C3"/>
    <w:rsid w:val="0078656E"/>
    <w:rsid w:val="0078798B"/>
    <w:rsid w:val="0079693B"/>
    <w:rsid w:val="007A293D"/>
    <w:rsid w:val="007A34B5"/>
    <w:rsid w:val="007A4799"/>
    <w:rsid w:val="007A5A67"/>
    <w:rsid w:val="007A5EF9"/>
    <w:rsid w:val="007A7451"/>
    <w:rsid w:val="007A7932"/>
    <w:rsid w:val="007B1677"/>
    <w:rsid w:val="007B7436"/>
    <w:rsid w:val="007C028C"/>
    <w:rsid w:val="007C5A16"/>
    <w:rsid w:val="007C7EDE"/>
    <w:rsid w:val="007D58A6"/>
    <w:rsid w:val="007D776D"/>
    <w:rsid w:val="007E07F2"/>
    <w:rsid w:val="007E2705"/>
    <w:rsid w:val="007E6E07"/>
    <w:rsid w:val="007F4C01"/>
    <w:rsid w:val="007F52D9"/>
    <w:rsid w:val="0080501C"/>
    <w:rsid w:val="008052A6"/>
    <w:rsid w:val="008074AA"/>
    <w:rsid w:val="0081526F"/>
    <w:rsid w:val="00823458"/>
    <w:rsid w:val="008260A7"/>
    <w:rsid w:val="00830BE9"/>
    <w:rsid w:val="00831EEC"/>
    <w:rsid w:val="00832243"/>
    <w:rsid w:val="008331F3"/>
    <w:rsid w:val="00833712"/>
    <w:rsid w:val="00836526"/>
    <w:rsid w:val="00837D1C"/>
    <w:rsid w:val="008410A5"/>
    <w:rsid w:val="00847E11"/>
    <w:rsid w:val="0085444E"/>
    <w:rsid w:val="00864F10"/>
    <w:rsid w:val="00867EC6"/>
    <w:rsid w:val="008700C8"/>
    <w:rsid w:val="00871834"/>
    <w:rsid w:val="00880D00"/>
    <w:rsid w:val="0088106C"/>
    <w:rsid w:val="00883328"/>
    <w:rsid w:val="00887950"/>
    <w:rsid w:val="00896FC6"/>
    <w:rsid w:val="008A2508"/>
    <w:rsid w:val="008A5359"/>
    <w:rsid w:val="008B05A9"/>
    <w:rsid w:val="008B09CF"/>
    <w:rsid w:val="008B5353"/>
    <w:rsid w:val="008B7396"/>
    <w:rsid w:val="008C317F"/>
    <w:rsid w:val="008C3D33"/>
    <w:rsid w:val="008D0FEE"/>
    <w:rsid w:val="008D1D66"/>
    <w:rsid w:val="008D26BC"/>
    <w:rsid w:val="008D5F77"/>
    <w:rsid w:val="008D66FF"/>
    <w:rsid w:val="008E1461"/>
    <w:rsid w:val="008E27A3"/>
    <w:rsid w:val="008E4ADA"/>
    <w:rsid w:val="008E4BF3"/>
    <w:rsid w:val="008E6474"/>
    <w:rsid w:val="008E64D3"/>
    <w:rsid w:val="008E7B87"/>
    <w:rsid w:val="008F111A"/>
    <w:rsid w:val="008F147C"/>
    <w:rsid w:val="008F50C1"/>
    <w:rsid w:val="008F76F1"/>
    <w:rsid w:val="00905214"/>
    <w:rsid w:val="00910313"/>
    <w:rsid w:val="00915943"/>
    <w:rsid w:val="009211DB"/>
    <w:rsid w:val="00926ED3"/>
    <w:rsid w:val="00935E34"/>
    <w:rsid w:val="00941339"/>
    <w:rsid w:val="00942CB0"/>
    <w:rsid w:val="00944292"/>
    <w:rsid w:val="00944745"/>
    <w:rsid w:val="00951FCB"/>
    <w:rsid w:val="009540DD"/>
    <w:rsid w:val="00955CA8"/>
    <w:rsid w:val="00956934"/>
    <w:rsid w:val="00957F90"/>
    <w:rsid w:val="00963EF2"/>
    <w:rsid w:val="00965099"/>
    <w:rsid w:val="00987E05"/>
    <w:rsid w:val="009910BF"/>
    <w:rsid w:val="00991AAA"/>
    <w:rsid w:val="00994054"/>
    <w:rsid w:val="009A0525"/>
    <w:rsid w:val="009A2C13"/>
    <w:rsid w:val="009A56ED"/>
    <w:rsid w:val="009A7522"/>
    <w:rsid w:val="009B6337"/>
    <w:rsid w:val="009B78D4"/>
    <w:rsid w:val="009B7DCD"/>
    <w:rsid w:val="009C32EE"/>
    <w:rsid w:val="009C5F61"/>
    <w:rsid w:val="009D2157"/>
    <w:rsid w:val="009D27AF"/>
    <w:rsid w:val="009D3CC5"/>
    <w:rsid w:val="009E2914"/>
    <w:rsid w:val="009E535F"/>
    <w:rsid w:val="009E6162"/>
    <w:rsid w:val="009F3209"/>
    <w:rsid w:val="009F5829"/>
    <w:rsid w:val="009F6DDE"/>
    <w:rsid w:val="00A005E7"/>
    <w:rsid w:val="00A0354F"/>
    <w:rsid w:val="00A0455B"/>
    <w:rsid w:val="00A068E5"/>
    <w:rsid w:val="00A136CA"/>
    <w:rsid w:val="00A1440B"/>
    <w:rsid w:val="00A1589E"/>
    <w:rsid w:val="00A22612"/>
    <w:rsid w:val="00A249A2"/>
    <w:rsid w:val="00A33D40"/>
    <w:rsid w:val="00A35BBE"/>
    <w:rsid w:val="00A37CDD"/>
    <w:rsid w:val="00A40FEA"/>
    <w:rsid w:val="00A46F76"/>
    <w:rsid w:val="00A52E62"/>
    <w:rsid w:val="00A5381E"/>
    <w:rsid w:val="00A55109"/>
    <w:rsid w:val="00A55462"/>
    <w:rsid w:val="00A700DB"/>
    <w:rsid w:val="00A71DDD"/>
    <w:rsid w:val="00A734D4"/>
    <w:rsid w:val="00A73BA6"/>
    <w:rsid w:val="00A77679"/>
    <w:rsid w:val="00A776F9"/>
    <w:rsid w:val="00A81387"/>
    <w:rsid w:val="00A873A9"/>
    <w:rsid w:val="00A90045"/>
    <w:rsid w:val="00A92F6B"/>
    <w:rsid w:val="00AA12F8"/>
    <w:rsid w:val="00AA1A25"/>
    <w:rsid w:val="00AA6110"/>
    <w:rsid w:val="00AA64F7"/>
    <w:rsid w:val="00AB54B3"/>
    <w:rsid w:val="00AB61A0"/>
    <w:rsid w:val="00AB79E0"/>
    <w:rsid w:val="00AC37D9"/>
    <w:rsid w:val="00AC48A9"/>
    <w:rsid w:val="00AD3F1B"/>
    <w:rsid w:val="00AE14EE"/>
    <w:rsid w:val="00AE283A"/>
    <w:rsid w:val="00AE4C8E"/>
    <w:rsid w:val="00AE4DBE"/>
    <w:rsid w:val="00AE568A"/>
    <w:rsid w:val="00AF3A8C"/>
    <w:rsid w:val="00AF56BB"/>
    <w:rsid w:val="00B002CE"/>
    <w:rsid w:val="00B23245"/>
    <w:rsid w:val="00B240EA"/>
    <w:rsid w:val="00B241BD"/>
    <w:rsid w:val="00B25E3B"/>
    <w:rsid w:val="00B26C1B"/>
    <w:rsid w:val="00B330E0"/>
    <w:rsid w:val="00B462B0"/>
    <w:rsid w:val="00B54745"/>
    <w:rsid w:val="00B55F2D"/>
    <w:rsid w:val="00B64226"/>
    <w:rsid w:val="00B64D3E"/>
    <w:rsid w:val="00B71D61"/>
    <w:rsid w:val="00B866E8"/>
    <w:rsid w:val="00B9037B"/>
    <w:rsid w:val="00B92A19"/>
    <w:rsid w:val="00B95582"/>
    <w:rsid w:val="00BB1EE2"/>
    <w:rsid w:val="00BC070B"/>
    <w:rsid w:val="00BC28C3"/>
    <w:rsid w:val="00BC7E7A"/>
    <w:rsid w:val="00BD0E1F"/>
    <w:rsid w:val="00BD10F3"/>
    <w:rsid w:val="00BD1576"/>
    <w:rsid w:val="00BD5386"/>
    <w:rsid w:val="00BD7513"/>
    <w:rsid w:val="00BD7D46"/>
    <w:rsid w:val="00BD7E17"/>
    <w:rsid w:val="00BE2AB2"/>
    <w:rsid w:val="00BF4B6A"/>
    <w:rsid w:val="00BF587B"/>
    <w:rsid w:val="00C007B8"/>
    <w:rsid w:val="00C02932"/>
    <w:rsid w:val="00C11AAB"/>
    <w:rsid w:val="00C164D6"/>
    <w:rsid w:val="00C21732"/>
    <w:rsid w:val="00C23253"/>
    <w:rsid w:val="00C25B9A"/>
    <w:rsid w:val="00C30401"/>
    <w:rsid w:val="00C32D7B"/>
    <w:rsid w:val="00C4792F"/>
    <w:rsid w:val="00C50179"/>
    <w:rsid w:val="00C50D4F"/>
    <w:rsid w:val="00C51CEB"/>
    <w:rsid w:val="00C61FAB"/>
    <w:rsid w:val="00C64768"/>
    <w:rsid w:val="00C652AA"/>
    <w:rsid w:val="00C71817"/>
    <w:rsid w:val="00C82281"/>
    <w:rsid w:val="00C8428D"/>
    <w:rsid w:val="00C84317"/>
    <w:rsid w:val="00C84688"/>
    <w:rsid w:val="00C85D14"/>
    <w:rsid w:val="00C90ADE"/>
    <w:rsid w:val="00C914E3"/>
    <w:rsid w:val="00C929C5"/>
    <w:rsid w:val="00C96254"/>
    <w:rsid w:val="00C967A7"/>
    <w:rsid w:val="00CA48F6"/>
    <w:rsid w:val="00CA7AB0"/>
    <w:rsid w:val="00CB6486"/>
    <w:rsid w:val="00CC2DA1"/>
    <w:rsid w:val="00CC7CE9"/>
    <w:rsid w:val="00CD2958"/>
    <w:rsid w:val="00CD368A"/>
    <w:rsid w:val="00CD539E"/>
    <w:rsid w:val="00CD5672"/>
    <w:rsid w:val="00CD7904"/>
    <w:rsid w:val="00CE25DC"/>
    <w:rsid w:val="00CE277C"/>
    <w:rsid w:val="00CE51C3"/>
    <w:rsid w:val="00CF545F"/>
    <w:rsid w:val="00CF5715"/>
    <w:rsid w:val="00D01EA3"/>
    <w:rsid w:val="00D02841"/>
    <w:rsid w:val="00D1573B"/>
    <w:rsid w:val="00D1746C"/>
    <w:rsid w:val="00D17D45"/>
    <w:rsid w:val="00D203A9"/>
    <w:rsid w:val="00D30706"/>
    <w:rsid w:val="00D357DF"/>
    <w:rsid w:val="00D409F6"/>
    <w:rsid w:val="00D5488E"/>
    <w:rsid w:val="00D5765D"/>
    <w:rsid w:val="00D60B29"/>
    <w:rsid w:val="00D63A3F"/>
    <w:rsid w:val="00D65B46"/>
    <w:rsid w:val="00D6761B"/>
    <w:rsid w:val="00D7011A"/>
    <w:rsid w:val="00D721BB"/>
    <w:rsid w:val="00D80492"/>
    <w:rsid w:val="00D814AC"/>
    <w:rsid w:val="00D83E83"/>
    <w:rsid w:val="00D92CFD"/>
    <w:rsid w:val="00D94ADC"/>
    <w:rsid w:val="00D95CCD"/>
    <w:rsid w:val="00DA4227"/>
    <w:rsid w:val="00DA4BD1"/>
    <w:rsid w:val="00DB6A00"/>
    <w:rsid w:val="00DB6DA3"/>
    <w:rsid w:val="00DC7AD7"/>
    <w:rsid w:val="00DD1CC3"/>
    <w:rsid w:val="00DD224C"/>
    <w:rsid w:val="00DD2BCB"/>
    <w:rsid w:val="00DD66AD"/>
    <w:rsid w:val="00DE17B8"/>
    <w:rsid w:val="00DF383D"/>
    <w:rsid w:val="00E0733F"/>
    <w:rsid w:val="00E104A8"/>
    <w:rsid w:val="00E10655"/>
    <w:rsid w:val="00E12B4E"/>
    <w:rsid w:val="00E12CC1"/>
    <w:rsid w:val="00E13FB4"/>
    <w:rsid w:val="00E14A38"/>
    <w:rsid w:val="00E16061"/>
    <w:rsid w:val="00E16DCD"/>
    <w:rsid w:val="00E22626"/>
    <w:rsid w:val="00E25630"/>
    <w:rsid w:val="00E265EC"/>
    <w:rsid w:val="00E26E29"/>
    <w:rsid w:val="00E3026F"/>
    <w:rsid w:val="00E302EF"/>
    <w:rsid w:val="00E32186"/>
    <w:rsid w:val="00E334C6"/>
    <w:rsid w:val="00E33A60"/>
    <w:rsid w:val="00E34493"/>
    <w:rsid w:val="00E37484"/>
    <w:rsid w:val="00E41FAB"/>
    <w:rsid w:val="00E512CD"/>
    <w:rsid w:val="00E52482"/>
    <w:rsid w:val="00E54A3F"/>
    <w:rsid w:val="00E6059B"/>
    <w:rsid w:val="00E63284"/>
    <w:rsid w:val="00E6358D"/>
    <w:rsid w:val="00E7337A"/>
    <w:rsid w:val="00E73AF4"/>
    <w:rsid w:val="00E74944"/>
    <w:rsid w:val="00E7515B"/>
    <w:rsid w:val="00E83F4C"/>
    <w:rsid w:val="00E84CC4"/>
    <w:rsid w:val="00E87BC2"/>
    <w:rsid w:val="00E90937"/>
    <w:rsid w:val="00E91A60"/>
    <w:rsid w:val="00E97DD8"/>
    <w:rsid w:val="00EA428B"/>
    <w:rsid w:val="00EA49DB"/>
    <w:rsid w:val="00EA66A3"/>
    <w:rsid w:val="00EB2B33"/>
    <w:rsid w:val="00EC67B7"/>
    <w:rsid w:val="00ED3FB0"/>
    <w:rsid w:val="00ED694D"/>
    <w:rsid w:val="00ED7037"/>
    <w:rsid w:val="00EE1616"/>
    <w:rsid w:val="00EE4484"/>
    <w:rsid w:val="00EF2953"/>
    <w:rsid w:val="00EF2AD0"/>
    <w:rsid w:val="00EF54EA"/>
    <w:rsid w:val="00EF5A5B"/>
    <w:rsid w:val="00EF5F66"/>
    <w:rsid w:val="00F030DC"/>
    <w:rsid w:val="00F06C0A"/>
    <w:rsid w:val="00F14789"/>
    <w:rsid w:val="00F23539"/>
    <w:rsid w:val="00F24FE8"/>
    <w:rsid w:val="00F2666B"/>
    <w:rsid w:val="00F442AE"/>
    <w:rsid w:val="00F47C81"/>
    <w:rsid w:val="00F570F6"/>
    <w:rsid w:val="00F7617D"/>
    <w:rsid w:val="00F76A77"/>
    <w:rsid w:val="00F76E9E"/>
    <w:rsid w:val="00F8030A"/>
    <w:rsid w:val="00F81BE0"/>
    <w:rsid w:val="00F81C84"/>
    <w:rsid w:val="00F8454C"/>
    <w:rsid w:val="00F94D48"/>
    <w:rsid w:val="00F95242"/>
    <w:rsid w:val="00FA0A73"/>
    <w:rsid w:val="00FB09A5"/>
    <w:rsid w:val="00FB43EE"/>
    <w:rsid w:val="00FB6029"/>
    <w:rsid w:val="00FB7638"/>
    <w:rsid w:val="00FC3429"/>
    <w:rsid w:val="00FC6AC9"/>
    <w:rsid w:val="00FC79DA"/>
    <w:rsid w:val="00FD0FE5"/>
    <w:rsid w:val="00FD2621"/>
    <w:rsid w:val="00FD7057"/>
    <w:rsid w:val="00FF2863"/>
    <w:rsid w:val="00FF4F53"/>
    <w:rsid w:val="00FF50C9"/>
    <w:rsid w:val="00FF687B"/>
    <w:rsid w:val="00FF72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1933"/>
  <w15:docId w15:val="{7B4A3174-4B7E-5145-B340-951CFBD1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1CA"/>
    <w:rPr>
      <w:rFonts w:asciiTheme="minorHAnsi" w:hAnsiTheme="min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02CCF"/>
  </w:style>
  <w:style w:type="character" w:customStyle="1" w:styleId="Char">
    <w:name w:val="각주 텍스트 Char"/>
    <w:basedOn w:val="a0"/>
    <w:link w:val="a3"/>
    <w:uiPriority w:val="99"/>
    <w:rsid w:val="00702CCF"/>
    <w:rPr>
      <w:rFonts w:asciiTheme="minorHAnsi" w:eastAsiaTheme="minorEastAsia" w:hAnsiTheme="minorHAnsi"/>
      <w:szCs w:val="24"/>
    </w:rPr>
  </w:style>
  <w:style w:type="character" w:styleId="a4">
    <w:name w:val="footnote reference"/>
    <w:basedOn w:val="a0"/>
    <w:uiPriority w:val="99"/>
    <w:unhideWhenUsed/>
    <w:rsid w:val="00702CCF"/>
    <w:rPr>
      <w:vertAlign w:val="superscript"/>
    </w:rPr>
  </w:style>
  <w:style w:type="paragraph" w:styleId="a5">
    <w:name w:val="header"/>
    <w:basedOn w:val="a"/>
    <w:link w:val="Char0"/>
    <w:uiPriority w:val="99"/>
    <w:unhideWhenUsed/>
    <w:rsid w:val="00A81387"/>
    <w:pPr>
      <w:tabs>
        <w:tab w:val="center" w:pos="4680"/>
        <w:tab w:val="right" w:pos="9360"/>
      </w:tabs>
    </w:pPr>
  </w:style>
  <w:style w:type="character" w:customStyle="1" w:styleId="Char0">
    <w:name w:val="머리글 Char"/>
    <w:basedOn w:val="a0"/>
    <w:link w:val="a5"/>
    <w:uiPriority w:val="99"/>
    <w:rsid w:val="00A81387"/>
    <w:rPr>
      <w:rFonts w:asciiTheme="minorHAnsi" w:eastAsiaTheme="minorEastAsia" w:hAnsiTheme="minorHAnsi"/>
      <w:szCs w:val="24"/>
    </w:rPr>
  </w:style>
  <w:style w:type="paragraph" w:styleId="a6">
    <w:name w:val="footer"/>
    <w:basedOn w:val="a"/>
    <w:link w:val="Char1"/>
    <w:uiPriority w:val="99"/>
    <w:unhideWhenUsed/>
    <w:rsid w:val="00A81387"/>
    <w:pPr>
      <w:tabs>
        <w:tab w:val="center" w:pos="4680"/>
        <w:tab w:val="right" w:pos="9360"/>
      </w:tabs>
    </w:pPr>
  </w:style>
  <w:style w:type="character" w:customStyle="1" w:styleId="Char1">
    <w:name w:val="바닥글 Char"/>
    <w:basedOn w:val="a0"/>
    <w:link w:val="a6"/>
    <w:uiPriority w:val="99"/>
    <w:rsid w:val="00A81387"/>
    <w:rPr>
      <w:rFonts w:asciiTheme="minorHAnsi" w:eastAsiaTheme="minorEastAsia" w:hAnsiTheme="minorHAnsi"/>
      <w:szCs w:val="24"/>
    </w:rPr>
  </w:style>
  <w:style w:type="paragraph" w:customStyle="1" w:styleId="xmsonormal">
    <w:name w:val="x_msonormal"/>
    <w:basedOn w:val="a"/>
    <w:rsid w:val="007A34B5"/>
    <w:pPr>
      <w:spacing w:before="100" w:beforeAutospacing="1" w:after="100" w:afterAutospacing="1"/>
    </w:pPr>
    <w:rPr>
      <w:rFonts w:ascii="Times New Roman" w:eastAsia="Times New Roman" w:hAnsi="Times New Roman" w:cs="Times New Roman"/>
    </w:rPr>
  </w:style>
  <w:style w:type="character" w:customStyle="1" w:styleId="costarpage">
    <w:name w:val="co_starpage"/>
    <w:basedOn w:val="a0"/>
    <w:rsid w:val="00F76A77"/>
  </w:style>
  <w:style w:type="character" w:styleId="a7">
    <w:name w:val="Emphasis"/>
    <w:basedOn w:val="a0"/>
    <w:uiPriority w:val="20"/>
    <w:qFormat/>
    <w:rsid w:val="00F76A77"/>
    <w:rPr>
      <w:i/>
      <w:iCs/>
    </w:rPr>
  </w:style>
  <w:style w:type="paragraph" w:styleId="a8">
    <w:name w:val="Balloon Text"/>
    <w:basedOn w:val="a"/>
    <w:link w:val="Char2"/>
    <w:uiPriority w:val="99"/>
    <w:semiHidden/>
    <w:unhideWhenUsed/>
    <w:rsid w:val="00BD7513"/>
    <w:rPr>
      <w:rFonts w:ascii="Tahoma" w:hAnsi="Tahoma" w:cs="Tahoma"/>
      <w:sz w:val="16"/>
      <w:szCs w:val="16"/>
    </w:rPr>
  </w:style>
  <w:style w:type="character" w:customStyle="1" w:styleId="Char2">
    <w:name w:val="풍선 도움말 텍스트 Char"/>
    <w:basedOn w:val="a0"/>
    <w:link w:val="a8"/>
    <w:uiPriority w:val="99"/>
    <w:semiHidden/>
    <w:rsid w:val="00BD7513"/>
    <w:rPr>
      <w:rFonts w:ascii="Tahoma" w:eastAsiaTheme="minorEastAsia" w:hAnsi="Tahoma" w:cs="Tahoma"/>
      <w:sz w:val="16"/>
      <w:szCs w:val="16"/>
    </w:rPr>
  </w:style>
  <w:style w:type="paragraph" w:customStyle="1" w:styleId="FootNote">
    <w:name w:val="_FootNote"/>
    <w:basedOn w:val="a"/>
    <w:qFormat/>
    <w:rsid w:val="00BD7513"/>
    <w:pPr>
      <w:suppressLineNumbers/>
      <w:tabs>
        <w:tab w:val="left" w:pos="240"/>
        <w:tab w:val="left" w:pos="480"/>
      </w:tabs>
      <w:spacing w:before="20" w:line="200" w:lineRule="exact"/>
      <w:jc w:val="both"/>
    </w:pPr>
    <w:rPr>
      <w:rFonts w:ascii="Times New Roman" w:eastAsia="Times New Roman" w:hAnsi="Times New Roman" w:cs="Times New Roman"/>
      <w:sz w:val="17"/>
      <w:szCs w:val="20"/>
    </w:rPr>
  </w:style>
  <w:style w:type="character" w:customStyle="1" w:styleId="apple-style-span">
    <w:name w:val="apple-style-span"/>
    <w:rsid w:val="00F4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0999">
      <w:bodyDiv w:val="1"/>
      <w:marLeft w:val="0"/>
      <w:marRight w:val="0"/>
      <w:marTop w:val="0"/>
      <w:marBottom w:val="0"/>
      <w:divBdr>
        <w:top w:val="none" w:sz="0" w:space="0" w:color="auto"/>
        <w:left w:val="none" w:sz="0" w:space="0" w:color="auto"/>
        <w:bottom w:val="none" w:sz="0" w:space="0" w:color="auto"/>
        <w:right w:val="none" w:sz="0" w:space="0" w:color="auto"/>
      </w:divBdr>
    </w:div>
    <w:div w:id="563300943">
      <w:bodyDiv w:val="1"/>
      <w:marLeft w:val="0"/>
      <w:marRight w:val="0"/>
      <w:marTop w:val="0"/>
      <w:marBottom w:val="0"/>
      <w:divBdr>
        <w:top w:val="none" w:sz="0" w:space="0" w:color="auto"/>
        <w:left w:val="none" w:sz="0" w:space="0" w:color="auto"/>
        <w:bottom w:val="none" w:sz="0" w:space="0" w:color="auto"/>
        <w:right w:val="none" w:sz="0" w:space="0" w:color="auto"/>
      </w:divBdr>
      <w:divsChild>
        <w:div w:id="445349239">
          <w:marLeft w:val="0"/>
          <w:marRight w:val="0"/>
          <w:marTop w:val="0"/>
          <w:marBottom w:val="0"/>
          <w:divBdr>
            <w:top w:val="none" w:sz="0" w:space="0" w:color="auto"/>
            <w:left w:val="none" w:sz="0" w:space="0" w:color="auto"/>
            <w:bottom w:val="none" w:sz="0" w:space="0" w:color="auto"/>
            <w:right w:val="none" w:sz="0" w:space="0" w:color="auto"/>
          </w:divBdr>
        </w:div>
        <w:div w:id="1670400833">
          <w:marLeft w:val="0"/>
          <w:marRight w:val="0"/>
          <w:marTop w:val="0"/>
          <w:marBottom w:val="0"/>
          <w:divBdr>
            <w:top w:val="none" w:sz="0" w:space="0" w:color="auto"/>
            <w:left w:val="none" w:sz="0" w:space="0" w:color="auto"/>
            <w:bottom w:val="none" w:sz="0" w:space="0" w:color="auto"/>
            <w:right w:val="none" w:sz="0" w:space="0" w:color="auto"/>
          </w:divBdr>
        </w:div>
      </w:divsChild>
    </w:div>
    <w:div w:id="1002318546">
      <w:bodyDiv w:val="1"/>
      <w:marLeft w:val="0"/>
      <w:marRight w:val="0"/>
      <w:marTop w:val="0"/>
      <w:marBottom w:val="0"/>
      <w:divBdr>
        <w:top w:val="none" w:sz="0" w:space="0" w:color="auto"/>
        <w:left w:val="none" w:sz="0" w:space="0" w:color="auto"/>
        <w:bottom w:val="none" w:sz="0" w:space="0" w:color="auto"/>
        <w:right w:val="none" w:sz="0" w:space="0" w:color="auto"/>
      </w:divBdr>
    </w:div>
    <w:div w:id="1206678278">
      <w:bodyDiv w:val="1"/>
      <w:marLeft w:val="0"/>
      <w:marRight w:val="0"/>
      <w:marTop w:val="0"/>
      <w:marBottom w:val="0"/>
      <w:divBdr>
        <w:top w:val="none" w:sz="0" w:space="0" w:color="auto"/>
        <w:left w:val="none" w:sz="0" w:space="0" w:color="auto"/>
        <w:bottom w:val="none" w:sz="0" w:space="0" w:color="auto"/>
        <w:right w:val="none" w:sz="0" w:space="0" w:color="auto"/>
      </w:divBdr>
    </w:div>
    <w:div w:id="1341276635">
      <w:bodyDiv w:val="1"/>
      <w:marLeft w:val="0"/>
      <w:marRight w:val="0"/>
      <w:marTop w:val="0"/>
      <w:marBottom w:val="0"/>
      <w:divBdr>
        <w:top w:val="none" w:sz="0" w:space="0" w:color="auto"/>
        <w:left w:val="none" w:sz="0" w:space="0" w:color="auto"/>
        <w:bottom w:val="none" w:sz="0" w:space="0" w:color="auto"/>
        <w:right w:val="none" w:sz="0" w:space="0" w:color="auto"/>
      </w:divBdr>
    </w:div>
    <w:div w:id="1343582624">
      <w:bodyDiv w:val="1"/>
      <w:marLeft w:val="0"/>
      <w:marRight w:val="0"/>
      <w:marTop w:val="0"/>
      <w:marBottom w:val="0"/>
      <w:divBdr>
        <w:top w:val="none" w:sz="0" w:space="0" w:color="auto"/>
        <w:left w:val="none" w:sz="0" w:space="0" w:color="auto"/>
        <w:bottom w:val="none" w:sz="0" w:space="0" w:color="auto"/>
        <w:right w:val="none" w:sz="0" w:space="0" w:color="auto"/>
      </w:divBdr>
    </w:div>
    <w:div w:id="1779564854">
      <w:bodyDiv w:val="1"/>
      <w:marLeft w:val="0"/>
      <w:marRight w:val="0"/>
      <w:marTop w:val="0"/>
      <w:marBottom w:val="0"/>
      <w:divBdr>
        <w:top w:val="none" w:sz="0" w:space="0" w:color="auto"/>
        <w:left w:val="none" w:sz="0" w:space="0" w:color="auto"/>
        <w:bottom w:val="none" w:sz="0" w:space="0" w:color="auto"/>
        <w:right w:val="none" w:sz="0" w:space="0" w:color="auto"/>
      </w:divBdr>
    </w:div>
    <w:div w:id="1869219480">
      <w:bodyDiv w:val="1"/>
      <w:marLeft w:val="0"/>
      <w:marRight w:val="0"/>
      <w:marTop w:val="0"/>
      <w:marBottom w:val="0"/>
      <w:divBdr>
        <w:top w:val="none" w:sz="0" w:space="0" w:color="auto"/>
        <w:left w:val="none" w:sz="0" w:space="0" w:color="auto"/>
        <w:bottom w:val="none" w:sz="0" w:space="0" w:color="auto"/>
        <w:right w:val="none" w:sz="0" w:space="0" w:color="auto"/>
      </w:divBdr>
    </w:div>
    <w:div w:id="20327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4854</TotalTime>
  <Pages>30</Pages>
  <Words>11007</Words>
  <Characters>62745</Characters>
  <Application>Microsoft Office Word</Application>
  <DocSecurity>0</DocSecurity>
  <Lines>522</Lines>
  <Paragraphs>147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KS Park</cp:lastModifiedBy>
  <cp:revision>103</cp:revision>
  <dcterms:created xsi:type="dcterms:W3CDTF">2018-11-09T20:23:00Z</dcterms:created>
  <dcterms:modified xsi:type="dcterms:W3CDTF">2018-11-17T18:33:00Z</dcterms:modified>
</cp:coreProperties>
</file>