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930B1" w14:textId="77777777" w:rsidR="00FF77BB" w:rsidRPr="00C85A19" w:rsidRDefault="00FF77BB" w:rsidP="00FF77BB">
      <w:pPr>
        <w:rPr>
          <w:rFonts w:cs="Arial"/>
          <w:bCs/>
        </w:rPr>
      </w:pPr>
      <w:bookmarkStart w:id="0" w:name="_GoBack"/>
      <w:bookmarkEnd w:id="0"/>
      <w:r w:rsidRPr="00C85A19">
        <w:rPr>
          <w:rFonts w:cs="Arial"/>
          <w:bCs/>
          <w:noProof/>
          <w:lang w:val="en-US"/>
        </w:rPr>
        <w:drawing>
          <wp:anchor distT="0" distB="0" distL="114300" distR="114300" simplePos="0" relativeHeight="251667456" behindDoc="0" locked="0" layoutInCell="1" allowOverlap="1" wp14:anchorId="4BF10B5F" wp14:editId="794E0995">
            <wp:simplePos x="0" y="0"/>
            <wp:positionH relativeFrom="column">
              <wp:posOffset>1987289</wp:posOffset>
            </wp:positionH>
            <wp:positionV relativeFrom="paragraph">
              <wp:posOffset>159945</wp:posOffset>
            </wp:positionV>
            <wp:extent cx="2468880" cy="926465"/>
            <wp:effectExtent l="0" t="0" r="762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9264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F77BB" w:rsidRPr="00D6328E" w14:paraId="7D542BA5" w14:textId="77777777" w:rsidTr="009F01C5">
        <w:trPr>
          <w:jc w:val="center"/>
        </w:trPr>
        <w:tc>
          <w:tcPr>
            <w:tcW w:w="9923" w:type="dxa"/>
          </w:tcPr>
          <w:p w14:paraId="4AE4A7C8" w14:textId="77777777" w:rsidR="007B25DC" w:rsidRDefault="007B25DC" w:rsidP="007B25DC">
            <w:pPr>
              <w:jc w:val="center"/>
              <w:rPr>
                <w:rFonts w:cs="Arial"/>
                <w:b/>
                <w:bCs/>
                <w:sz w:val="36"/>
                <w:szCs w:val="36"/>
              </w:rPr>
            </w:pPr>
          </w:p>
          <w:p w14:paraId="410591A7" w14:textId="19AB5063" w:rsidR="00FF77BB" w:rsidRDefault="007B25DC" w:rsidP="007B25DC">
            <w:pPr>
              <w:jc w:val="center"/>
              <w:rPr>
                <w:rFonts w:cs="Arial"/>
                <w:b/>
                <w:bCs/>
                <w:sz w:val="36"/>
                <w:szCs w:val="36"/>
              </w:rPr>
            </w:pPr>
            <w:r>
              <w:rPr>
                <w:rFonts w:cs="Arial"/>
                <w:b/>
                <w:bCs/>
                <w:sz w:val="36"/>
                <w:szCs w:val="36"/>
              </w:rPr>
              <w:t>COVER</w:t>
            </w:r>
            <w:r w:rsidR="004E501E">
              <w:rPr>
                <w:rFonts w:cs="Arial"/>
                <w:b/>
                <w:bCs/>
                <w:sz w:val="36"/>
                <w:szCs w:val="36"/>
              </w:rPr>
              <w:t xml:space="preserve"> LETTER ON</w:t>
            </w:r>
            <w:r w:rsidR="002F7DA2">
              <w:rPr>
                <w:rFonts w:cs="Arial"/>
                <w:b/>
                <w:bCs/>
                <w:sz w:val="36"/>
                <w:szCs w:val="36"/>
              </w:rPr>
              <w:t xml:space="preserve"> CLINICAL</w:t>
            </w:r>
            <w:r w:rsidR="004E501E">
              <w:rPr>
                <w:rFonts w:cs="Arial"/>
                <w:b/>
                <w:bCs/>
                <w:sz w:val="36"/>
                <w:szCs w:val="36"/>
              </w:rPr>
              <w:t xml:space="preserve"> GUIDELINE</w:t>
            </w:r>
          </w:p>
          <w:p w14:paraId="7AF3FD95" w14:textId="260FE583" w:rsidR="007B25DC" w:rsidRPr="007B25DC" w:rsidRDefault="007B25DC" w:rsidP="007B25DC">
            <w:pPr>
              <w:jc w:val="center"/>
              <w:rPr>
                <w:rFonts w:cs="Arial"/>
                <w:b/>
                <w:bCs/>
                <w:sz w:val="36"/>
                <w:szCs w:val="36"/>
              </w:rPr>
            </w:pPr>
          </w:p>
        </w:tc>
      </w:tr>
    </w:tbl>
    <w:p w14:paraId="211B5626" w14:textId="77777777" w:rsidR="00FF77BB" w:rsidRPr="00212B3D" w:rsidRDefault="00FF77BB" w:rsidP="00FF77BB">
      <w:pPr>
        <w:spacing w:line="240" w:lineRule="auto"/>
        <w:jc w:val="center"/>
        <w:rPr>
          <w:rFonts w:cs="Arial"/>
          <w:b/>
        </w:rPr>
      </w:pPr>
    </w:p>
    <w:tbl>
      <w:tblPr>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23"/>
      </w:tblGrid>
      <w:tr w:rsidR="00FF77BB" w:rsidRPr="00212B3D" w14:paraId="7933C31A" w14:textId="77777777" w:rsidTr="009F01C5">
        <w:trPr>
          <w:jc w:val="center"/>
        </w:trPr>
        <w:tc>
          <w:tcPr>
            <w:tcW w:w="9923" w:type="dxa"/>
          </w:tcPr>
          <w:p w14:paraId="59457C95" w14:textId="77777777" w:rsidR="009F01C5" w:rsidRDefault="009F01C5" w:rsidP="009F01C5">
            <w:pPr>
              <w:pStyle w:val="BodyText"/>
              <w:rPr>
                <w:rFonts w:cs="Arial"/>
                <w:sz w:val="20"/>
                <w:szCs w:val="20"/>
              </w:rPr>
            </w:pPr>
            <w:r w:rsidRPr="00112B2C">
              <w:rPr>
                <w:rFonts w:cs="Arial"/>
                <w:sz w:val="20"/>
                <w:szCs w:val="20"/>
              </w:rPr>
              <w:t xml:space="preserve">This </w:t>
            </w:r>
            <w:r w:rsidRPr="00112B2C">
              <w:rPr>
                <w:rFonts w:eastAsia="Times New Roman" w:cs="Arial"/>
                <w:sz w:val="20"/>
                <w:szCs w:val="20"/>
              </w:rPr>
              <w:t>guideline</w:t>
            </w:r>
            <w:r w:rsidRPr="00112B2C">
              <w:rPr>
                <w:rFonts w:cs="Arial"/>
                <w:sz w:val="20"/>
                <w:szCs w:val="20"/>
              </w:rPr>
              <w:t xml:space="preserve"> is intended to provide recommendations to applicants wishing to submit applications for the registration of medicines and variations.  It represents the Authority’s current thinking on the safety, efficacy and quality of medicines.  It is not intended as an exclusive approach.  SAHPRA reserves the right to request any additional information to establish the safety, efficacy and quality of a medicine in keeping with the knowledge current at the time of evaluation.  Alternative approaches may be used but these should be scientifically and technically justified.  The Authority is committed to ensure that all registered medicines will be of the required safety, efficacy and quality.  It is important that applicants adhere to the administrative requirements to avoid delays in the processing and evaluation of applications.</w:t>
            </w:r>
          </w:p>
          <w:p w14:paraId="05BB302C" w14:textId="1BBB407B" w:rsidR="00FF77BB" w:rsidRPr="00212B3D" w:rsidRDefault="009F01C5" w:rsidP="009F01C5">
            <w:pPr>
              <w:spacing w:before="120" w:after="120" w:line="240" w:lineRule="auto"/>
              <w:ind w:right="284"/>
              <w:jc w:val="both"/>
              <w:rPr>
                <w:rFonts w:cs="Arial"/>
                <w:sz w:val="16"/>
              </w:rPr>
            </w:pPr>
            <w:r w:rsidRPr="00112B2C">
              <w:rPr>
                <w:rFonts w:cs="Arial"/>
                <w:sz w:val="20"/>
              </w:rPr>
              <w:t>Guidelines and application forms are available from the office of the Chief Executive Officer and the website.</w:t>
            </w:r>
          </w:p>
        </w:tc>
      </w:tr>
    </w:tbl>
    <w:p w14:paraId="51D0A259" w14:textId="77777777" w:rsidR="00FF77BB" w:rsidRPr="00212B3D" w:rsidRDefault="00FF77BB" w:rsidP="00FF77BB">
      <w:pPr>
        <w:spacing w:line="240" w:lineRule="auto"/>
        <w:rPr>
          <w:rFonts w:cs="Arial"/>
          <w:b/>
        </w:rPr>
      </w:pPr>
    </w:p>
    <w:tbl>
      <w:tblPr>
        <w:tblW w:w="9923"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7513"/>
        <w:gridCol w:w="2410"/>
      </w:tblGrid>
      <w:tr w:rsidR="00DB61FE" w:rsidRPr="00212B3D" w14:paraId="33121ABB" w14:textId="77777777" w:rsidTr="009F01C5">
        <w:trPr>
          <w:jc w:val="center"/>
        </w:trPr>
        <w:tc>
          <w:tcPr>
            <w:tcW w:w="7513" w:type="dxa"/>
          </w:tcPr>
          <w:p w14:paraId="692A71A2" w14:textId="77966A86" w:rsidR="00DB61FE" w:rsidRPr="00DB61FE" w:rsidRDefault="00DB61FE" w:rsidP="00946CA0">
            <w:pPr>
              <w:spacing w:before="120" w:after="60"/>
              <w:ind w:right="284"/>
              <w:rPr>
                <w:rFonts w:cs="Arial"/>
                <w:sz w:val="20"/>
              </w:rPr>
            </w:pPr>
            <w:r w:rsidRPr="00DB61FE">
              <w:rPr>
                <w:rFonts w:cs="Arial"/>
                <w:sz w:val="20"/>
              </w:rPr>
              <w:t>Version 1 - Publication for comment</w:t>
            </w:r>
          </w:p>
        </w:tc>
        <w:tc>
          <w:tcPr>
            <w:tcW w:w="2410" w:type="dxa"/>
          </w:tcPr>
          <w:p w14:paraId="1C563A95" w14:textId="5ECB30FD" w:rsidR="00DB61FE" w:rsidRPr="00DB61FE" w:rsidRDefault="00946CA0" w:rsidP="00E16B31">
            <w:pPr>
              <w:spacing w:before="120" w:after="60"/>
              <w:ind w:right="113"/>
              <w:jc w:val="right"/>
              <w:rPr>
                <w:rFonts w:cs="Arial"/>
                <w:sz w:val="20"/>
              </w:rPr>
            </w:pPr>
            <w:r>
              <w:rPr>
                <w:rFonts w:cs="Arial"/>
                <w:sz w:val="20"/>
              </w:rPr>
              <w:t>1</w:t>
            </w:r>
            <w:r w:rsidR="00E16B31">
              <w:rPr>
                <w:rFonts w:cs="Arial"/>
                <w:sz w:val="20"/>
              </w:rPr>
              <w:t>5</w:t>
            </w:r>
            <w:r>
              <w:rPr>
                <w:rFonts w:cs="Arial"/>
                <w:sz w:val="20"/>
              </w:rPr>
              <w:t xml:space="preserve"> </w:t>
            </w:r>
            <w:r w:rsidR="00DB61FE" w:rsidRPr="00DB61FE">
              <w:rPr>
                <w:rFonts w:cs="Arial"/>
                <w:sz w:val="20"/>
              </w:rPr>
              <w:t>April 201</w:t>
            </w:r>
            <w:r>
              <w:rPr>
                <w:rFonts w:cs="Arial"/>
                <w:sz w:val="20"/>
              </w:rPr>
              <w:t>9</w:t>
            </w:r>
          </w:p>
        </w:tc>
      </w:tr>
      <w:tr w:rsidR="00DB61FE" w:rsidRPr="00212B3D" w14:paraId="09C286AC" w14:textId="77777777" w:rsidTr="009F01C5">
        <w:trPr>
          <w:jc w:val="center"/>
        </w:trPr>
        <w:tc>
          <w:tcPr>
            <w:tcW w:w="7513" w:type="dxa"/>
          </w:tcPr>
          <w:p w14:paraId="58983F0A" w14:textId="77777777" w:rsidR="00DB61FE" w:rsidRPr="00DB61FE" w:rsidRDefault="00DB61FE" w:rsidP="00A368D9">
            <w:pPr>
              <w:spacing w:before="80" w:after="40"/>
              <w:ind w:left="567" w:right="284"/>
              <w:rPr>
                <w:rFonts w:cs="Arial"/>
                <w:sz w:val="20"/>
              </w:rPr>
            </w:pPr>
            <w:r w:rsidRPr="00DB61FE">
              <w:rPr>
                <w:rFonts w:cs="Arial"/>
                <w:sz w:val="20"/>
              </w:rPr>
              <w:t>Due date for comment</w:t>
            </w:r>
          </w:p>
        </w:tc>
        <w:tc>
          <w:tcPr>
            <w:tcW w:w="2410" w:type="dxa"/>
          </w:tcPr>
          <w:p w14:paraId="63B74AEE" w14:textId="21A12E12" w:rsidR="00DB61FE" w:rsidRPr="00DB61FE" w:rsidRDefault="00946CA0" w:rsidP="00E16B31">
            <w:pPr>
              <w:spacing w:before="80" w:after="40"/>
              <w:ind w:right="113"/>
              <w:jc w:val="right"/>
              <w:rPr>
                <w:rFonts w:cs="Arial"/>
                <w:sz w:val="20"/>
              </w:rPr>
            </w:pPr>
            <w:r>
              <w:rPr>
                <w:rFonts w:cs="Arial"/>
                <w:sz w:val="20"/>
              </w:rPr>
              <w:t>1</w:t>
            </w:r>
            <w:r w:rsidR="00E16B31">
              <w:rPr>
                <w:rFonts w:cs="Arial"/>
                <w:sz w:val="20"/>
              </w:rPr>
              <w:t>5</w:t>
            </w:r>
            <w:r w:rsidR="00DB61FE" w:rsidRPr="00DB61FE">
              <w:rPr>
                <w:rFonts w:cs="Arial"/>
                <w:sz w:val="20"/>
              </w:rPr>
              <w:t xml:space="preserve"> May 201</w:t>
            </w:r>
            <w:r>
              <w:rPr>
                <w:rFonts w:cs="Arial"/>
                <w:sz w:val="20"/>
              </w:rPr>
              <w:t>9</w:t>
            </w:r>
          </w:p>
        </w:tc>
      </w:tr>
    </w:tbl>
    <w:p w14:paraId="4A682394" w14:textId="77777777" w:rsidR="00DB61FE" w:rsidRDefault="00DB61FE" w:rsidP="00DB61FE">
      <w:pPr>
        <w:spacing w:before="80"/>
        <w:rPr>
          <w:b/>
        </w:rPr>
      </w:pPr>
    </w:p>
    <w:p w14:paraId="261D83E1" w14:textId="667520C4" w:rsidR="00537EF4" w:rsidRDefault="00537EF4">
      <w:pPr>
        <w:spacing w:line="240" w:lineRule="auto"/>
        <w:rPr>
          <w:rFonts w:cs="Arial"/>
          <w:b/>
          <w:color w:val="231F20"/>
          <w:szCs w:val="22"/>
          <w:u w:val="single"/>
        </w:rPr>
      </w:pPr>
      <w:r>
        <w:rPr>
          <w:rFonts w:cs="Arial"/>
          <w:b/>
          <w:color w:val="231F20"/>
          <w:szCs w:val="22"/>
          <w:u w:val="single"/>
        </w:rPr>
        <w:br w:type="page"/>
      </w:r>
    </w:p>
    <w:p w14:paraId="021066C8" w14:textId="4B416070" w:rsidR="00676D3C" w:rsidRPr="00C865BF" w:rsidRDefault="005049F5" w:rsidP="00676D3C">
      <w:pPr>
        <w:tabs>
          <w:tab w:val="left" w:pos="142"/>
        </w:tabs>
        <w:spacing w:after="5" w:line="247" w:lineRule="auto"/>
        <w:ind w:right="-784"/>
        <w:jc w:val="both"/>
        <w:rPr>
          <w:rFonts w:cs="Arial"/>
          <w:b/>
          <w:color w:val="231F20"/>
          <w:szCs w:val="22"/>
          <w:u w:val="single"/>
        </w:rPr>
      </w:pPr>
      <w:r>
        <w:rPr>
          <w:rFonts w:cs="Arial"/>
          <w:b/>
          <w:color w:val="231F20"/>
          <w:szCs w:val="22"/>
          <w:u w:val="single"/>
        </w:rPr>
        <w:lastRenderedPageBreak/>
        <w:t>SECTION A</w:t>
      </w:r>
      <w:r w:rsidR="00A90E47" w:rsidRPr="00C865BF">
        <w:rPr>
          <w:rFonts w:cs="Arial"/>
          <w:b/>
          <w:color w:val="231F20"/>
          <w:szCs w:val="22"/>
          <w:u w:val="single"/>
        </w:rPr>
        <w:t xml:space="preserve"> – OVERVIEW OF CLINICAL GUIDELINES</w:t>
      </w:r>
    </w:p>
    <w:p w14:paraId="4A43CA8A" w14:textId="77777777" w:rsidR="00A90E47" w:rsidRPr="00C865BF" w:rsidRDefault="00A90E47" w:rsidP="00676D3C">
      <w:pPr>
        <w:tabs>
          <w:tab w:val="left" w:pos="142"/>
        </w:tabs>
        <w:spacing w:after="5" w:line="247" w:lineRule="auto"/>
        <w:ind w:right="-784"/>
        <w:jc w:val="both"/>
        <w:rPr>
          <w:rFonts w:cs="Arial"/>
          <w:color w:val="231F20"/>
          <w:szCs w:val="22"/>
        </w:rPr>
      </w:pPr>
    </w:p>
    <w:p w14:paraId="25BDFFB5" w14:textId="1BCCA6BC" w:rsidR="00676D3C" w:rsidRPr="00C865BF" w:rsidRDefault="00676D3C" w:rsidP="00676D3C">
      <w:pPr>
        <w:jc w:val="both"/>
        <w:rPr>
          <w:rFonts w:cs="Arial"/>
          <w:szCs w:val="22"/>
          <w:highlight w:val="yellow"/>
          <w:u w:val="single"/>
        </w:rPr>
      </w:pPr>
      <w:r w:rsidRPr="00C865BF">
        <w:rPr>
          <w:rFonts w:cs="Arial"/>
          <w:szCs w:val="22"/>
        </w:rPr>
        <w:t xml:space="preserve">As an Observer country </w:t>
      </w:r>
      <w:r w:rsidR="007A3726">
        <w:rPr>
          <w:rFonts w:cs="Arial"/>
          <w:szCs w:val="22"/>
        </w:rPr>
        <w:t>to ICH, South Africa uses</w:t>
      </w:r>
      <w:r w:rsidR="000D186B">
        <w:rPr>
          <w:rFonts w:cs="Arial"/>
          <w:szCs w:val="22"/>
        </w:rPr>
        <w:t xml:space="preserve"> and applies</w:t>
      </w:r>
      <w:r w:rsidR="007A3726">
        <w:rPr>
          <w:rFonts w:cs="Arial"/>
          <w:szCs w:val="22"/>
        </w:rPr>
        <w:t xml:space="preserve"> information provided in</w:t>
      </w:r>
      <w:r w:rsidRPr="00C865BF">
        <w:rPr>
          <w:rFonts w:cs="Arial"/>
          <w:szCs w:val="22"/>
        </w:rPr>
        <w:t xml:space="preserve"> </w:t>
      </w:r>
      <w:r w:rsidR="003D5891" w:rsidRPr="003D5891">
        <w:rPr>
          <w:rFonts w:cs="Arial"/>
          <w:szCs w:val="22"/>
        </w:rPr>
        <w:t>The International Conference on Harmonisation of Technical Requirements for Registration of Pharmaceuticals for Human Use (ICH)</w:t>
      </w:r>
      <w:r w:rsidR="003D5891">
        <w:rPr>
          <w:rFonts w:cs="Arial"/>
          <w:szCs w:val="22"/>
        </w:rPr>
        <w:t xml:space="preserve"> </w:t>
      </w:r>
      <w:r w:rsidRPr="00C865BF">
        <w:rPr>
          <w:rFonts w:cs="Arial"/>
          <w:szCs w:val="22"/>
        </w:rPr>
        <w:t xml:space="preserve">and </w:t>
      </w:r>
      <w:r w:rsidR="003D5891">
        <w:rPr>
          <w:rFonts w:cs="Arial"/>
          <w:szCs w:val="22"/>
        </w:rPr>
        <w:t xml:space="preserve">European Union (EU) </w:t>
      </w:r>
      <w:r w:rsidRPr="00C865BF">
        <w:rPr>
          <w:rFonts w:cs="Arial"/>
          <w:szCs w:val="22"/>
        </w:rPr>
        <w:t xml:space="preserve">guidelines for safety, efficacy and quality requirements.  </w:t>
      </w:r>
      <w:r w:rsidR="00665EBC" w:rsidRPr="00C865BF">
        <w:rPr>
          <w:rFonts w:cs="Arial"/>
          <w:szCs w:val="22"/>
        </w:rPr>
        <w:t xml:space="preserve">Specific </w:t>
      </w:r>
      <w:r w:rsidRPr="00C865BF">
        <w:rPr>
          <w:rFonts w:cs="Arial"/>
          <w:szCs w:val="22"/>
        </w:rPr>
        <w:t xml:space="preserve">guidelines </w:t>
      </w:r>
      <w:r w:rsidR="00665EBC" w:rsidRPr="00C865BF">
        <w:rPr>
          <w:rFonts w:cs="Arial"/>
          <w:szCs w:val="22"/>
        </w:rPr>
        <w:t xml:space="preserve">from ICH and </w:t>
      </w:r>
      <w:r w:rsidR="003D5891">
        <w:rPr>
          <w:rFonts w:cs="Arial"/>
          <w:szCs w:val="22"/>
        </w:rPr>
        <w:t>EU</w:t>
      </w:r>
      <w:r w:rsidR="00665EBC" w:rsidRPr="00C865BF">
        <w:rPr>
          <w:rFonts w:cs="Arial"/>
          <w:szCs w:val="22"/>
        </w:rPr>
        <w:t xml:space="preserve"> </w:t>
      </w:r>
      <w:r w:rsidR="00413F32" w:rsidRPr="00413F32">
        <w:rPr>
          <w:rFonts w:cs="Arial"/>
          <w:szCs w:val="22"/>
        </w:rPr>
        <w:t>will be communicated from time to time, and</w:t>
      </w:r>
      <w:r w:rsidR="00665EBC" w:rsidRPr="00C865BF">
        <w:rPr>
          <w:rFonts w:cs="Arial"/>
          <w:color w:val="FF0000"/>
          <w:szCs w:val="22"/>
        </w:rPr>
        <w:t xml:space="preserve"> </w:t>
      </w:r>
      <w:r w:rsidRPr="00C865BF">
        <w:rPr>
          <w:rFonts w:cs="Arial"/>
          <w:szCs w:val="22"/>
        </w:rPr>
        <w:t xml:space="preserve">should be read in conjunction with relevant sections of some of the current </w:t>
      </w:r>
      <w:r w:rsidR="00665EBC" w:rsidRPr="00C865BF">
        <w:rPr>
          <w:rFonts w:cs="Arial"/>
          <w:szCs w:val="22"/>
        </w:rPr>
        <w:t xml:space="preserve">as well as revised SAHPRA </w:t>
      </w:r>
      <w:r w:rsidRPr="00C865BF">
        <w:rPr>
          <w:rFonts w:cs="Arial"/>
          <w:szCs w:val="22"/>
        </w:rPr>
        <w:t>guidelines where necessary.</w:t>
      </w:r>
    </w:p>
    <w:p w14:paraId="050778A2" w14:textId="77777777" w:rsidR="00676D3C" w:rsidRPr="00C865BF" w:rsidRDefault="00676D3C" w:rsidP="00676D3C">
      <w:pPr>
        <w:jc w:val="both"/>
        <w:rPr>
          <w:rFonts w:cs="Arial"/>
          <w:szCs w:val="22"/>
        </w:rPr>
      </w:pPr>
    </w:p>
    <w:p w14:paraId="0AAB82F8" w14:textId="77777777" w:rsidR="00676D3C" w:rsidRPr="00C865BF" w:rsidRDefault="00676D3C" w:rsidP="00676D3C">
      <w:pPr>
        <w:jc w:val="both"/>
        <w:rPr>
          <w:rFonts w:cs="Arial"/>
          <w:szCs w:val="22"/>
        </w:rPr>
      </w:pPr>
      <w:r w:rsidRPr="00C865BF">
        <w:rPr>
          <w:rFonts w:cs="Arial"/>
          <w:szCs w:val="22"/>
        </w:rPr>
        <w:t>For technical</w:t>
      </w:r>
      <w:r w:rsidR="00B06A0E">
        <w:rPr>
          <w:rFonts w:cs="Arial"/>
          <w:szCs w:val="22"/>
        </w:rPr>
        <w:t xml:space="preserve"> clinical</w:t>
      </w:r>
      <w:r w:rsidRPr="00C865BF">
        <w:rPr>
          <w:rFonts w:cs="Arial"/>
          <w:szCs w:val="22"/>
        </w:rPr>
        <w:t xml:space="preserve"> requirements for new registration and </w:t>
      </w:r>
      <w:r w:rsidR="00665EBC" w:rsidRPr="00C865BF">
        <w:rPr>
          <w:rFonts w:cs="Arial"/>
          <w:szCs w:val="22"/>
        </w:rPr>
        <w:t>variations</w:t>
      </w:r>
      <w:r w:rsidRPr="00C865BF">
        <w:rPr>
          <w:rFonts w:cs="Arial"/>
          <w:szCs w:val="22"/>
        </w:rPr>
        <w:t>, refer to the:</w:t>
      </w:r>
    </w:p>
    <w:p w14:paraId="70CC2CB2" w14:textId="77777777" w:rsidR="002938C6" w:rsidRPr="00C865BF" w:rsidRDefault="002938C6" w:rsidP="00676D3C">
      <w:pPr>
        <w:jc w:val="both"/>
        <w:rPr>
          <w:rFonts w:cs="Arial"/>
          <w:szCs w:val="22"/>
        </w:rPr>
      </w:pPr>
    </w:p>
    <w:p w14:paraId="63DBA93D" w14:textId="77777777" w:rsidR="00676D3C" w:rsidRPr="00C865BF" w:rsidRDefault="00676D3C" w:rsidP="0082207C">
      <w:pPr>
        <w:pStyle w:val="ListParagraph"/>
        <w:numPr>
          <w:ilvl w:val="0"/>
          <w:numId w:val="30"/>
        </w:numPr>
        <w:spacing w:after="160" w:line="259" w:lineRule="auto"/>
        <w:ind w:left="360"/>
        <w:jc w:val="both"/>
        <w:rPr>
          <w:rFonts w:cs="Arial"/>
          <w:b/>
          <w:szCs w:val="22"/>
        </w:rPr>
      </w:pPr>
      <w:r w:rsidRPr="00C865BF">
        <w:rPr>
          <w:rFonts w:cs="Arial"/>
          <w:b/>
          <w:szCs w:val="22"/>
        </w:rPr>
        <w:t>General Information guidelines</w:t>
      </w:r>
    </w:p>
    <w:p w14:paraId="7CF87DAC" w14:textId="77777777" w:rsidR="00502332" w:rsidRPr="00C865BF" w:rsidRDefault="00502332" w:rsidP="0082207C">
      <w:pPr>
        <w:pStyle w:val="ListParagraph"/>
        <w:ind w:left="360"/>
        <w:contextualSpacing w:val="0"/>
        <w:rPr>
          <w:rFonts w:cs="Arial"/>
          <w:bCs/>
          <w:szCs w:val="22"/>
          <w:lang w:val="en-ZA"/>
        </w:rPr>
      </w:pPr>
    </w:p>
    <w:p w14:paraId="63FA1AA1" w14:textId="77777777" w:rsidR="00502332" w:rsidRPr="00C865BF" w:rsidRDefault="00502332" w:rsidP="0082207C">
      <w:pPr>
        <w:pStyle w:val="ListParagraph"/>
        <w:ind w:left="360"/>
        <w:contextualSpacing w:val="0"/>
        <w:rPr>
          <w:rFonts w:cs="Arial"/>
          <w:bCs/>
          <w:szCs w:val="22"/>
          <w:lang w:val="en-ZA"/>
        </w:rPr>
      </w:pPr>
      <w:r w:rsidRPr="00C865BF">
        <w:rPr>
          <w:rFonts w:cs="Arial"/>
          <w:bCs/>
          <w:szCs w:val="22"/>
          <w:lang w:val="en-ZA"/>
        </w:rPr>
        <w:t xml:space="preserve">The </w:t>
      </w:r>
      <w:r w:rsidR="00665EBC" w:rsidRPr="00C865BF">
        <w:rPr>
          <w:rFonts w:cs="Arial"/>
          <w:bCs/>
          <w:szCs w:val="22"/>
          <w:lang w:val="en-ZA"/>
        </w:rPr>
        <w:t xml:space="preserve">2.0 </w:t>
      </w:r>
      <w:r w:rsidRPr="00C865BF">
        <w:rPr>
          <w:rFonts w:cs="Arial"/>
          <w:bCs/>
          <w:szCs w:val="22"/>
          <w:lang w:val="en-ZA"/>
        </w:rPr>
        <w:t>General Information Guideline still stands, except for references to the o</w:t>
      </w:r>
      <w:r w:rsidR="00B06A0E">
        <w:rPr>
          <w:rFonts w:cs="Arial"/>
          <w:bCs/>
          <w:szCs w:val="22"/>
          <w:lang w:val="en-ZA"/>
        </w:rPr>
        <w:t>riginal</w:t>
      </w:r>
      <w:r w:rsidR="00665EBC" w:rsidRPr="00C865BF">
        <w:rPr>
          <w:rFonts w:cs="Arial"/>
          <w:bCs/>
          <w:szCs w:val="22"/>
          <w:lang w:val="en-ZA"/>
        </w:rPr>
        <w:t xml:space="preserve"> SAHPRA</w:t>
      </w:r>
      <w:r w:rsidR="00620D38">
        <w:rPr>
          <w:rFonts w:cs="Arial"/>
          <w:bCs/>
          <w:szCs w:val="22"/>
          <w:lang w:val="en-ZA"/>
        </w:rPr>
        <w:t>/MCC</w:t>
      </w:r>
      <w:r w:rsidR="00665EBC" w:rsidRPr="00C865BF">
        <w:rPr>
          <w:rFonts w:cs="Arial"/>
          <w:bCs/>
          <w:szCs w:val="22"/>
          <w:lang w:val="en-ZA"/>
        </w:rPr>
        <w:t xml:space="preserve"> </w:t>
      </w:r>
      <w:r w:rsidRPr="00C865BF">
        <w:rPr>
          <w:rFonts w:cs="Arial"/>
          <w:bCs/>
          <w:szCs w:val="22"/>
          <w:lang w:val="en-ZA"/>
        </w:rPr>
        <w:t xml:space="preserve">PI, PIL and Clinical guidelines which are currently under revision. </w:t>
      </w:r>
      <w:r w:rsidR="00B06A0E">
        <w:rPr>
          <w:rFonts w:cs="Arial"/>
          <w:bCs/>
          <w:szCs w:val="22"/>
          <w:lang w:val="en-ZA"/>
        </w:rPr>
        <w:t xml:space="preserve">In addition, references to regulation </w:t>
      </w:r>
      <w:r w:rsidR="00620D38">
        <w:rPr>
          <w:rFonts w:cs="Arial"/>
          <w:bCs/>
          <w:szCs w:val="22"/>
          <w:lang w:val="en-ZA"/>
        </w:rPr>
        <w:t xml:space="preserve">9 and 10 </w:t>
      </w:r>
      <w:r w:rsidR="00B06A0E">
        <w:rPr>
          <w:rFonts w:cs="Arial"/>
          <w:bCs/>
          <w:szCs w:val="22"/>
          <w:lang w:val="en-ZA"/>
        </w:rPr>
        <w:t>have now been replaced by regulation 11</w:t>
      </w:r>
      <w:r w:rsidR="00620D38">
        <w:rPr>
          <w:rFonts w:cs="Arial"/>
          <w:bCs/>
          <w:szCs w:val="22"/>
          <w:lang w:val="en-ZA"/>
        </w:rPr>
        <w:t xml:space="preserve"> and 12 respectively</w:t>
      </w:r>
      <w:r w:rsidR="00B06A0E">
        <w:rPr>
          <w:rFonts w:cs="Arial"/>
          <w:bCs/>
          <w:szCs w:val="22"/>
          <w:lang w:val="en-ZA"/>
        </w:rPr>
        <w:t xml:space="preserve">. </w:t>
      </w:r>
      <w:r w:rsidR="00665EBC" w:rsidRPr="00C865BF">
        <w:rPr>
          <w:rFonts w:cs="Arial"/>
          <w:bCs/>
          <w:szCs w:val="22"/>
          <w:lang w:val="en-ZA"/>
        </w:rPr>
        <w:t xml:space="preserve">Notably, </w:t>
      </w:r>
      <w:r w:rsidRPr="00C865BF">
        <w:rPr>
          <w:rFonts w:cs="Arial"/>
          <w:bCs/>
          <w:szCs w:val="22"/>
          <w:lang w:val="en-ZA"/>
        </w:rPr>
        <w:t>applicants are required</w:t>
      </w:r>
      <w:r w:rsidR="00B06A0E">
        <w:rPr>
          <w:rFonts w:cs="Arial"/>
          <w:bCs/>
          <w:szCs w:val="22"/>
          <w:lang w:val="en-ZA"/>
        </w:rPr>
        <w:t xml:space="preserve"> to adhere to the working codes </w:t>
      </w:r>
      <w:r w:rsidRPr="00C865BF">
        <w:rPr>
          <w:rFonts w:cs="Arial"/>
          <w:bCs/>
          <w:szCs w:val="22"/>
          <w:lang w:val="en-ZA"/>
        </w:rPr>
        <w:t>as per page 28 of the General Information guideline for a clinical evaluation.</w:t>
      </w:r>
    </w:p>
    <w:p w14:paraId="0CDC891A" w14:textId="77777777" w:rsidR="00502332" w:rsidRPr="00C865BF" w:rsidRDefault="00502332" w:rsidP="0082207C">
      <w:pPr>
        <w:pStyle w:val="ListParagraph"/>
        <w:ind w:left="360"/>
        <w:contextualSpacing w:val="0"/>
        <w:rPr>
          <w:rFonts w:cs="Arial"/>
          <w:bCs/>
          <w:szCs w:val="22"/>
          <w:lang w:val="en-ZA"/>
        </w:rPr>
      </w:pPr>
    </w:p>
    <w:p w14:paraId="03847288" w14:textId="77777777" w:rsidR="00502332" w:rsidRPr="00C865BF" w:rsidRDefault="00502332" w:rsidP="0082207C">
      <w:pPr>
        <w:pStyle w:val="ListParagraph"/>
        <w:ind w:left="360"/>
        <w:contextualSpacing w:val="0"/>
        <w:rPr>
          <w:rFonts w:cs="Arial"/>
          <w:bCs/>
          <w:i/>
          <w:color w:val="1F497D" w:themeColor="text2"/>
          <w:szCs w:val="22"/>
          <w:lang w:val="en-ZA"/>
        </w:rPr>
      </w:pPr>
      <w:r w:rsidRPr="00C865BF">
        <w:rPr>
          <w:rFonts w:cs="Arial"/>
          <w:bCs/>
          <w:i/>
          <w:color w:val="1F497D" w:themeColor="text2"/>
          <w:szCs w:val="22"/>
          <w:lang w:val="en-ZA"/>
        </w:rPr>
        <w:t xml:space="preserve">Document reference: 00 Start here General Information guide </w:t>
      </w:r>
      <w:r w:rsidR="005247F1" w:rsidRPr="00C865BF">
        <w:rPr>
          <w:rFonts w:cs="Arial"/>
          <w:bCs/>
          <w:i/>
          <w:color w:val="1F497D" w:themeColor="text2"/>
          <w:szCs w:val="22"/>
          <w:lang w:val="en-ZA"/>
        </w:rPr>
        <w:t xml:space="preserve">/ </w:t>
      </w:r>
      <w:r w:rsidRPr="00C865BF">
        <w:rPr>
          <w:rFonts w:cs="Arial"/>
          <w:bCs/>
          <w:i/>
          <w:color w:val="1F497D" w:themeColor="text2"/>
          <w:szCs w:val="22"/>
          <w:lang w:val="en-ZA"/>
        </w:rPr>
        <w:t>2.0 General Information Guidelines (for reference)</w:t>
      </w:r>
    </w:p>
    <w:p w14:paraId="0B2A74D8" w14:textId="77777777" w:rsidR="00676D3C" w:rsidRPr="00C865BF" w:rsidRDefault="00676D3C" w:rsidP="0082207C">
      <w:pPr>
        <w:pStyle w:val="ListParagraph"/>
        <w:spacing w:after="160" w:line="259" w:lineRule="auto"/>
        <w:ind w:left="360"/>
        <w:jc w:val="both"/>
        <w:rPr>
          <w:rFonts w:cs="Arial"/>
          <w:szCs w:val="22"/>
          <w:lang w:val="en-ZA"/>
        </w:rPr>
      </w:pPr>
    </w:p>
    <w:p w14:paraId="5C24F7A1" w14:textId="77777777" w:rsidR="00676D3C" w:rsidRPr="00C865BF" w:rsidRDefault="00676D3C" w:rsidP="0082207C">
      <w:pPr>
        <w:pStyle w:val="ListParagraph"/>
        <w:spacing w:after="160" w:line="259" w:lineRule="auto"/>
        <w:ind w:left="360"/>
        <w:jc w:val="both"/>
        <w:rPr>
          <w:rFonts w:cs="Arial"/>
          <w:szCs w:val="22"/>
        </w:rPr>
      </w:pPr>
    </w:p>
    <w:p w14:paraId="113CC8A9" w14:textId="77777777" w:rsidR="002938C6" w:rsidRPr="00C865BF" w:rsidRDefault="00F36E8A" w:rsidP="0082207C">
      <w:pPr>
        <w:pStyle w:val="ListParagraph"/>
        <w:numPr>
          <w:ilvl w:val="0"/>
          <w:numId w:val="30"/>
        </w:numPr>
        <w:spacing w:after="160" w:line="240" w:lineRule="auto"/>
        <w:ind w:left="360"/>
        <w:contextualSpacing w:val="0"/>
        <w:jc w:val="both"/>
        <w:rPr>
          <w:rFonts w:cs="Arial"/>
          <w:szCs w:val="22"/>
        </w:rPr>
      </w:pPr>
      <w:r w:rsidRPr="00C865BF">
        <w:rPr>
          <w:rFonts w:cs="Arial"/>
          <w:b/>
          <w:szCs w:val="22"/>
        </w:rPr>
        <w:t>Additional guidelines for reference</w:t>
      </w:r>
    </w:p>
    <w:p w14:paraId="12B8F852" w14:textId="4647D4EC" w:rsidR="00D45525" w:rsidRDefault="002938C6" w:rsidP="004D53DA">
      <w:pPr>
        <w:pStyle w:val="ListParagraph"/>
        <w:spacing w:after="160" w:line="240" w:lineRule="auto"/>
        <w:ind w:left="360"/>
        <w:contextualSpacing w:val="0"/>
        <w:jc w:val="both"/>
        <w:rPr>
          <w:rFonts w:cs="Arial"/>
          <w:szCs w:val="22"/>
        </w:rPr>
      </w:pPr>
      <w:r w:rsidRPr="00C865BF">
        <w:rPr>
          <w:rFonts w:cs="Arial"/>
          <w:szCs w:val="22"/>
        </w:rPr>
        <w:t xml:space="preserve">Please </w:t>
      </w:r>
      <w:r w:rsidR="00B06A0E">
        <w:rPr>
          <w:rFonts w:cs="Arial"/>
          <w:szCs w:val="22"/>
        </w:rPr>
        <w:t>refer to the following additional SAHPRA</w:t>
      </w:r>
      <w:r w:rsidR="00620D38">
        <w:rPr>
          <w:rFonts w:cs="Arial"/>
          <w:szCs w:val="22"/>
        </w:rPr>
        <w:t>/MCC</w:t>
      </w:r>
      <w:r w:rsidR="00B06A0E">
        <w:rPr>
          <w:rFonts w:cs="Arial"/>
          <w:szCs w:val="22"/>
        </w:rPr>
        <w:t xml:space="preserve"> guidelines</w:t>
      </w:r>
      <w:r w:rsidRPr="00C865BF">
        <w:rPr>
          <w:rFonts w:cs="Arial"/>
          <w:szCs w:val="22"/>
        </w:rPr>
        <w:t xml:space="preserve"> </w:t>
      </w:r>
      <w:r w:rsidR="00B06A0E">
        <w:rPr>
          <w:rFonts w:cs="Arial"/>
          <w:szCs w:val="22"/>
        </w:rPr>
        <w:t xml:space="preserve">where required </w:t>
      </w:r>
      <w:r w:rsidRPr="00C865BF">
        <w:rPr>
          <w:rFonts w:cs="Arial"/>
          <w:szCs w:val="22"/>
        </w:rPr>
        <w:t xml:space="preserve">upon resubmission: </w:t>
      </w:r>
      <w:r w:rsidR="00F36E8A" w:rsidRPr="00C865BF">
        <w:rPr>
          <w:rFonts w:cs="Arial"/>
          <w:szCs w:val="22"/>
        </w:rPr>
        <w:t>Co-packing</w:t>
      </w:r>
      <w:r w:rsidRPr="00C865BF">
        <w:rPr>
          <w:rFonts w:cs="Arial"/>
          <w:szCs w:val="22"/>
        </w:rPr>
        <w:t xml:space="preserve"> guideline</w:t>
      </w:r>
      <w:r w:rsidR="00F36E8A" w:rsidRPr="00C865BF">
        <w:rPr>
          <w:rFonts w:cs="Arial"/>
          <w:szCs w:val="22"/>
        </w:rPr>
        <w:t>, Human Reproduction</w:t>
      </w:r>
      <w:r w:rsidRPr="00C865BF">
        <w:rPr>
          <w:rFonts w:cs="Arial"/>
          <w:szCs w:val="22"/>
        </w:rPr>
        <w:t xml:space="preserve"> guideline</w:t>
      </w:r>
      <w:r w:rsidR="00F36E8A" w:rsidRPr="00C865BF">
        <w:rPr>
          <w:rFonts w:cs="Arial"/>
          <w:szCs w:val="22"/>
        </w:rPr>
        <w:t>, FDC guideline</w:t>
      </w:r>
      <w:r w:rsidR="0057792A">
        <w:rPr>
          <w:rFonts w:cs="Arial"/>
          <w:szCs w:val="22"/>
        </w:rPr>
        <w:t xml:space="preserve"> (HIV, Malaria and TB)</w:t>
      </w:r>
      <w:r w:rsidRPr="00C865BF">
        <w:rPr>
          <w:rFonts w:cs="Arial"/>
          <w:szCs w:val="22"/>
        </w:rPr>
        <w:t>,</w:t>
      </w:r>
      <w:r w:rsidR="00F36E8A" w:rsidRPr="00C865BF">
        <w:rPr>
          <w:rFonts w:cs="Arial"/>
          <w:szCs w:val="22"/>
        </w:rPr>
        <w:t xml:space="preserve"> </w:t>
      </w:r>
      <w:r w:rsidR="00D81DB4">
        <w:rPr>
          <w:rFonts w:cs="Arial"/>
          <w:szCs w:val="22"/>
        </w:rPr>
        <w:t xml:space="preserve">biosimilar guidelines, </w:t>
      </w:r>
      <w:r w:rsidR="00F36E8A" w:rsidRPr="00C865BF">
        <w:rPr>
          <w:rFonts w:cs="Arial"/>
          <w:szCs w:val="22"/>
        </w:rPr>
        <w:t xml:space="preserve">and </w:t>
      </w:r>
      <w:r w:rsidRPr="00C865BF">
        <w:rPr>
          <w:rFonts w:cs="Arial"/>
          <w:szCs w:val="22"/>
        </w:rPr>
        <w:t>Standardised T</w:t>
      </w:r>
      <w:r w:rsidR="00F36E8A" w:rsidRPr="00C865BF">
        <w:rPr>
          <w:rFonts w:cs="Arial"/>
          <w:szCs w:val="22"/>
        </w:rPr>
        <w:t>ext</w:t>
      </w:r>
      <w:r w:rsidR="00620D38">
        <w:rPr>
          <w:rFonts w:cs="Arial"/>
          <w:szCs w:val="22"/>
        </w:rPr>
        <w:t xml:space="preserve"> for Human Medicine</w:t>
      </w:r>
      <w:r w:rsidRPr="00C865BF">
        <w:rPr>
          <w:rFonts w:cs="Arial"/>
          <w:szCs w:val="22"/>
        </w:rPr>
        <w:t xml:space="preserve"> guideline</w:t>
      </w:r>
      <w:r w:rsidR="0057792A">
        <w:rPr>
          <w:rFonts w:cs="Arial"/>
          <w:szCs w:val="22"/>
        </w:rPr>
        <w:t>.</w:t>
      </w:r>
    </w:p>
    <w:p w14:paraId="79486FB0" w14:textId="77777777" w:rsidR="004D53DA" w:rsidRDefault="004D53DA" w:rsidP="004D53DA">
      <w:pPr>
        <w:pStyle w:val="ListParagraph"/>
        <w:spacing w:after="160" w:line="240" w:lineRule="auto"/>
        <w:ind w:left="360"/>
        <w:contextualSpacing w:val="0"/>
        <w:jc w:val="both"/>
        <w:rPr>
          <w:rFonts w:cs="Arial"/>
          <w:szCs w:val="22"/>
        </w:rPr>
      </w:pPr>
    </w:p>
    <w:p w14:paraId="6AF1BAA1" w14:textId="15F2C7AC" w:rsidR="004D53DA" w:rsidRPr="004D53DA" w:rsidRDefault="004D53DA" w:rsidP="004D53DA">
      <w:pPr>
        <w:pStyle w:val="ListParagraph"/>
        <w:spacing w:after="160" w:line="240" w:lineRule="auto"/>
        <w:ind w:left="360"/>
        <w:contextualSpacing w:val="0"/>
        <w:jc w:val="both"/>
        <w:rPr>
          <w:rFonts w:cs="Arial"/>
          <w:szCs w:val="22"/>
        </w:rPr>
      </w:pPr>
      <w:r>
        <w:rPr>
          <w:rFonts w:cs="Arial"/>
          <w:szCs w:val="22"/>
        </w:rPr>
        <w:t xml:space="preserve">Please refer to the following additional </w:t>
      </w:r>
      <w:r w:rsidR="003D5891">
        <w:rPr>
          <w:rFonts w:cs="Arial"/>
          <w:szCs w:val="22"/>
        </w:rPr>
        <w:t>EU</w:t>
      </w:r>
      <w:r>
        <w:rPr>
          <w:rFonts w:cs="Arial"/>
          <w:szCs w:val="22"/>
        </w:rPr>
        <w:t xml:space="preserve"> guidelines where required upon resubmission: FDC guideline (except for HIV, Malaria and TB medicines where the SAHPRA guideline</w:t>
      </w:r>
      <w:r w:rsidR="00D80B4C">
        <w:rPr>
          <w:rFonts w:cs="Arial"/>
          <w:szCs w:val="22"/>
        </w:rPr>
        <w:t xml:space="preserve"> applies)</w:t>
      </w:r>
      <w:r w:rsidR="00EF4728">
        <w:rPr>
          <w:rFonts w:cs="Arial"/>
          <w:szCs w:val="22"/>
        </w:rPr>
        <w:t xml:space="preserve">, </w:t>
      </w:r>
      <w:r w:rsidR="003D5891">
        <w:rPr>
          <w:rFonts w:cs="Arial"/>
          <w:szCs w:val="22"/>
        </w:rPr>
        <w:t>EU</w:t>
      </w:r>
      <w:r w:rsidR="0073130E">
        <w:rPr>
          <w:rFonts w:cs="Arial"/>
          <w:szCs w:val="22"/>
        </w:rPr>
        <w:t xml:space="preserve"> variations guidelines, </w:t>
      </w:r>
      <w:r w:rsidR="00D6095F">
        <w:rPr>
          <w:rFonts w:cs="Arial"/>
          <w:szCs w:val="22"/>
        </w:rPr>
        <w:t xml:space="preserve">as well as any </w:t>
      </w:r>
      <w:r w:rsidR="003D5891">
        <w:rPr>
          <w:rFonts w:cs="Arial"/>
          <w:szCs w:val="22"/>
        </w:rPr>
        <w:t>EU</w:t>
      </w:r>
      <w:r w:rsidR="00D6095F">
        <w:rPr>
          <w:rFonts w:cs="Arial"/>
          <w:szCs w:val="22"/>
        </w:rPr>
        <w:t xml:space="preserve"> guidelines referred to in the P&amp;A cover letter.</w:t>
      </w:r>
    </w:p>
    <w:p w14:paraId="4100A79E" w14:textId="77777777" w:rsidR="001F3336" w:rsidRPr="001F3336" w:rsidRDefault="001F3336" w:rsidP="001F3336">
      <w:pPr>
        <w:pStyle w:val="ListParagraph"/>
        <w:spacing w:after="160" w:line="240" w:lineRule="auto"/>
        <w:ind w:left="360"/>
        <w:contextualSpacing w:val="0"/>
        <w:jc w:val="both"/>
        <w:rPr>
          <w:rFonts w:cs="Arial"/>
          <w:szCs w:val="22"/>
        </w:rPr>
      </w:pPr>
    </w:p>
    <w:p w14:paraId="512B3A8E" w14:textId="3A24F9CB" w:rsidR="00F36E8A" w:rsidRPr="00C865BF" w:rsidRDefault="00F36E8A" w:rsidP="0082207C">
      <w:pPr>
        <w:pStyle w:val="ListParagraph"/>
        <w:spacing w:after="160" w:line="240" w:lineRule="auto"/>
        <w:ind w:left="360"/>
        <w:contextualSpacing w:val="0"/>
        <w:jc w:val="both"/>
        <w:rPr>
          <w:rFonts w:cs="Arial"/>
          <w:i/>
          <w:color w:val="1F497D" w:themeColor="text2"/>
          <w:szCs w:val="22"/>
        </w:rPr>
      </w:pPr>
      <w:r w:rsidRPr="00C865BF">
        <w:rPr>
          <w:rFonts w:cs="Arial"/>
          <w:bCs/>
          <w:i/>
          <w:color w:val="1F497D" w:themeColor="text2"/>
          <w:szCs w:val="22"/>
          <w:lang w:val="en-ZA"/>
        </w:rPr>
        <w:t xml:space="preserve">Document reference: </w:t>
      </w:r>
      <w:r w:rsidRPr="00C865BF">
        <w:rPr>
          <w:rFonts w:cs="Arial"/>
          <w:i/>
          <w:color w:val="1F497D" w:themeColor="text2"/>
          <w:szCs w:val="22"/>
        </w:rPr>
        <w:t>01. Guidelines / 02</w:t>
      </w:r>
      <w:r w:rsidR="00DA4C7E">
        <w:rPr>
          <w:rFonts w:cs="Arial"/>
          <w:i/>
          <w:color w:val="1F497D" w:themeColor="text2"/>
          <w:szCs w:val="22"/>
        </w:rPr>
        <w:t>.</w:t>
      </w:r>
      <w:r w:rsidRPr="00C865BF">
        <w:rPr>
          <w:rFonts w:cs="Arial"/>
          <w:i/>
          <w:color w:val="1F497D" w:themeColor="text2"/>
          <w:szCs w:val="22"/>
        </w:rPr>
        <w:t xml:space="preserve"> Clinical guidelines</w:t>
      </w:r>
    </w:p>
    <w:p w14:paraId="71E0F1A1" w14:textId="77777777" w:rsidR="002938C6" w:rsidRPr="00C865BF" w:rsidRDefault="002938C6" w:rsidP="0082207C">
      <w:pPr>
        <w:pStyle w:val="ListParagraph"/>
        <w:spacing w:after="160" w:line="240" w:lineRule="auto"/>
        <w:ind w:left="360"/>
        <w:contextualSpacing w:val="0"/>
        <w:jc w:val="both"/>
        <w:rPr>
          <w:rFonts w:cs="Arial"/>
          <w:i/>
          <w:color w:val="FF0000"/>
          <w:szCs w:val="22"/>
        </w:rPr>
      </w:pPr>
    </w:p>
    <w:p w14:paraId="5DA2A54D" w14:textId="77777777" w:rsidR="00676D3C" w:rsidRPr="00C865BF" w:rsidRDefault="00502332" w:rsidP="0082207C">
      <w:pPr>
        <w:pStyle w:val="ListParagraph"/>
        <w:numPr>
          <w:ilvl w:val="0"/>
          <w:numId w:val="30"/>
        </w:numPr>
        <w:spacing w:after="160" w:line="259" w:lineRule="auto"/>
        <w:ind w:left="360"/>
        <w:jc w:val="both"/>
        <w:rPr>
          <w:rFonts w:cs="Arial"/>
          <w:b/>
          <w:szCs w:val="22"/>
        </w:rPr>
      </w:pPr>
      <w:r w:rsidRPr="00C865BF">
        <w:rPr>
          <w:rFonts w:cs="Arial"/>
          <w:b/>
          <w:szCs w:val="22"/>
          <w:u w:val="single"/>
        </w:rPr>
        <w:t>Revised</w:t>
      </w:r>
      <w:r w:rsidRPr="00C865BF">
        <w:rPr>
          <w:rFonts w:cs="Arial"/>
          <w:b/>
          <w:szCs w:val="22"/>
        </w:rPr>
        <w:t xml:space="preserve"> </w:t>
      </w:r>
      <w:r w:rsidR="00676D3C" w:rsidRPr="00C865BF">
        <w:rPr>
          <w:rFonts w:cs="Arial"/>
          <w:b/>
          <w:szCs w:val="22"/>
        </w:rPr>
        <w:t xml:space="preserve">Professional Information </w:t>
      </w:r>
      <w:r w:rsidR="00C3649F">
        <w:rPr>
          <w:rFonts w:cs="Arial"/>
          <w:b/>
          <w:szCs w:val="22"/>
        </w:rPr>
        <w:t>(PI)</w:t>
      </w:r>
      <w:r w:rsidR="00DA1809">
        <w:rPr>
          <w:rFonts w:cs="Arial"/>
          <w:b/>
          <w:szCs w:val="22"/>
        </w:rPr>
        <w:t xml:space="preserve"> &amp; Patient Information Leaflet (PIL)</w:t>
      </w:r>
      <w:r w:rsidR="00C3649F">
        <w:rPr>
          <w:rFonts w:cs="Arial"/>
          <w:b/>
          <w:szCs w:val="22"/>
        </w:rPr>
        <w:t xml:space="preserve"> </w:t>
      </w:r>
      <w:r w:rsidR="00676D3C" w:rsidRPr="00C865BF">
        <w:rPr>
          <w:rFonts w:cs="Arial"/>
          <w:b/>
          <w:szCs w:val="22"/>
        </w:rPr>
        <w:t>guidelines</w:t>
      </w:r>
    </w:p>
    <w:p w14:paraId="43AC5676" w14:textId="20ECD48F" w:rsidR="00A44A2E" w:rsidRDefault="005247F1" w:rsidP="00C40A70">
      <w:pPr>
        <w:spacing w:after="160" w:line="259" w:lineRule="auto"/>
        <w:ind w:left="320"/>
        <w:jc w:val="both"/>
        <w:rPr>
          <w:rFonts w:cs="Arial"/>
          <w:szCs w:val="22"/>
        </w:rPr>
      </w:pPr>
      <w:r w:rsidRPr="00C865BF">
        <w:rPr>
          <w:rFonts w:cs="Arial"/>
          <w:szCs w:val="22"/>
        </w:rPr>
        <w:t>For all backlog resubmissions, applicants are required to submit the proposed PI and PIL in the E</w:t>
      </w:r>
      <w:r w:rsidR="003D5891">
        <w:rPr>
          <w:rFonts w:cs="Arial"/>
          <w:szCs w:val="22"/>
        </w:rPr>
        <w:t>uropean Medicines Agency (E</w:t>
      </w:r>
      <w:r w:rsidR="007C0337" w:rsidRPr="00C865BF">
        <w:rPr>
          <w:rFonts w:cs="Arial"/>
          <w:szCs w:val="22"/>
        </w:rPr>
        <w:t>MA</w:t>
      </w:r>
      <w:r w:rsidR="003D5891">
        <w:rPr>
          <w:rFonts w:cs="Arial"/>
          <w:szCs w:val="22"/>
        </w:rPr>
        <w:t>)</w:t>
      </w:r>
      <w:r w:rsidR="007C0337" w:rsidRPr="00C865BF">
        <w:rPr>
          <w:rFonts w:cs="Arial"/>
          <w:szCs w:val="22"/>
        </w:rPr>
        <w:t xml:space="preserve"> </w:t>
      </w:r>
      <w:r w:rsidRPr="00C865BF">
        <w:rPr>
          <w:rFonts w:cs="Arial"/>
          <w:szCs w:val="22"/>
        </w:rPr>
        <w:t>format.</w:t>
      </w:r>
      <w:r w:rsidR="00DA0111">
        <w:rPr>
          <w:rFonts w:cs="Arial"/>
          <w:szCs w:val="22"/>
        </w:rPr>
        <w:t xml:space="preserve"> In parallel, the relevant regulations to Act 101</w:t>
      </w:r>
      <w:r w:rsidR="003D027A">
        <w:rPr>
          <w:rFonts w:cs="Arial"/>
          <w:szCs w:val="22"/>
        </w:rPr>
        <w:t xml:space="preserve"> of 1965, as amended,</w:t>
      </w:r>
      <w:r w:rsidR="00DA0111">
        <w:rPr>
          <w:rFonts w:cs="Arial"/>
          <w:szCs w:val="22"/>
        </w:rPr>
        <w:t xml:space="preserve"> will be </w:t>
      </w:r>
      <w:r w:rsidR="003D027A">
        <w:rPr>
          <w:rFonts w:cs="Arial"/>
          <w:szCs w:val="22"/>
        </w:rPr>
        <w:t>changed</w:t>
      </w:r>
      <w:r w:rsidR="00DA0111">
        <w:rPr>
          <w:rFonts w:cs="Arial"/>
          <w:szCs w:val="22"/>
        </w:rPr>
        <w:t xml:space="preserve"> </w:t>
      </w:r>
      <w:r w:rsidR="003D027A">
        <w:rPr>
          <w:rFonts w:cs="Arial"/>
          <w:szCs w:val="22"/>
        </w:rPr>
        <w:t>to reflect the new format</w:t>
      </w:r>
      <w:r w:rsidR="00DA0111">
        <w:rPr>
          <w:rFonts w:cs="Arial"/>
          <w:szCs w:val="22"/>
        </w:rPr>
        <w:t xml:space="preserve">. </w:t>
      </w:r>
    </w:p>
    <w:p w14:paraId="457DBE64" w14:textId="1705F482" w:rsidR="00A44A2E" w:rsidRDefault="00A44A2E" w:rsidP="00A44A2E">
      <w:pPr>
        <w:spacing w:after="160" w:line="259" w:lineRule="auto"/>
        <w:ind w:left="320"/>
        <w:jc w:val="both"/>
        <w:rPr>
          <w:rFonts w:cs="Arial"/>
          <w:szCs w:val="22"/>
        </w:rPr>
      </w:pPr>
      <w:r>
        <w:rPr>
          <w:rFonts w:cs="Arial"/>
          <w:szCs w:val="22"/>
        </w:rPr>
        <w:t>The PI format will be adopted from the EMA SmPC as-is, using both the stipulated EMA numbering and headings</w:t>
      </w:r>
      <w:r w:rsidR="0073130E">
        <w:rPr>
          <w:rFonts w:cs="Arial"/>
          <w:szCs w:val="22"/>
        </w:rPr>
        <w:t xml:space="preserve"> (with exception to section 7, labelled ‘Holder of Certificate of Registration’ in accordance with South African legislation)</w:t>
      </w:r>
      <w:r>
        <w:rPr>
          <w:rFonts w:cs="Arial"/>
          <w:szCs w:val="22"/>
        </w:rPr>
        <w:t xml:space="preserve">. </w:t>
      </w:r>
      <w:r w:rsidRPr="00A44A2E">
        <w:rPr>
          <w:rFonts w:cs="Arial"/>
          <w:color w:val="E36C0A" w:themeColor="accent6" w:themeShade="BF"/>
          <w:szCs w:val="22"/>
        </w:rPr>
        <w:t>“Scheduling Status”</w:t>
      </w:r>
      <w:r>
        <w:rPr>
          <w:rFonts w:cs="Arial"/>
          <w:szCs w:val="22"/>
        </w:rPr>
        <w:t xml:space="preserve">, however, has not been covered in the EMA SmPC. SAHPRA requires applicants to include this item </w:t>
      </w:r>
      <w:r w:rsidR="00346534" w:rsidRPr="00F662D8">
        <w:rPr>
          <w:rFonts w:cs="Arial"/>
          <w:szCs w:val="22"/>
        </w:rPr>
        <w:t>above</w:t>
      </w:r>
      <w:r w:rsidR="00346534">
        <w:rPr>
          <w:rFonts w:cs="Arial"/>
          <w:b/>
          <w:szCs w:val="22"/>
        </w:rPr>
        <w:t xml:space="preserve"> </w:t>
      </w:r>
      <w:r>
        <w:rPr>
          <w:rFonts w:cs="Arial"/>
          <w:szCs w:val="22"/>
        </w:rPr>
        <w:t xml:space="preserve">the “Name of the </w:t>
      </w:r>
      <w:r w:rsidR="008C03FE">
        <w:rPr>
          <w:rFonts w:cs="Arial"/>
          <w:szCs w:val="22"/>
        </w:rPr>
        <w:t>Medicine</w:t>
      </w:r>
      <w:r>
        <w:rPr>
          <w:rFonts w:cs="Arial"/>
          <w:szCs w:val="22"/>
        </w:rPr>
        <w:t>” section. The “Scheduling Status” will not have its own number</w:t>
      </w:r>
      <w:r w:rsidR="00F662D8">
        <w:rPr>
          <w:rFonts w:cs="Arial"/>
          <w:szCs w:val="22"/>
        </w:rPr>
        <w:t xml:space="preserve"> (please refer to the PI guideline).</w:t>
      </w:r>
    </w:p>
    <w:p w14:paraId="03FDCDC9" w14:textId="79EE7E6A" w:rsidR="00A44A2E" w:rsidRPr="00A44A2E" w:rsidRDefault="00A44A2E" w:rsidP="00A44A2E">
      <w:pPr>
        <w:spacing w:after="160" w:line="259" w:lineRule="auto"/>
        <w:ind w:left="320"/>
        <w:jc w:val="both"/>
        <w:rPr>
          <w:rFonts w:cs="Arial"/>
          <w:szCs w:val="22"/>
        </w:rPr>
      </w:pPr>
      <w:r w:rsidRPr="00A44A2E">
        <w:rPr>
          <w:rFonts w:cs="Arial"/>
          <w:szCs w:val="22"/>
        </w:rPr>
        <w:lastRenderedPageBreak/>
        <w:t xml:space="preserve">For example, </w:t>
      </w:r>
      <w:r w:rsidR="00C57496">
        <w:rPr>
          <w:rFonts w:cs="Arial"/>
          <w:szCs w:val="22"/>
        </w:rPr>
        <w:t>PI/</w:t>
      </w:r>
      <w:r w:rsidRPr="00A44A2E">
        <w:rPr>
          <w:rFonts w:cs="Arial"/>
          <w:szCs w:val="22"/>
        </w:rPr>
        <w:t>SmPC format will follow:</w:t>
      </w:r>
    </w:p>
    <w:p w14:paraId="48650FEB" w14:textId="77777777" w:rsidR="000A0A83" w:rsidRPr="00A44A2E" w:rsidRDefault="000A0A83" w:rsidP="000A0A83">
      <w:pPr>
        <w:spacing w:after="160" w:line="259" w:lineRule="auto"/>
        <w:ind w:left="680"/>
        <w:jc w:val="both"/>
        <w:rPr>
          <w:rFonts w:cs="Arial"/>
          <w:color w:val="E36C0A" w:themeColor="accent6" w:themeShade="BF"/>
          <w:szCs w:val="22"/>
        </w:rPr>
      </w:pPr>
      <w:r w:rsidRPr="00A44A2E">
        <w:rPr>
          <w:rFonts w:cs="Arial"/>
          <w:color w:val="E36C0A" w:themeColor="accent6" w:themeShade="BF"/>
          <w:szCs w:val="22"/>
        </w:rPr>
        <w:t>SCHEDULING STATUS</w:t>
      </w:r>
    </w:p>
    <w:p w14:paraId="3ACC4820" w14:textId="04529418" w:rsidR="00A44A2E" w:rsidRDefault="00A44A2E" w:rsidP="00A44A2E">
      <w:pPr>
        <w:spacing w:after="160" w:line="259" w:lineRule="auto"/>
        <w:ind w:left="680"/>
        <w:jc w:val="both"/>
        <w:rPr>
          <w:rFonts w:cs="Arial"/>
          <w:szCs w:val="22"/>
        </w:rPr>
      </w:pPr>
      <w:r w:rsidRPr="00A44A2E">
        <w:rPr>
          <w:rFonts w:cs="Arial"/>
          <w:szCs w:val="22"/>
        </w:rPr>
        <w:t xml:space="preserve">1. NAME OF THE </w:t>
      </w:r>
      <w:r w:rsidR="008C03FE">
        <w:rPr>
          <w:rFonts w:cs="Arial"/>
          <w:szCs w:val="22"/>
        </w:rPr>
        <w:t>MEDICINE</w:t>
      </w:r>
    </w:p>
    <w:p w14:paraId="4058F982" w14:textId="77777777" w:rsidR="00A44A2E" w:rsidRDefault="00A44A2E" w:rsidP="00A44A2E">
      <w:pPr>
        <w:spacing w:after="160" w:line="259" w:lineRule="auto"/>
        <w:ind w:left="680"/>
        <w:jc w:val="both"/>
        <w:rPr>
          <w:rFonts w:cs="Arial"/>
          <w:szCs w:val="22"/>
        </w:rPr>
      </w:pPr>
      <w:r w:rsidRPr="00A44A2E">
        <w:rPr>
          <w:rFonts w:cs="Arial"/>
          <w:szCs w:val="22"/>
        </w:rPr>
        <w:t>2. QUALITATIVE AND QUANTITATIVE COMPOSITION</w:t>
      </w:r>
    </w:p>
    <w:p w14:paraId="3068D3F5" w14:textId="77777777" w:rsidR="00A44A2E" w:rsidRDefault="00A44A2E" w:rsidP="00C40A70">
      <w:pPr>
        <w:spacing w:after="160" w:line="259" w:lineRule="auto"/>
        <w:ind w:left="320"/>
        <w:jc w:val="both"/>
        <w:rPr>
          <w:rFonts w:cs="Arial"/>
          <w:szCs w:val="22"/>
        </w:rPr>
      </w:pPr>
    </w:p>
    <w:p w14:paraId="40982EC7" w14:textId="115A1196" w:rsidR="00D97548" w:rsidRDefault="00D97548" w:rsidP="00C40A70">
      <w:pPr>
        <w:spacing w:after="160" w:line="259" w:lineRule="auto"/>
        <w:ind w:left="320"/>
        <w:jc w:val="both"/>
        <w:rPr>
          <w:rFonts w:cs="Arial"/>
          <w:szCs w:val="22"/>
        </w:rPr>
      </w:pPr>
      <w:r>
        <w:rPr>
          <w:rFonts w:cs="Arial"/>
          <w:szCs w:val="22"/>
        </w:rPr>
        <w:t>For “Pharmacological Classifications”, SAHPRA will adopt</w:t>
      </w:r>
      <w:r w:rsidR="006055A3">
        <w:rPr>
          <w:rFonts w:cs="Arial"/>
          <w:szCs w:val="22"/>
        </w:rPr>
        <w:t xml:space="preserve"> the</w:t>
      </w:r>
      <w:r w:rsidRPr="00D97548">
        <w:t xml:space="preserve"> </w:t>
      </w:r>
      <w:r w:rsidRPr="00D97548">
        <w:rPr>
          <w:rFonts w:cs="Arial"/>
          <w:szCs w:val="22"/>
        </w:rPr>
        <w:t>Anatomical Therapeutic Chemical (ATC) Classification</w:t>
      </w:r>
      <w:r>
        <w:rPr>
          <w:rFonts w:cs="Arial"/>
          <w:szCs w:val="22"/>
        </w:rPr>
        <w:t xml:space="preserve"> System.</w:t>
      </w:r>
      <w:r w:rsidRPr="00D97548">
        <w:t xml:space="preserve"> </w:t>
      </w:r>
      <w:r>
        <w:t>(</w:t>
      </w:r>
      <w:r w:rsidRPr="00D97548">
        <w:rPr>
          <w:rFonts w:cs="Arial"/>
          <w:szCs w:val="22"/>
        </w:rPr>
        <w:t xml:space="preserve">The ATC classification system divides </w:t>
      </w:r>
      <w:r w:rsidR="006055A3">
        <w:rPr>
          <w:rFonts w:cs="Arial"/>
          <w:szCs w:val="22"/>
        </w:rPr>
        <w:t>medicines</w:t>
      </w:r>
      <w:r w:rsidRPr="00D97548">
        <w:rPr>
          <w:rFonts w:cs="Arial"/>
          <w:szCs w:val="22"/>
        </w:rPr>
        <w:t xml:space="preserve"> into different groups according to the organ or system on which they act and according to their chemical, pharmacolog</w:t>
      </w:r>
      <w:r w:rsidR="00235493">
        <w:rPr>
          <w:rFonts w:cs="Arial"/>
          <w:szCs w:val="22"/>
        </w:rPr>
        <w:t>ical and therapeutic properties).</w:t>
      </w:r>
      <w:r w:rsidR="00327DD1">
        <w:rPr>
          <w:rFonts w:cs="Arial"/>
          <w:szCs w:val="22"/>
        </w:rPr>
        <w:t xml:space="preserve"> Note that the Pharmalogical Classification will no longer form part of the registration number. Details surrounding new registration numbering will be communicated separately. </w:t>
      </w:r>
    </w:p>
    <w:p w14:paraId="29475ACA" w14:textId="6A923307" w:rsidR="00C40A70" w:rsidRDefault="00C40A70" w:rsidP="00C40A70">
      <w:pPr>
        <w:spacing w:after="160" w:line="259" w:lineRule="auto"/>
        <w:ind w:left="320"/>
        <w:jc w:val="both"/>
        <w:rPr>
          <w:rFonts w:cs="Arial"/>
          <w:szCs w:val="22"/>
        </w:rPr>
      </w:pPr>
      <w:r w:rsidRPr="00C865BF">
        <w:rPr>
          <w:rFonts w:cs="Arial"/>
          <w:szCs w:val="22"/>
        </w:rPr>
        <w:t>For PI</w:t>
      </w:r>
      <w:r w:rsidR="00C3649F">
        <w:rPr>
          <w:rFonts w:cs="Arial"/>
          <w:szCs w:val="22"/>
        </w:rPr>
        <w:t>/PIL</w:t>
      </w:r>
      <w:r w:rsidRPr="00C865BF">
        <w:rPr>
          <w:rFonts w:cs="Arial"/>
          <w:szCs w:val="22"/>
        </w:rPr>
        <w:t xml:space="preserve"> content, SAHPRA will be using reliance where applicable. Refer to reliance pathways</w:t>
      </w:r>
      <w:r w:rsidR="005049F5">
        <w:rPr>
          <w:rFonts w:cs="Arial"/>
          <w:szCs w:val="22"/>
        </w:rPr>
        <w:t xml:space="preserve"> and documentation required</w:t>
      </w:r>
      <w:r w:rsidRPr="00C865BF">
        <w:rPr>
          <w:rFonts w:cs="Arial"/>
          <w:szCs w:val="22"/>
        </w:rPr>
        <w:t xml:space="preserve"> in </w:t>
      </w:r>
      <w:r w:rsidR="005049F5">
        <w:rPr>
          <w:rFonts w:cs="Arial"/>
          <w:szCs w:val="22"/>
        </w:rPr>
        <w:t>S</w:t>
      </w:r>
      <w:r w:rsidRPr="00C865BF">
        <w:rPr>
          <w:rFonts w:cs="Arial"/>
          <w:szCs w:val="22"/>
        </w:rPr>
        <w:t xml:space="preserve">ection </w:t>
      </w:r>
      <w:r w:rsidR="005049F5">
        <w:rPr>
          <w:rFonts w:cs="Arial"/>
          <w:szCs w:val="22"/>
        </w:rPr>
        <w:t>B</w:t>
      </w:r>
      <w:r w:rsidRPr="00C865BF">
        <w:rPr>
          <w:rFonts w:cs="Arial"/>
          <w:szCs w:val="22"/>
        </w:rPr>
        <w:t xml:space="preserve"> of this letter.</w:t>
      </w:r>
    </w:p>
    <w:p w14:paraId="1CBD2A49" w14:textId="15C3A273" w:rsidR="00C40A70" w:rsidRDefault="00C40A70" w:rsidP="00F12721">
      <w:pPr>
        <w:spacing w:after="160" w:line="259" w:lineRule="auto"/>
        <w:ind w:left="320"/>
        <w:jc w:val="both"/>
        <w:rPr>
          <w:rFonts w:cs="Arial"/>
          <w:szCs w:val="22"/>
        </w:rPr>
      </w:pPr>
      <w:r w:rsidRPr="00C40A70">
        <w:rPr>
          <w:rFonts w:cs="Arial"/>
          <w:szCs w:val="22"/>
        </w:rPr>
        <w:t xml:space="preserve">Upon resubmission, </w:t>
      </w:r>
      <w:r w:rsidR="00845BC1">
        <w:rPr>
          <w:rFonts w:cs="Arial"/>
          <w:szCs w:val="22"/>
        </w:rPr>
        <w:t xml:space="preserve">SAHPRA </w:t>
      </w:r>
      <w:r w:rsidR="00C3649F">
        <w:rPr>
          <w:rFonts w:cs="Arial"/>
          <w:szCs w:val="22"/>
        </w:rPr>
        <w:t xml:space="preserve">also </w:t>
      </w:r>
      <w:r w:rsidRPr="00C40A70">
        <w:rPr>
          <w:rFonts w:cs="Arial"/>
          <w:szCs w:val="22"/>
        </w:rPr>
        <w:t>request</w:t>
      </w:r>
      <w:r w:rsidR="00845BC1">
        <w:rPr>
          <w:rFonts w:cs="Arial"/>
          <w:szCs w:val="22"/>
        </w:rPr>
        <w:t>s</w:t>
      </w:r>
      <w:r w:rsidRPr="00C40A70">
        <w:rPr>
          <w:rFonts w:cs="Arial"/>
          <w:szCs w:val="22"/>
        </w:rPr>
        <w:t xml:space="preserve"> all backlog applicants to provide the latest approved (</w:t>
      </w:r>
      <w:r w:rsidR="00845BC1">
        <w:rPr>
          <w:rFonts w:cs="Arial"/>
          <w:szCs w:val="22"/>
        </w:rPr>
        <w:t>and</w:t>
      </w:r>
      <w:r w:rsidRPr="00C40A70">
        <w:rPr>
          <w:rFonts w:cs="Arial"/>
          <w:szCs w:val="22"/>
        </w:rPr>
        <w:t xml:space="preserve"> attaina</w:t>
      </w:r>
      <w:r w:rsidR="00845BC1">
        <w:rPr>
          <w:rFonts w:cs="Arial"/>
          <w:szCs w:val="22"/>
        </w:rPr>
        <w:t>ble) PI/PIL from a recognized regulatory authority</w:t>
      </w:r>
      <w:r w:rsidR="00C3649F">
        <w:rPr>
          <w:rFonts w:cs="Arial"/>
          <w:szCs w:val="22"/>
        </w:rPr>
        <w:t xml:space="preserve"> if applicable</w:t>
      </w:r>
      <w:r w:rsidR="00845BC1">
        <w:rPr>
          <w:rFonts w:cs="Arial"/>
          <w:szCs w:val="22"/>
        </w:rPr>
        <w:t xml:space="preserve">. </w:t>
      </w:r>
      <w:r w:rsidRPr="00C40A70">
        <w:rPr>
          <w:rFonts w:cs="Arial"/>
          <w:szCs w:val="22"/>
        </w:rPr>
        <w:t xml:space="preserve">If </w:t>
      </w:r>
      <w:r w:rsidR="00C3649F">
        <w:rPr>
          <w:rFonts w:cs="Arial"/>
          <w:szCs w:val="22"/>
        </w:rPr>
        <w:t xml:space="preserve">the </w:t>
      </w:r>
      <w:r w:rsidR="00845BC1">
        <w:rPr>
          <w:rFonts w:cs="Arial"/>
          <w:szCs w:val="22"/>
        </w:rPr>
        <w:t xml:space="preserve">PI/PIL </w:t>
      </w:r>
      <w:r w:rsidR="00C3649F">
        <w:rPr>
          <w:rFonts w:cs="Arial"/>
          <w:szCs w:val="22"/>
        </w:rPr>
        <w:t>has been previously</w:t>
      </w:r>
      <w:r w:rsidR="00845BC1">
        <w:rPr>
          <w:rFonts w:cs="Arial"/>
          <w:szCs w:val="22"/>
        </w:rPr>
        <w:t xml:space="preserve"> </w:t>
      </w:r>
      <w:r w:rsidRPr="00C40A70">
        <w:rPr>
          <w:rFonts w:cs="Arial"/>
          <w:szCs w:val="22"/>
        </w:rPr>
        <w:t xml:space="preserve">approved by </w:t>
      </w:r>
      <w:r w:rsidR="00845BC1">
        <w:rPr>
          <w:rFonts w:cs="Arial"/>
          <w:szCs w:val="22"/>
        </w:rPr>
        <w:t xml:space="preserve">the </w:t>
      </w:r>
      <w:r w:rsidRPr="00C40A70">
        <w:rPr>
          <w:rFonts w:cs="Arial"/>
          <w:szCs w:val="22"/>
        </w:rPr>
        <w:t>EMA</w:t>
      </w:r>
      <w:r w:rsidR="00FD0DC9">
        <w:rPr>
          <w:rFonts w:cs="Arial"/>
          <w:szCs w:val="22"/>
        </w:rPr>
        <w:t xml:space="preserve"> Centralised Procedure</w:t>
      </w:r>
      <w:r w:rsidRPr="00C40A70">
        <w:rPr>
          <w:rFonts w:cs="Arial"/>
          <w:szCs w:val="22"/>
        </w:rPr>
        <w:t>, it must</w:t>
      </w:r>
      <w:r w:rsidR="00845BC1">
        <w:rPr>
          <w:rFonts w:cs="Arial"/>
          <w:szCs w:val="22"/>
        </w:rPr>
        <w:t xml:space="preserve"> </w:t>
      </w:r>
      <w:r w:rsidRPr="00C40A70">
        <w:rPr>
          <w:rFonts w:cs="Arial"/>
          <w:szCs w:val="22"/>
        </w:rPr>
        <w:t>be provided</w:t>
      </w:r>
      <w:r w:rsidR="00C3649F">
        <w:rPr>
          <w:rFonts w:cs="Arial"/>
          <w:szCs w:val="22"/>
        </w:rPr>
        <w:t xml:space="preserve"> as the default</w:t>
      </w:r>
      <w:r w:rsidR="00845BC1">
        <w:rPr>
          <w:rFonts w:cs="Arial"/>
          <w:szCs w:val="22"/>
        </w:rPr>
        <w:t xml:space="preserve">. </w:t>
      </w:r>
      <w:r w:rsidRPr="00C40A70">
        <w:rPr>
          <w:rFonts w:cs="Arial"/>
          <w:szCs w:val="22"/>
        </w:rPr>
        <w:t xml:space="preserve">If not approved by EMA, </w:t>
      </w:r>
      <w:r w:rsidR="00C3649F">
        <w:rPr>
          <w:rFonts w:cs="Arial"/>
          <w:szCs w:val="22"/>
        </w:rPr>
        <w:t xml:space="preserve">the </w:t>
      </w:r>
      <w:r w:rsidRPr="00C40A70">
        <w:rPr>
          <w:rFonts w:cs="Arial"/>
          <w:szCs w:val="22"/>
        </w:rPr>
        <w:t xml:space="preserve">applicant can provide </w:t>
      </w:r>
      <w:r w:rsidR="00C3649F">
        <w:rPr>
          <w:rFonts w:cs="Arial"/>
          <w:szCs w:val="22"/>
        </w:rPr>
        <w:t xml:space="preserve">an approved </w:t>
      </w:r>
      <w:r w:rsidRPr="00C40A70">
        <w:rPr>
          <w:rFonts w:cs="Arial"/>
          <w:szCs w:val="22"/>
        </w:rPr>
        <w:t xml:space="preserve">PI/PIL from any other </w:t>
      </w:r>
      <w:r w:rsidR="00845BC1">
        <w:rPr>
          <w:rFonts w:cs="Arial"/>
          <w:szCs w:val="22"/>
        </w:rPr>
        <w:t>regulatory authority</w:t>
      </w:r>
      <w:r w:rsidRPr="00C40A70">
        <w:rPr>
          <w:rFonts w:cs="Arial"/>
          <w:szCs w:val="22"/>
        </w:rPr>
        <w:t xml:space="preserve"> with which SAHPRA aligns itself</w:t>
      </w:r>
      <w:r w:rsidR="00C3649F">
        <w:rPr>
          <w:rFonts w:cs="Arial"/>
          <w:szCs w:val="22"/>
        </w:rPr>
        <w:t>.</w:t>
      </w:r>
    </w:p>
    <w:p w14:paraId="200C0265" w14:textId="77777777" w:rsidR="00C3649F" w:rsidRPr="00C865BF" w:rsidRDefault="00C3649F" w:rsidP="00F12721">
      <w:pPr>
        <w:spacing w:after="160" w:line="259" w:lineRule="auto"/>
        <w:ind w:left="320"/>
        <w:jc w:val="both"/>
        <w:rPr>
          <w:rFonts w:cs="Arial"/>
          <w:szCs w:val="22"/>
        </w:rPr>
      </w:pPr>
    </w:p>
    <w:p w14:paraId="07C4A84C" w14:textId="20A53647" w:rsidR="005247F1" w:rsidRDefault="005247F1" w:rsidP="0082207C">
      <w:pPr>
        <w:spacing w:after="160" w:line="259" w:lineRule="auto"/>
        <w:ind w:left="320"/>
        <w:jc w:val="both"/>
        <w:rPr>
          <w:rFonts w:cs="Arial"/>
          <w:i/>
          <w:color w:val="1F497D" w:themeColor="text2"/>
          <w:szCs w:val="22"/>
        </w:rPr>
      </w:pPr>
      <w:r w:rsidRPr="00C865BF">
        <w:rPr>
          <w:rFonts w:cs="Arial"/>
          <w:bCs/>
          <w:i/>
          <w:color w:val="1F497D" w:themeColor="text2"/>
          <w:szCs w:val="22"/>
          <w:lang w:val="en-ZA"/>
        </w:rPr>
        <w:t xml:space="preserve">Document reference: </w:t>
      </w:r>
      <w:r w:rsidRPr="00C865BF">
        <w:rPr>
          <w:rFonts w:cs="Arial"/>
          <w:i/>
          <w:color w:val="1F497D" w:themeColor="text2"/>
          <w:szCs w:val="22"/>
        </w:rPr>
        <w:t>01. Guidelines / 02</w:t>
      </w:r>
      <w:r w:rsidR="00DA4C7E">
        <w:rPr>
          <w:rFonts w:cs="Arial"/>
          <w:i/>
          <w:color w:val="1F497D" w:themeColor="text2"/>
          <w:szCs w:val="22"/>
        </w:rPr>
        <w:t>.</w:t>
      </w:r>
      <w:r w:rsidRPr="00C865BF">
        <w:rPr>
          <w:rFonts w:cs="Arial"/>
          <w:i/>
          <w:color w:val="1F497D" w:themeColor="text2"/>
          <w:szCs w:val="22"/>
        </w:rPr>
        <w:t xml:space="preserve"> Clinical guidelines </w:t>
      </w:r>
    </w:p>
    <w:p w14:paraId="6C5CAF25" w14:textId="77777777" w:rsidR="00FE0F02" w:rsidRPr="00C865BF" w:rsidRDefault="00FE0F02" w:rsidP="0082207C">
      <w:pPr>
        <w:spacing w:after="160" w:line="259" w:lineRule="auto"/>
        <w:ind w:left="320"/>
        <w:jc w:val="both"/>
        <w:rPr>
          <w:rFonts w:cs="Arial"/>
          <w:szCs w:val="22"/>
        </w:rPr>
      </w:pPr>
    </w:p>
    <w:p w14:paraId="293FAE6E" w14:textId="33071FAF" w:rsidR="00DA1809" w:rsidRDefault="006515D2" w:rsidP="00DA1809">
      <w:pPr>
        <w:pStyle w:val="ListParagraph"/>
        <w:numPr>
          <w:ilvl w:val="0"/>
          <w:numId w:val="30"/>
        </w:numPr>
        <w:spacing w:after="160" w:line="259" w:lineRule="auto"/>
        <w:ind w:left="360"/>
        <w:jc w:val="both"/>
        <w:rPr>
          <w:rFonts w:cs="Arial"/>
          <w:b/>
          <w:szCs w:val="22"/>
        </w:rPr>
      </w:pPr>
      <w:r>
        <w:rPr>
          <w:rFonts w:cs="Arial"/>
          <w:b/>
          <w:szCs w:val="22"/>
        </w:rPr>
        <w:t>Clinical v</w:t>
      </w:r>
      <w:r w:rsidR="00676D3C" w:rsidRPr="00C865BF">
        <w:rPr>
          <w:rFonts w:cs="Arial"/>
          <w:b/>
          <w:szCs w:val="22"/>
        </w:rPr>
        <w:t>ariation</w:t>
      </w:r>
      <w:r w:rsidR="003339C7">
        <w:rPr>
          <w:rFonts w:cs="Arial"/>
          <w:b/>
          <w:szCs w:val="22"/>
        </w:rPr>
        <w:t>s</w:t>
      </w:r>
    </w:p>
    <w:p w14:paraId="0B1385BC" w14:textId="77777777" w:rsidR="00DA1809" w:rsidRDefault="00DA1809" w:rsidP="00DA1809">
      <w:pPr>
        <w:pStyle w:val="ListParagraph"/>
        <w:spacing w:after="160" w:line="259" w:lineRule="auto"/>
        <w:ind w:left="360"/>
        <w:jc w:val="both"/>
        <w:rPr>
          <w:rFonts w:cs="Arial"/>
          <w:b/>
          <w:szCs w:val="22"/>
          <w:u w:val="single"/>
        </w:rPr>
      </w:pPr>
    </w:p>
    <w:p w14:paraId="240B2ECA" w14:textId="12E23A45" w:rsidR="007A14F6" w:rsidRPr="007A14F6" w:rsidRDefault="007A14F6" w:rsidP="00DA1809">
      <w:pPr>
        <w:pStyle w:val="ListParagraph"/>
        <w:spacing w:after="160" w:line="259" w:lineRule="auto"/>
        <w:ind w:left="360"/>
        <w:jc w:val="both"/>
        <w:rPr>
          <w:rFonts w:cs="Arial"/>
          <w:szCs w:val="22"/>
        </w:rPr>
      </w:pPr>
      <w:r w:rsidRPr="007A14F6">
        <w:rPr>
          <w:rFonts w:cs="Arial"/>
          <w:szCs w:val="22"/>
        </w:rPr>
        <w:t>SAHPRA</w:t>
      </w:r>
      <w:r>
        <w:rPr>
          <w:rFonts w:cs="Arial"/>
          <w:szCs w:val="22"/>
        </w:rPr>
        <w:t xml:space="preserve"> is adopting the </w:t>
      </w:r>
      <w:r w:rsidR="003D5891">
        <w:rPr>
          <w:rFonts w:cs="Arial"/>
          <w:szCs w:val="22"/>
        </w:rPr>
        <w:t>EU</w:t>
      </w:r>
      <w:r>
        <w:rPr>
          <w:rFonts w:cs="Arial"/>
          <w:szCs w:val="22"/>
        </w:rPr>
        <w:t xml:space="preserve"> variation</w:t>
      </w:r>
      <w:r w:rsidR="00446593">
        <w:rPr>
          <w:rFonts w:cs="Arial"/>
          <w:szCs w:val="22"/>
        </w:rPr>
        <w:t>s classification guidelines in full, an</w:t>
      </w:r>
      <w:r w:rsidR="006014BE">
        <w:rPr>
          <w:rFonts w:cs="Arial"/>
          <w:szCs w:val="22"/>
        </w:rPr>
        <w:t xml:space="preserve">d will publish exceptions for codes, procedures and data requirements facing different treatment in South Africa. </w:t>
      </w:r>
      <w:r w:rsidR="001F613E">
        <w:rPr>
          <w:rFonts w:cs="Arial"/>
          <w:szCs w:val="22"/>
        </w:rPr>
        <w:t xml:space="preserve">This will take the format of a </w:t>
      </w:r>
      <w:r w:rsidR="00615DCD">
        <w:rPr>
          <w:rFonts w:cs="Arial"/>
          <w:szCs w:val="22"/>
        </w:rPr>
        <w:t xml:space="preserve">SAHPRA </w:t>
      </w:r>
      <w:r w:rsidR="001F613E">
        <w:rPr>
          <w:rFonts w:cs="Arial"/>
          <w:szCs w:val="22"/>
        </w:rPr>
        <w:t xml:space="preserve">variations guideline / addendum letter to the </w:t>
      </w:r>
      <w:r w:rsidR="003D5891">
        <w:rPr>
          <w:rFonts w:cs="Arial"/>
          <w:szCs w:val="22"/>
        </w:rPr>
        <w:t>EU</w:t>
      </w:r>
      <w:r w:rsidR="001F613E">
        <w:rPr>
          <w:rFonts w:cs="Arial"/>
          <w:szCs w:val="22"/>
        </w:rPr>
        <w:t xml:space="preserve"> </w:t>
      </w:r>
      <w:r w:rsidR="00CD79F1">
        <w:rPr>
          <w:rFonts w:cs="Arial"/>
          <w:szCs w:val="22"/>
        </w:rPr>
        <w:t xml:space="preserve">guidelines, largely simplifying and replacing the content of the previously-published Clinical Variations guideline. </w:t>
      </w:r>
      <w:r w:rsidR="00F40E06">
        <w:rPr>
          <w:rFonts w:cs="Arial"/>
          <w:szCs w:val="22"/>
        </w:rPr>
        <w:t xml:space="preserve">This new document will be accompanied by another comment period, with more information to be communicated shortly. </w:t>
      </w:r>
    </w:p>
    <w:p w14:paraId="4FEF227E" w14:textId="77777777" w:rsidR="007A14F6" w:rsidRDefault="007A14F6" w:rsidP="00DA1809">
      <w:pPr>
        <w:pStyle w:val="ListParagraph"/>
        <w:spacing w:after="160" w:line="259" w:lineRule="auto"/>
        <w:ind w:left="360"/>
        <w:jc w:val="both"/>
        <w:rPr>
          <w:rFonts w:cs="Arial"/>
          <w:b/>
          <w:szCs w:val="22"/>
          <w:u w:val="single"/>
        </w:rPr>
      </w:pPr>
    </w:p>
    <w:p w14:paraId="1D98BE2F" w14:textId="1006060B" w:rsidR="007C7172" w:rsidRDefault="00210A53" w:rsidP="007C7172">
      <w:pPr>
        <w:pStyle w:val="ListParagraph"/>
        <w:spacing w:after="160" w:line="259" w:lineRule="auto"/>
        <w:ind w:left="360"/>
        <w:jc w:val="both"/>
        <w:rPr>
          <w:rFonts w:cs="Arial"/>
          <w:szCs w:val="22"/>
        </w:rPr>
      </w:pPr>
      <w:r w:rsidRPr="00210A53">
        <w:rPr>
          <w:rFonts w:cs="Arial"/>
          <w:szCs w:val="22"/>
        </w:rPr>
        <w:t xml:space="preserve">Applicants </w:t>
      </w:r>
      <w:r w:rsidR="00062887">
        <w:rPr>
          <w:rFonts w:cs="Arial"/>
          <w:szCs w:val="22"/>
        </w:rPr>
        <w:t xml:space="preserve">will be </w:t>
      </w:r>
      <w:r>
        <w:rPr>
          <w:rFonts w:cs="Arial"/>
          <w:szCs w:val="22"/>
        </w:rPr>
        <w:t>required to</w:t>
      </w:r>
      <w:r w:rsidRPr="00210A53">
        <w:rPr>
          <w:rFonts w:cs="Arial"/>
          <w:szCs w:val="22"/>
        </w:rPr>
        <w:t xml:space="preserve"> </w:t>
      </w:r>
      <w:r w:rsidR="00FA4A17">
        <w:rPr>
          <w:rFonts w:cs="Arial"/>
          <w:szCs w:val="22"/>
        </w:rPr>
        <w:t xml:space="preserve">consolidate and </w:t>
      </w:r>
      <w:r w:rsidRPr="00210A53">
        <w:rPr>
          <w:rFonts w:cs="Arial"/>
          <w:szCs w:val="22"/>
        </w:rPr>
        <w:t xml:space="preserve">resubmit all </w:t>
      </w:r>
      <w:r w:rsidR="0071152D">
        <w:rPr>
          <w:rFonts w:cs="Arial"/>
          <w:szCs w:val="22"/>
        </w:rPr>
        <w:t xml:space="preserve">backlog </w:t>
      </w:r>
      <w:r w:rsidRPr="00210A53">
        <w:rPr>
          <w:rFonts w:cs="Arial"/>
          <w:szCs w:val="22"/>
        </w:rPr>
        <w:t xml:space="preserve">variations </w:t>
      </w:r>
      <w:r w:rsidR="00062887">
        <w:rPr>
          <w:rFonts w:cs="Arial"/>
          <w:szCs w:val="22"/>
        </w:rPr>
        <w:t xml:space="preserve">according to the </w:t>
      </w:r>
      <w:r w:rsidR="003D5891">
        <w:rPr>
          <w:rFonts w:cs="Arial"/>
          <w:szCs w:val="22"/>
        </w:rPr>
        <w:t>EU</w:t>
      </w:r>
      <w:r w:rsidR="00062887">
        <w:rPr>
          <w:rFonts w:cs="Arial"/>
          <w:szCs w:val="22"/>
        </w:rPr>
        <w:t xml:space="preserve"> procedure types (e.g. Type II, Type IB or Type IA)</w:t>
      </w:r>
      <w:r w:rsidRPr="00210A53">
        <w:rPr>
          <w:rFonts w:cs="Arial"/>
          <w:szCs w:val="22"/>
        </w:rPr>
        <w:t>.</w:t>
      </w:r>
      <w:r>
        <w:rPr>
          <w:rFonts w:cs="Arial"/>
          <w:szCs w:val="22"/>
        </w:rPr>
        <w:t xml:space="preserve"> </w:t>
      </w:r>
      <w:r w:rsidR="00FE2419" w:rsidRPr="00DA1809">
        <w:rPr>
          <w:rFonts w:cs="Arial"/>
          <w:szCs w:val="22"/>
        </w:rPr>
        <w:t>Urgent Safety Restriction Notifications</w:t>
      </w:r>
      <w:r w:rsidR="00FE2419">
        <w:rPr>
          <w:rFonts w:cs="Arial"/>
          <w:szCs w:val="22"/>
        </w:rPr>
        <w:t xml:space="preserve"> (USRN)</w:t>
      </w:r>
      <w:r w:rsidR="00FE2419" w:rsidRPr="00DA1809">
        <w:rPr>
          <w:rFonts w:cs="Arial"/>
          <w:szCs w:val="22"/>
        </w:rPr>
        <w:t xml:space="preserve"> guidelines are incorporated in </w:t>
      </w:r>
      <w:r w:rsidR="00062887">
        <w:rPr>
          <w:rFonts w:cs="Arial"/>
          <w:szCs w:val="22"/>
        </w:rPr>
        <w:t xml:space="preserve">the addendum letter to the </w:t>
      </w:r>
      <w:r w:rsidR="003D5891">
        <w:rPr>
          <w:rFonts w:cs="Arial"/>
          <w:szCs w:val="22"/>
        </w:rPr>
        <w:t>EU</w:t>
      </w:r>
      <w:r w:rsidR="00062887">
        <w:rPr>
          <w:rFonts w:cs="Arial"/>
          <w:szCs w:val="22"/>
        </w:rPr>
        <w:t xml:space="preserve"> variations guidelines</w:t>
      </w:r>
      <w:r w:rsidR="00E611E2">
        <w:rPr>
          <w:rFonts w:cs="Arial"/>
          <w:szCs w:val="22"/>
        </w:rPr>
        <w:t xml:space="preserve">. Former </w:t>
      </w:r>
      <w:r w:rsidR="00DA1809" w:rsidRPr="00DA1809">
        <w:rPr>
          <w:rFonts w:cs="Arial"/>
          <w:szCs w:val="22"/>
        </w:rPr>
        <w:t>Safety Related Package Insert Notifications (SR-PIN)</w:t>
      </w:r>
      <w:r w:rsidR="00FE2419">
        <w:rPr>
          <w:rFonts w:cs="Arial"/>
          <w:szCs w:val="22"/>
        </w:rPr>
        <w:t xml:space="preserve"> guidelines have been withdrawn</w:t>
      </w:r>
      <w:r w:rsidR="00637DCA">
        <w:rPr>
          <w:rFonts w:cs="Arial"/>
          <w:szCs w:val="22"/>
        </w:rPr>
        <w:t>.</w:t>
      </w:r>
    </w:p>
    <w:p w14:paraId="2F358FA7" w14:textId="77777777" w:rsidR="001F40F8" w:rsidRPr="007C7172" w:rsidRDefault="001F40F8" w:rsidP="007C7172">
      <w:pPr>
        <w:pStyle w:val="ListParagraph"/>
        <w:spacing w:after="160" w:line="259" w:lineRule="auto"/>
        <w:ind w:left="360"/>
        <w:jc w:val="both"/>
        <w:rPr>
          <w:rFonts w:cs="Arial"/>
          <w:szCs w:val="22"/>
        </w:rPr>
      </w:pPr>
    </w:p>
    <w:p w14:paraId="46393173" w14:textId="13B3A79D" w:rsidR="00676D3C" w:rsidRDefault="008B4BB8" w:rsidP="00FE0F02">
      <w:pPr>
        <w:ind w:left="360"/>
        <w:jc w:val="both"/>
        <w:rPr>
          <w:rFonts w:cs="Arial"/>
          <w:szCs w:val="22"/>
        </w:rPr>
      </w:pPr>
      <w:r>
        <w:rPr>
          <w:rFonts w:cs="Arial"/>
          <w:szCs w:val="22"/>
        </w:rPr>
        <w:t xml:space="preserve">Beyond variations, </w:t>
      </w:r>
      <w:r w:rsidR="002938C6" w:rsidRPr="00C865BF">
        <w:rPr>
          <w:rFonts w:cs="Arial"/>
          <w:szCs w:val="22"/>
        </w:rPr>
        <w:t xml:space="preserve">SAHPRA’s </w:t>
      </w:r>
      <w:r w:rsidR="00FE2419">
        <w:rPr>
          <w:rFonts w:cs="Arial"/>
          <w:szCs w:val="22"/>
        </w:rPr>
        <w:t xml:space="preserve">PI, PIL, </w:t>
      </w:r>
      <w:r>
        <w:rPr>
          <w:rFonts w:cs="Arial"/>
          <w:szCs w:val="22"/>
        </w:rPr>
        <w:t xml:space="preserve">and Clinical </w:t>
      </w:r>
      <w:r w:rsidR="002938C6" w:rsidRPr="00C865BF">
        <w:rPr>
          <w:rFonts w:cs="Arial"/>
          <w:szCs w:val="22"/>
        </w:rPr>
        <w:t>guidelines have been</w:t>
      </w:r>
      <w:r w:rsidR="00676D3C" w:rsidRPr="00C865BF">
        <w:rPr>
          <w:rFonts w:cs="Arial"/>
          <w:szCs w:val="22"/>
        </w:rPr>
        <w:t xml:space="preserve"> adopted </w:t>
      </w:r>
      <w:r w:rsidR="002938C6" w:rsidRPr="00C865BF">
        <w:rPr>
          <w:rFonts w:cs="Arial"/>
          <w:szCs w:val="22"/>
        </w:rPr>
        <w:t xml:space="preserve">from </w:t>
      </w:r>
      <w:r w:rsidR="003D5891">
        <w:rPr>
          <w:rFonts w:cs="Arial"/>
          <w:szCs w:val="22"/>
        </w:rPr>
        <w:t>EU</w:t>
      </w:r>
      <w:r w:rsidR="00676D3C" w:rsidRPr="00C865BF">
        <w:rPr>
          <w:rFonts w:cs="Arial"/>
          <w:szCs w:val="22"/>
        </w:rPr>
        <w:t xml:space="preserve"> guidelines and</w:t>
      </w:r>
      <w:r w:rsidR="002938C6" w:rsidRPr="00C865BF">
        <w:rPr>
          <w:rFonts w:cs="Arial"/>
          <w:szCs w:val="22"/>
        </w:rPr>
        <w:t xml:space="preserve"> adapted to the South African context</w:t>
      </w:r>
      <w:r w:rsidR="00676D3C" w:rsidRPr="00C865BF">
        <w:rPr>
          <w:rFonts w:cs="Arial"/>
          <w:szCs w:val="22"/>
        </w:rPr>
        <w:t xml:space="preserve"> where applicable</w:t>
      </w:r>
      <w:r w:rsidR="002938C6" w:rsidRPr="00C865BF">
        <w:rPr>
          <w:rFonts w:cs="Arial"/>
          <w:szCs w:val="22"/>
        </w:rPr>
        <w:t>.</w:t>
      </w:r>
      <w:r w:rsidR="00676D3C" w:rsidRPr="00C865BF">
        <w:rPr>
          <w:rFonts w:cs="Arial"/>
          <w:szCs w:val="22"/>
        </w:rPr>
        <w:t xml:space="preserve"> </w:t>
      </w:r>
    </w:p>
    <w:p w14:paraId="34D4C07A" w14:textId="77777777" w:rsidR="001F40F8" w:rsidRDefault="001F40F8" w:rsidP="00FE0F02">
      <w:pPr>
        <w:ind w:left="360"/>
        <w:jc w:val="both"/>
        <w:rPr>
          <w:rFonts w:cs="Arial"/>
          <w:szCs w:val="22"/>
        </w:rPr>
      </w:pPr>
    </w:p>
    <w:p w14:paraId="5F3687B7" w14:textId="30D89A1B" w:rsidR="001F40F8" w:rsidRPr="001F40F8" w:rsidRDefault="001F40F8" w:rsidP="001F40F8">
      <w:pPr>
        <w:spacing w:after="160" w:line="259" w:lineRule="auto"/>
        <w:ind w:left="320"/>
        <w:jc w:val="both"/>
        <w:rPr>
          <w:rFonts w:cs="Arial"/>
          <w:i/>
          <w:color w:val="1F497D" w:themeColor="text2"/>
          <w:szCs w:val="22"/>
        </w:rPr>
      </w:pPr>
      <w:r w:rsidRPr="00C865BF">
        <w:rPr>
          <w:rFonts w:cs="Arial"/>
          <w:bCs/>
          <w:i/>
          <w:color w:val="1F497D" w:themeColor="text2"/>
          <w:szCs w:val="22"/>
          <w:lang w:val="en-ZA"/>
        </w:rPr>
        <w:t xml:space="preserve">Document reference: </w:t>
      </w:r>
      <w:r w:rsidRPr="00C865BF">
        <w:rPr>
          <w:rFonts w:cs="Arial"/>
          <w:i/>
          <w:color w:val="1F497D" w:themeColor="text2"/>
          <w:szCs w:val="22"/>
        </w:rPr>
        <w:t>01. Guidelines / 02</w:t>
      </w:r>
      <w:r>
        <w:rPr>
          <w:rFonts w:cs="Arial"/>
          <w:i/>
          <w:color w:val="1F497D" w:themeColor="text2"/>
          <w:szCs w:val="22"/>
        </w:rPr>
        <w:t>.</w:t>
      </w:r>
      <w:r w:rsidRPr="00C865BF">
        <w:rPr>
          <w:rFonts w:cs="Arial"/>
          <w:i/>
          <w:color w:val="1F497D" w:themeColor="text2"/>
          <w:szCs w:val="22"/>
        </w:rPr>
        <w:t xml:space="preserve"> Clinical guidelines </w:t>
      </w:r>
    </w:p>
    <w:p w14:paraId="1B2AF2BB" w14:textId="77777777" w:rsidR="00DA1809" w:rsidRDefault="00DA1809" w:rsidP="00676D3C">
      <w:pPr>
        <w:jc w:val="both"/>
        <w:rPr>
          <w:rFonts w:cs="Arial"/>
          <w:szCs w:val="22"/>
        </w:rPr>
      </w:pPr>
    </w:p>
    <w:p w14:paraId="59AE9D44" w14:textId="77777777" w:rsidR="00CD2261" w:rsidRDefault="00CD2261" w:rsidP="00676D3C">
      <w:pPr>
        <w:jc w:val="both"/>
        <w:rPr>
          <w:rFonts w:cs="Arial"/>
          <w:szCs w:val="22"/>
        </w:rPr>
      </w:pPr>
    </w:p>
    <w:p w14:paraId="1AD40F6C" w14:textId="77777777" w:rsidR="00A90E47" w:rsidRPr="00C865BF" w:rsidRDefault="005049F5" w:rsidP="00676D3C">
      <w:pPr>
        <w:jc w:val="both"/>
        <w:rPr>
          <w:rFonts w:cs="Arial"/>
          <w:b/>
          <w:szCs w:val="22"/>
          <w:u w:val="single"/>
        </w:rPr>
      </w:pPr>
      <w:r>
        <w:rPr>
          <w:rFonts w:cs="Arial"/>
          <w:b/>
          <w:szCs w:val="22"/>
          <w:u w:val="single"/>
        </w:rPr>
        <w:t>SECTION B</w:t>
      </w:r>
      <w:r w:rsidR="00A90E47" w:rsidRPr="00C865BF">
        <w:rPr>
          <w:rFonts w:cs="Arial"/>
          <w:b/>
          <w:szCs w:val="22"/>
          <w:u w:val="single"/>
        </w:rPr>
        <w:t xml:space="preserve"> – RELIANCE PATHWAYS</w:t>
      </w:r>
      <w:r w:rsidR="00C40A70">
        <w:rPr>
          <w:rFonts w:cs="Arial"/>
          <w:b/>
          <w:szCs w:val="22"/>
          <w:u w:val="single"/>
        </w:rPr>
        <w:t xml:space="preserve"> &amp; DOCUMENTATION</w:t>
      </w:r>
    </w:p>
    <w:p w14:paraId="54607448" w14:textId="77777777" w:rsidR="005247F1" w:rsidRPr="00C865BF" w:rsidRDefault="005247F1" w:rsidP="00676D3C">
      <w:pPr>
        <w:jc w:val="both"/>
        <w:rPr>
          <w:rFonts w:cs="Arial"/>
          <w:szCs w:val="22"/>
        </w:rPr>
      </w:pPr>
    </w:p>
    <w:p w14:paraId="2DA6EAE3" w14:textId="3F5ADF77" w:rsidR="00665EBC" w:rsidRPr="00C865BF" w:rsidRDefault="00A17385" w:rsidP="006A016B">
      <w:pPr>
        <w:jc w:val="both"/>
        <w:rPr>
          <w:rFonts w:cs="Arial"/>
          <w:szCs w:val="22"/>
        </w:rPr>
      </w:pPr>
      <w:r w:rsidRPr="00C865BF">
        <w:rPr>
          <w:rFonts w:cs="Arial"/>
          <w:szCs w:val="22"/>
        </w:rPr>
        <w:t>SAHPRA will be using reliance where applic</w:t>
      </w:r>
      <w:r w:rsidR="0082207C">
        <w:rPr>
          <w:rFonts w:cs="Arial"/>
          <w:szCs w:val="22"/>
        </w:rPr>
        <w:t>able to reduce</w:t>
      </w:r>
      <w:r w:rsidR="00115E4F">
        <w:rPr>
          <w:rFonts w:cs="Arial"/>
          <w:szCs w:val="22"/>
        </w:rPr>
        <w:t xml:space="preserve"> evaluation</w:t>
      </w:r>
      <w:r w:rsidR="0082207C">
        <w:rPr>
          <w:rFonts w:cs="Arial"/>
          <w:szCs w:val="22"/>
        </w:rPr>
        <w:t xml:space="preserve"> processing times:</w:t>
      </w:r>
      <w:r w:rsidR="00665EBC" w:rsidRPr="00C865BF">
        <w:rPr>
          <w:rFonts w:cs="Arial"/>
          <w:szCs w:val="22"/>
        </w:rPr>
        <w:t xml:space="preserve">    </w:t>
      </w:r>
    </w:p>
    <w:p w14:paraId="142B9854" w14:textId="77777777" w:rsidR="004E4D56" w:rsidRPr="00C865BF" w:rsidRDefault="00665EBC" w:rsidP="006A016B">
      <w:pPr>
        <w:pStyle w:val="ListParagraph"/>
        <w:numPr>
          <w:ilvl w:val="0"/>
          <w:numId w:val="42"/>
        </w:numPr>
        <w:jc w:val="both"/>
        <w:rPr>
          <w:rFonts w:cs="Arial"/>
          <w:szCs w:val="22"/>
        </w:rPr>
      </w:pPr>
      <w:r w:rsidRPr="00C865BF">
        <w:rPr>
          <w:rFonts w:cs="Arial"/>
          <w:szCs w:val="22"/>
        </w:rPr>
        <w:t>Abridged Review (Abbreviated Medicines Registration Process</w:t>
      </w:r>
      <w:r w:rsidR="004E4D56" w:rsidRPr="00C865BF">
        <w:rPr>
          <w:rFonts w:cs="Arial"/>
          <w:szCs w:val="22"/>
        </w:rPr>
        <w:t>)</w:t>
      </w:r>
    </w:p>
    <w:p w14:paraId="677F862F" w14:textId="77777777" w:rsidR="004E4D56" w:rsidRPr="00C865BF" w:rsidRDefault="00665EBC" w:rsidP="006A016B">
      <w:pPr>
        <w:pStyle w:val="ListParagraph"/>
        <w:numPr>
          <w:ilvl w:val="0"/>
          <w:numId w:val="42"/>
        </w:numPr>
        <w:jc w:val="both"/>
        <w:rPr>
          <w:rFonts w:cs="Arial"/>
          <w:szCs w:val="22"/>
        </w:rPr>
      </w:pPr>
      <w:r w:rsidRPr="00C865BF">
        <w:rPr>
          <w:rFonts w:cs="Arial"/>
          <w:szCs w:val="22"/>
        </w:rPr>
        <w:t>Verification Review</w:t>
      </w:r>
    </w:p>
    <w:p w14:paraId="224BB7B5" w14:textId="1CC8AEE3" w:rsidR="00665EBC" w:rsidRDefault="004E4D56" w:rsidP="006A016B">
      <w:pPr>
        <w:pStyle w:val="ListParagraph"/>
        <w:numPr>
          <w:ilvl w:val="0"/>
          <w:numId w:val="42"/>
        </w:numPr>
        <w:jc w:val="both"/>
        <w:rPr>
          <w:rFonts w:cs="Arial"/>
          <w:szCs w:val="22"/>
        </w:rPr>
      </w:pPr>
      <w:r w:rsidRPr="00C865BF">
        <w:rPr>
          <w:rFonts w:cs="Arial"/>
          <w:szCs w:val="22"/>
        </w:rPr>
        <w:t>Mutual Recognition</w:t>
      </w:r>
      <w:r w:rsidR="00BF2B54">
        <w:rPr>
          <w:rFonts w:cs="Arial"/>
          <w:szCs w:val="22"/>
        </w:rPr>
        <w:t xml:space="preserve"> (where applicable through Zazibona)</w:t>
      </w:r>
    </w:p>
    <w:p w14:paraId="4DD34D2E" w14:textId="77777777" w:rsidR="007C7172" w:rsidRPr="007D466A" w:rsidRDefault="007C7172" w:rsidP="006A016B">
      <w:pPr>
        <w:jc w:val="both"/>
        <w:rPr>
          <w:rFonts w:cs="Arial"/>
          <w:szCs w:val="22"/>
        </w:rPr>
      </w:pPr>
    </w:p>
    <w:p w14:paraId="3E44C0EB" w14:textId="59C3AFCF" w:rsidR="00887937" w:rsidRPr="00887937" w:rsidRDefault="00887937" w:rsidP="006A016B">
      <w:pPr>
        <w:jc w:val="both"/>
        <w:rPr>
          <w:rFonts w:cs="Arial"/>
          <w:szCs w:val="22"/>
        </w:rPr>
      </w:pPr>
      <w:r>
        <w:rPr>
          <w:rFonts w:cs="Arial"/>
          <w:szCs w:val="22"/>
        </w:rPr>
        <w:t>Recognized</w:t>
      </w:r>
      <w:r w:rsidRPr="00887937">
        <w:rPr>
          <w:rFonts w:cs="Arial"/>
          <w:szCs w:val="22"/>
        </w:rPr>
        <w:t xml:space="preserve"> authorities include: FDA, EMA, MHLW (Japan), Health Canada, Swiss Medic, TGA (Australia), MHRA (UK), and Zazibona (products registered prior 2016, post 2016 – mutual recognition). In order for an application to be considered for a reliance evaluation, additional documentation must be submitted with the application. The required additional documentation is listed on the technical screening checklists and guideline documents.</w:t>
      </w:r>
      <w:r w:rsidR="00127CE7">
        <w:rPr>
          <w:rFonts w:cs="Arial"/>
          <w:szCs w:val="22"/>
        </w:rPr>
        <w:t xml:space="preserve"> </w:t>
      </w:r>
      <w:r w:rsidR="00BF2B54">
        <w:rPr>
          <w:rFonts w:cs="Arial"/>
          <w:szCs w:val="22"/>
        </w:rPr>
        <w:t xml:space="preserve">In the absence of a suitable reliance pathway, applications will follow a Full Review. </w:t>
      </w:r>
    </w:p>
    <w:p w14:paraId="7213A887" w14:textId="77777777" w:rsidR="00BC1A0E" w:rsidRDefault="00BC1A0E" w:rsidP="006A016B">
      <w:pPr>
        <w:jc w:val="both"/>
        <w:rPr>
          <w:rFonts w:cs="Arial"/>
          <w:szCs w:val="22"/>
        </w:rPr>
      </w:pPr>
    </w:p>
    <w:p w14:paraId="77353083" w14:textId="2111D722" w:rsidR="00BC1A0E" w:rsidRDefault="00BC1A0E" w:rsidP="006A016B">
      <w:pPr>
        <w:jc w:val="both"/>
        <w:rPr>
          <w:rFonts w:cs="Arial"/>
          <w:szCs w:val="22"/>
        </w:rPr>
      </w:pPr>
      <w:r>
        <w:rPr>
          <w:rFonts w:cs="Arial"/>
          <w:szCs w:val="22"/>
        </w:rPr>
        <w:t xml:space="preserve">See below a summary of the clinical </w:t>
      </w:r>
      <w:r w:rsidR="00052AAF">
        <w:rPr>
          <w:rFonts w:cs="Arial"/>
          <w:szCs w:val="22"/>
        </w:rPr>
        <w:t>evaluation</w:t>
      </w:r>
      <w:r>
        <w:rPr>
          <w:rFonts w:cs="Arial"/>
          <w:szCs w:val="22"/>
        </w:rPr>
        <w:t xml:space="preserve"> pathways</w:t>
      </w:r>
      <w:r w:rsidR="00C47B4A">
        <w:rPr>
          <w:rFonts w:cs="Arial"/>
          <w:szCs w:val="22"/>
        </w:rPr>
        <w:t xml:space="preserve">. </w:t>
      </w:r>
      <w:r w:rsidR="00C23CFA">
        <w:rPr>
          <w:rFonts w:cs="Arial"/>
          <w:szCs w:val="22"/>
        </w:rPr>
        <w:t>The f</w:t>
      </w:r>
      <w:r w:rsidR="00C47B4A" w:rsidRPr="00C47B4A">
        <w:rPr>
          <w:rFonts w:cs="Arial"/>
          <w:szCs w:val="22"/>
        </w:rPr>
        <w:t xml:space="preserve">inal evaluation pathway </w:t>
      </w:r>
      <w:r w:rsidR="00C23CFA">
        <w:rPr>
          <w:rFonts w:cs="Arial"/>
          <w:szCs w:val="22"/>
        </w:rPr>
        <w:t xml:space="preserve">decision </w:t>
      </w:r>
      <w:r w:rsidR="00C47B4A" w:rsidRPr="00C47B4A">
        <w:rPr>
          <w:rFonts w:cs="Arial"/>
          <w:szCs w:val="22"/>
        </w:rPr>
        <w:t>for an application is at the discretion of SAHPRA, and will depend on the quality of reliance documentation submitted.</w:t>
      </w:r>
      <w:r w:rsidR="00C47B4A">
        <w:rPr>
          <w:rFonts w:cs="Arial"/>
          <w:szCs w:val="22"/>
        </w:rPr>
        <w:t xml:space="preserve"> M</w:t>
      </w:r>
      <w:r w:rsidR="006A2980">
        <w:rPr>
          <w:rFonts w:cs="Arial"/>
          <w:szCs w:val="22"/>
        </w:rPr>
        <w:t>ore information on reliance pathway</w:t>
      </w:r>
      <w:r w:rsidR="001143CB">
        <w:rPr>
          <w:rFonts w:cs="Arial"/>
          <w:szCs w:val="22"/>
        </w:rPr>
        <w:t>s can be found in the Clinical g</w:t>
      </w:r>
      <w:r w:rsidR="006A2980">
        <w:rPr>
          <w:rFonts w:cs="Arial"/>
          <w:szCs w:val="22"/>
        </w:rPr>
        <w:t>uideline</w:t>
      </w:r>
      <w:r w:rsidR="00C47B4A">
        <w:rPr>
          <w:rFonts w:cs="Arial"/>
          <w:szCs w:val="22"/>
        </w:rPr>
        <w:t>.</w:t>
      </w:r>
    </w:p>
    <w:p w14:paraId="02F28A7C" w14:textId="77777777" w:rsidR="00BC1A0E" w:rsidRDefault="00BC1A0E" w:rsidP="006A016B">
      <w:pPr>
        <w:jc w:val="both"/>
        <w:rPr>
          <w:rFonts w:cs="Arial"/>
          <w:szCs w:val="22"/>
        </w:rPr>
      </w:pPr>
    </w:p>
    <w:p w14:paraId="5F016974" w14:textId="76B33074" w:rsidR="00BC1A0E" w:rsidRPr="00BC1A0E" w:rsidRDefault="00BC1A0E" w:rsidP="00BC1A0E">
      <w:pPr>
        <w:pStyle w:val="ListParagraph"/>
        <w:numPr>
          <w:ilvl w:val="0"/>
          <w:numId w:val="47"/>
        </w:numPr>
        <w:jc w:val="both"/>
        <w:rPr>
          <w:rFonts w:cs="Arial"/>
          <w:szCs w:val="22"/>
          <w:lang w:val="en-ZA"/>
        </w:rPr>
      </w:pPr>
      <w:r w:rsidRPr="00BC1A0E">
        <w:rPr>
          <w:rFonts w:cs="Arial"/>
          <w:szCs w:val="22"/>
          <w:lang w:val="en-ZA"/>
        </w:rPr>
        <w:t>Full review</w:t>
      </w:r>
    </w:p>
    <w:p w14:paraId="52DAF9B3" w14:textId="100F4FF1" w:rsidR="008C6765" w:rsidRDefault="008C6765" w:rsidP="008C6765">
      <w:pPr>
        <w:ind w:left="680"/>
        <w:jc w:val="both"/>
        <w:rPr>
          <w:rFonts w:cs="Arial"/>
          <w:szCs w:val="22"/>
          <w:lang w:val="en-ZA"/>
        </w:rPr>
      </w:pPr>
      <w:r>
        <w:rPr>
          <w:rFonts w:cs="Arial"/>
          <w:szCs w:val="22"/>
          <w:lang w:val="en-ZA"/>
        </w:rPr>
        <w:t>A</w:t>
      </w:r>
      <w:r w:rsidRPr="00BC1A0E">
        <w:rPr>
          <w:rFonts w:cs="Arial"/>
          <w:szCs w:val="22"/>
          <w:lang w:val="en-ZA"/>
        </w:rPr>
        <w:t>ll applications that do not have adequate reliance documentation will follow the full review pathway.</w:t>
      </w:r>
    </w:p>
    <w:p w14:paraId="35AA33DA" w14:textId="77777777" w:rsidR="008C6765" w:rsidRPr="00BC1A0E" w:rsidRDefault="008C6765" w:rsidP="008C6765">
      <w:pPr>
        <w:ind w:left="680"/>
        <w:jc w:val="both"/>
        <w:rPr>
          <w:rFonts w:cs="Arial"/>
          <w:szCs w:val="22"/>
          <w:lang w:val="en-ZA"/>
        </w:rPr>
      </w:pPr>
    </w:p>
    <w:p w14:paraId="543767DF" w14:textId="71260F81" w:rsidR="00BC1A0E" w:rsidRPr="00BC1A0E" w:rsidRDefault="00BC1A0E" w:rsidP="00BC1A0E">
      <w:pPr>
        <w:ind w:left="680"/>
        <w:jc w:val="both"/>
        <w:rPr>
          <w:rFonts w:cs="Arial"/>
          <w:szCs w:val="22"/>
          <w:lang w:val="en-ZA"/>
        </w:rPr>
      </w:pPr>
      <w:r w:rsidRPr="00BC1A0E">
        <w:rPr>
          <w:rFonts w:cs="Arial"/>
          <w:szCs w:val="22"/>
          <w:lang w:val="en-ZA"/>
        </w:rPr>
        <w:t xml:space="preserve">All NCE applications that do not have prior registrations </w:t>
      </w:r>
      <w:r w:rsidR="00D366B9">
        <w:rPr>
          <w:rFonts w:cs="Arial"/>
          <w:szCs w:val="22"/>
          <w:lang w:val="en-ZA"/>
        </w:rPr>
        <w:t xml:space="preserve">with regulatory authorities with which SAHPRA aligns itself </w:t>
      </w:r>
      <w:r w:rsidRPr="00BC1A0E">
        <w:rPr>
          <w:rFonts w:cs="Arial"/>
          <w:szCs w:val="22"/>
          <w:lang w:val="en-ZA"/>
        </w:rPr>
        <w:t xml:space="preserve">will be evaluated via a full review. </w:t>
      </w:r>
    </w:p>
    <w:p w14:paraId="21540B3C" w14:textId="77777777" w:rsidR="00BC1A0E" w:rsidRPr="00BC1A0E" w:rsidRDefault="00BC1A0E" w:rsidP="00BC1A0E">
      <w:pPr>
        <w:jc w:val="both"/>
        <w:rPr>
          <w:rFonts w:cs="Arial"/>
          <w:szCs w:val="22"/>
          <w:lang w:val="en-ZA"/>
        </w:rPr>
      </w:pPr>
    </w:p>
    <w:p w14:paraId="303FBE6F" w14:textId="4E50F526" w:rsidR="00BC1A0E" w:rsidRPr="00BC1A0E" w:rsidRDefault="00BC1A0E" w:rsidP="00BC1A0E">
      <w:pPr>
        <w:pStyle w:val="ListParagraph"/>
        <w:numPr>
          <w:ilvl w:val="0"/>
          <w:numId w:val="47"/>
        </w:numPr>
        <w:jc w:val="both"/>
        <w:rPr>
          <w:rFonts w:cs="Arial"/>
          <w:szCs w:val="22"/>
          <w:lang w:val="en-ZA"/>
        </w:rPr>
      </w:pPr>
      <w:r w:rsidRPr="00BC1A0E">
        <w:rPr>
          <w:rFonts w:cs="Arial"/>
          <w:szCs w:val="22"/>
          <w:lang w:val="en-ZA"/>
        </w:rPr>
        <w:t>Abridged review</w:t>
      </w:r>
    </w:p>
    <w:p w14:paraId="187986A9" w14:textId="359652CE" w:rsidR="00BC1A0E" w:rsidRPr="00BC1A0E" w:rsidRDefault="00BC1A0E" w:rsidP="00BC1A0E">
      <w:pPr>
        <w:ind w:left="680"/>
        <w:jc w:val="both"/>
        <w:rPr>
          <w:rFonts w:cs="Arial"/>
          <w:szCs w:val="22"/>
          <w:lang w:val="en-ZA"/>
        </w:rPr>
      </w:pPr>
      <w:r w:rsidRPr="00BC1A0E">
        <w:rPr>
          <w:rFonts w:cs="Arial"/>
          <w:szCs w:val="22"/>
          <w:lang w:val="en-ZA"/>
        </w:rPr>
        <w:t xml:space="preserve">NCE applications that have approval(s) from a </w:t>
      </w:r>
      <w:r w:rsidR="007239FF">
        <w:rPr>
          <w:rFonts w:cs="Arial"/>
          <w:szCs w:val="22"/>
          <w:lang w:val="en-ZA"/>
        </w:rPr>
        <w:t>RA</w:t>
      </w:r>
      <w:r w:rsidR="00900C2F">
        <w:rPr>
          <w:rFonts w:cs="Arial"/>
          <w:szCs w:val="22"/>
          <w:lang w:val="en-ZA"/>
        </w:rPr>
        <w:t>(s)</w:t>
      </w:r>
      <w:r w:rsidR="007239FF">
        <w:rPr>
          <w:rFonts w:cs="Arial"/>
          <w:szCs w:val="22"/>
          <w:lang w:val="en-ZA"/>
        </w:rPr>
        <w:t xml:space="preserve"> with which SAHPRA aligns itself</w:t>
      </w:r>
      <w:r w:rsidRPr="00BC1A0E">
        <w:rPr>
          <w:rFonts w:cs="Arial"/>
          <w:szCs w:val="22"/>
          <w:lang w:val="en-ZA"/>
        </w:rPr>
        <w:t xml:space="preserve"> will </w:t>
      </w:r>
      <w:r w:rsidR="007239FF">
        <w:rPr>
          <w:rFonts w:cs="Arial"/>
          <w:szCs w:val="22"/>
          <w:lang w:val="en-ZA"/>
        </w:rPr>
        <w:t>be considered</w:t>
      </w:r>
      <w:r w:rsidRPr="00BC1A0E">
        <w:rPr>
          <w:rFonts w:cs="Arial"/>
          <w:szCs w:val="22"/>
          <w:lang w:val="en-ZA"/>
        </w:rPr>
        <w:t xml:space="preserve"> for an abridged review.</w:t>
      </w:r>
    </w:p>
    <w:p w14:paraId="092FCF2C" w14:textId="77777777" w:rsidR="00BC1A0E" w:rsidRPr="00BC1A0E" w:rsidRDefault="00BC1A0E" w:rsidP="00BC1A0E">
      <w:pPr>
        <w:ind w:left="680"/>
        <w:jc w:val="both"/>
        <w:rPr>
          <w:rFonts w:cs="Arial"/>
          <w:szCs w:val="22"/>
          <w:lang w:val="en-ZA"/>
        </w:rPr>
      </w:pPr>
    </w:p>
    <w:p w14:paraId="73C0E46B" w14:textId="15F292D1" w:rsidR="0014644B" w:rsidRDefault="00BC1A0E" w:rsidP="0014644B">
      <w:pPr>
        <w:ind w:left="680"/>
        <w:jc w:val="both"/>
        <w:rPr>
          <w:rFonts w:cs="Arial"/>
          <w:szCs w:val="22"/>
          <w:lang w:val="en-ZA"/>
        </w:rPr>
      </w:pPr>
      <w:r w:rsidRPr="00BC1A0E">
        <w:rPr>
          <w:rFonts w:cs="Arial"/>
          <w:szCs w:val="22"/>
          <w:lang w:val="en-ZA"/>
        </w:rPr>
        <w:t xml:space="preserve">Generic applications that have approval(s) from a </w:t>
      </w:r>
      <w:r w:rsidR="007239FF">
        <w:rPr>
          <w:rFonts w:cs="Arial"/>
          <w:szCs w:val="22"/>
          <w:lang w:val="en-ZA"/>
        </w:rPr>
        <w:t>RA</w:t>
      </w:r>
      <w:r w:rsidR="00BC0114">
        <w:rPr>
          <w:rFonts w:cs="Arial"/>
          <w:szCs w:val="22"/>
          <w:lang w:val="en-ZA"/>
        </w:rPr>
        <w:t>(s)</w:t>
      </w:r>
      <w:r w:rsidR="007239FF">
        <w:rPr>
          <w:rFonts w:cs="Arial"/>
          <w:szCs w:val="22"/>
          <w:lang w:val="en-ZA"/>
        </w:rPr>
        <w:t xml:space="preserve"> with which SAHPRA aligns itself</w:t>
      </w:r>
      <w:r w:rsidRPr="00BC1A0E">
        <w:rPr>
          <w:rFonts w:cs="Arial"/>
          <w:szCs w:val="22"/>
          <w:lang w:val="en-ZA"/>
        </w:rPr>
        <w:t xml:space="preserve">, but where the API has yet to be registered by SAHPRA, will </w:t>
      </w:r>
      <w:r w:rsidR="00E635E6">
        <w:rPr>
          <w:rFonts w:cs="Arial"/>
          <w:szCs w:val="22"/>
          <w:lang w:val="en-ZA"/>
        </w:rPr>
        <w:t>be considered</w:t>
      </w:r>
      <w:r w:rsidRPr="00BC1A0E">
        <w:rPr>
          <w:rFonts w:cs="Arial"/>
          <w:szCs w:val="22"/>
          <w:lang w:val="en-ZA"/>
        </w:rPr>
        <w:t xml:space="preserve"> for an abridged review.</w:t>
      </w:r>
    </w:p>
    <w:p w14:paraId="69B134A2" w14:textId="77777777" w:rsidR="00253BDA" w:rsidRDefault="00253BDA" w:rsidP="0014644B">
      <w:pPr>
        <w:ind w:left="680"/>
        <w:jc w:val="both"/>
        <w:rPr>
          <w:rFonts w:cs="Arial"/>
          <w:szCs w:val="22"/>
          <w:lang w:val="en-ZA"/>
        </w:rPr>
      </w:pPr>
    </w:p>
    <w:p w14:paraId="3B1F4A5D" w14:textId="7B4C9219" w:rsidR="00253BDA" w:rsidRPr="00253BDA" w:rsidRDefault="00253BDA" w:rsidP="00253BDA">
      <w:pPr>
        <w:ind w:left="720"/>
        <w:jc w:val="both"/>
        <w:rPr>
          <w:rFonts w:cs="Arial"/>
          <w:szCs w:val="22"/>
          <w:lang w:val="en-US"/>
        </w:rPr>
      </w:pPr>
      <w:r>
        <w:rPr>
          <w:rFonts w:cs="Arial"/>
          <w:szCs w:val="22"/>
          <w:lang w:val="en-ZA"/>
        </w:rPr>
        <w:t>[</w:t>
      </w:r>
      <w:r>
        <w:rPr>
          <w:rFonts w:cs="Arial"/>
          <w:szCs w:val="22"/>
          <w:lang w:val="en-US"/>
        </w:rPr>
        <w:t xml:space="preserve">Note: </w:t>
      </w:r>
      <w:r w:rsidRPr="00253BDA">
        <w:rPr>
          <w:rFonts w:cs="Arial"/>
          <w:szCs w:val="22"/>
          <w:lang w:val="en-US"/>
        </w:rPr>
        <w:t>Applicants need to sign a letter of access, allowing SAHPRA to request un-redacted reports from regulatory authorities with which SAHPRA aligns itself. This is a minimum requirement in order for an application to be considered for an abridged review.</w:t>
      </w:r>
      <w:r>
        <w:rPr>
          <w:rFonts w:cs="Arial"/>
          <w:szCs w:val="22"/>
          <w:lang w:val="en-US"/>
        </w:rPr>
        <w:t>]</w:t>
      </w:r>
      <w:r w:rsidRPr="00253BDA">
        <w:rPr>
          <w:rFonts w:cs="Arial"/>
          <w:szCs w:val="22"/>
          <w:lang w:val="en-US"/>
        </w:rPr>
        <w:t xml:space="preserve"> </w:t>
      </w:r>
    </w:p>
    <w:p w14:paraId="44BE6296" w14:textId="77777777" w:rsidR="00BC1A0E" w:rsidRPr="00BC1A0E" w:rsidRDefault="00BC1A0E" w:rsidP="00BC1A0E">
      <w:pPr>
        <w:jc w:val="both"/>
        <w:rPr>
          <w:rFonts w:cs="Arial"/>
          <w:szCs w:val="22"/>
          <w:lang w:val="en-ZA"/>
        </w:rPr>
      </w:pPr>
    </w:p>
    <w:p w14:paraId="56D8F320" w14:textId="65969F3A" w:rsidR="00BC1A0E" w:rsidRPr="00BC1A0E" w:rsidRDefault="00BC1A0E" w:rsidP="00BC1A0E">
      <w:pPr>
        <w:pStyle w:val="ListParagraph"/>
        <w:numPr>
          <w:ilvl w:val="0"/>
          <w:numId w:val="47"/>
        </w:numPr>
        <w:jc w:val="both"/>
        <w:rPr>
          <w:rFonts w:cs="Arial"/>
          <w:szCs w:val="22"/>
          <w:lang w:val="en-ZA"/>
        </w:rPr>
      </w:pPr>
      <w:r w:rsidRPr="00BC1A0E">
        <w:rPr>
          <w:rFonts w:cs="Arial"/>
          <w:szCs w:val="22"/>
          <w:lang w:val="en-ZA"/>
        </w:rPr>
        <w:t>Verified review</w:t>
      </w:r>
    </w:p>
    <w:p w14:paraId="5BF3FC46" w14:textId="1B2022C6" w:rsidR="00BC1A0E" w:rsidRPr="00BC1A0E" w:rsidRDefault="00BC1A0E" w:rsidP="00BC1A0E">
      <w:pPr>
        <w:ind w:left="680"/>
        <w:jc w:val="both"/>
        <w:rPr>
          <w:rFonts w:cs="Arial"/>
          <w:szCs w:val="22"/>
          <w:lang w:val="en-ZA"/>
        </w:rPr>
      </w:pPr>
      <w:r w:rsidRPr="00BC1A0E">
        <w:rPr>
          <w:rFonts w:cs="Arial"/>
          <w:szCs w:val="22"/>
          <w:lang w:val="en-ZA"/>
        </w:rPr>
        <w:t xml:space="preserve">Generic applications for APIs already registered by SAHPRA will </w:t>
      </w:r>
      <w:r w:rsidR="00114D93">
        <w:rPr>
          <w:rFonts w:cs="Arial"/>
          <w:szCs w:val="22"/>
          <w:lang w:val="en-ZA"/>
        </w:rPr>
        <w:t>be considered</w:t>
      </w:r>
      <w:r w:rsidRPr="00BC1A0E">
        <w:rPr>
          <w:rFonts w:cs="Arial"/>
          <w:szCs w:val="22"/>
          <w:lang w:val="en-ZA"/>
        </w:rPr>
        <w:t xml:space="preserve"> for a verified review.</w:t>
      </w:r>
    </w:p>
    <w:p w14:paraId="3A21E79D" w14:textId="77777777" w:rsidR="00BC1A0E" w:rsidRPr="00BC1A0E" w:rsidRDefault="00BC1A0E" w:rsidP="00BC1A0E">
      <w:pPr>
        <w:jc w:val="both"/>
        <w:rPr>
          <w:rFonts w:cs="Arial"/>
          <w:szCs w:val="22"/>
          <w:lang w:val="en-ZA"/>
        </w:rPr>
      </w:pPr>
    </w:p>
    <w:p w14:paraId="41BF583D" w14:textId="38820AFD" w:rsidR="00BC1A0E" w:rsidRPr="00BC1A0E" w:rsidRDefault="00BC1A0E" w:rsidP="00BC1A0E">
      <w:pPr>
        <w:pStyle w:val="ListParagraph"/>
        <w:numPr>
          <w:ilvl w:val="0"/>
          <w:numId w:val="47"/>
        </w:numPr>
        <w:jc w:val="both"/>
        <w:rPr>
          <w:rFonts w:cs="Arial"/>
          <w:szCs w:val="22"/>
          <w:lang w:val="en-ZA"/>
        </w:rPr>
      </w:pPr>
      <w:r w:rsidRPr="00BC1A0E">
        <w:rPr>
          <w:rFonts w:cs="Arial"/>
          <w:szCs w:val="22"/>
          <w:lang w:val="en-ZA"/>
        </w:rPr>
        <w:t>Mutual recognition</w:t>
      </w:r>
    </w:p>
    <w:p w14:paraId="2DB75758" w14:textId="3408449B" w:rsidR="00BC1A0E" w:rsidRPr="00BC1A0E" w:rsidRDefault="00BC1A0E" w:rsidP="00BC1A0E">
      <w:pPr>
        <w:ind w:left="680"/>
        <w:jc w:val="both"/>
        <w:rPr>
          <w:rFonts w:cs="Arial"/>
          <w:szCs w:val="22"/>
          <w:lang w:val="en-ZA"/>
        </w:rPr>
      </w:pPr>
      <w:r w:rsidRPr="00BC1A0E">
        <w:rPr>
          <w:rFonts w:cs="Arial"/>
          <w:szCs w:val="22"/>
          <w:lang w:val="en-ZA"/>
        </w:rPr>
        <w:t>Applications that have been previously registered by Z</w:t>
      </w:r>
      <w:r w:rsidR="00595CCF">
        <w:rPr>
          <w:rFonts w:cs="Arial"/>
          <w:szCs w:val="22"/>
          <w:lang w:val="en-ZA"/>
        </w:rPr>
        <w:t>azibona</w:t>
      </w:r>
      <w:r w:rsidRPr="00BC1A0E">
        <w:rPr>
          <w:rFonts w:cs="Arial"/>
          <w:szCs w:val="22"/>
          <w:lang w:val="en-ZA"/>
        </w:rPr>
        <w:t xml:space="preserve"> (post 2016) will qualify for mutual recognition.</w:t>
      </w:r>
    </w:p>
    <w:p w14:paraId="3E6522DA" w14:textId="77777777" w:rsidR="00887937" w:rsidRDefault="00887937" w:rsidP="00C865BF">
      <w:pPr>
        <w:rPr>
          <w:rFonts w:cs="Arial"/>
          <w:szCs w:val="22"/>
        </w:rPr>
      </w:pPr>
    </w:p>
    <w:p w14:paraId="5A4EBB56" w14:textId="036BC430" w:rsidR="0000034F" w:rsidRPr="00900A64" w:rsidRDefault="005B7273" w:rsidP="00900A64">
      <w:pPr>
        <w:jc w:val="both"/>
        <w:rPr>
          <w:rFonts w:cs="Arial"/>
          <w:szCs w:val="22"/>
        </w:rPr>
      </w:pPr>
      <w:r w:rsidRPr="00887937">
        <w:rPr>
          <w:rFonts w:cs="Arial"/>
          <w:szCs w:val="22"/>
        </w:rPr>
        <w:t xml:space="preserve">Note: All applications, including applications that qualify for reliance, should have all </w:t>
      </w:r>
      <w:r w:rsidR="00BA7279">
        <w:rPr>
          <w:rFonts w:cs="Arial"/>
          <w:szCs w:val="22"/>
        </w:rPr>
        <w:t>relevant CTD</w:t>
      </w:r>
      <w:r w:rsidRPr="00887937">
        <w:rPr>
          <w:rFonts w:cs="Arial"/>
          <w:szCs w:val="22"/>
        </w:rPr>
        <w:t xml:space="preserve"> documentation submitted. Reliance documentation should be submitted in addition to all </w:t>
      </w:r>
      <w:r w:rsidRPr="00887937">
        <w:rPr>
          <w:rFonts w:cs="Arial"/>
          <w:szCs w:val="22"/>
        </w:rPr>
        <w:lastRenderedPageBreak/>
        <w:t>standard documentation.</w:t>
      </w:r>
      <w:r w:rsidR="002F0281">
        <w:rPr>
          <w:rFonts w:cs="Arial"/>
          <w:szCs w:val="22"/>
        </w:rPr>
        <w:t xml:space="preserve"> </w:t>
      </w:r>
      <w:r w:rsidR="00900A64">
        <w:rPr>
          <w:rFonts w:cs="Arial"/>
          <w:szCs w:val="22"/>
        </w:rPr>
        <w:t xml:space="preserve">Applicants should refer to the Clinical and variations guidelines for all documentation/data requirements </w:t>
      </w:r>
      <w:r w:rsidR="002F0281">
        <w:rPr>
          <w:rFonts w:cs="Arial"/>
          <w:szCs w:val="22"/>
        </w:rPr>
        <w:t>for SAHPRA’s evaluation pathways.</w:t>
      </w:r>
    </w:p>
    <w:sectPr w:rsidR="0000034F" w:rsidRPr="00900A64" w:rsidSect="002F67B5">
      <w:headerReference w:type="even" r:id="rId9"/>
      <w:headerReference w:type="default" r:id="rId10"/>
      <w:footerReference w:type="default" r:id="rId11"/>
      <w:headerReference w:type="first" r:id="rId12"/>
      <w:footnotePr>
        <w:numFmt w:val="chicago"/>
      </w:footnotePr>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AFBF" w14:textId="77777777" w:rsidR="00A91CD5" w:rsidRDefault="00A91CD5" w:rsidP="007B6270">
      <w:pPr>
        <w:spacing w:line="240" w:lineRule="auto"/>
      </w:pPr>
      <w:r>
        <w:separator/>
      </w:r>
    </w:p>
  </w:endnote>
  <w:endnote w:type="continuationSeparator" w:id="0">
    <w:p w14:paraId="50C5E705" w14:textId="77777777" w:rsidR="00A91CD5" w:rsidRDefault="00A91CD5" w:rsidP="007B6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4159" w14:textId="11486FBD" w:rsidR="00041F5A" w:rsidRPr="002B15A4" w:rsidRDefault="002F7DA2" w:rsidP="008211EC">
    <w:pPr>
      <w:pStyle w:val="Footer"/>
      <w:tabs>
        <w:tab w:val="clear" w:pos="4680"/>
        <w:tab w:val="clear" w:pos="9360"/>
        <w:tab w:val="left" w:pos="5103"/>
        <w:tab w:val="right" w:pos="9639"/>
      </w:tabs>
      <w:rPr>
        <w:rFonts w:ascii="Arial" w:hAnsi="Arial" w:cs="Arial"/>
        <w:noProof/>
        <w:sz w:val="18"/>
        <w:szCs w:val="18"/>
      </w:rPr>
    </w:pPr>
    <w:r>
      <w:rPr>
        <w:rFonts w:ascii="Arial" w:hAnsi="Arial" w:cs="Arial"/>
        <w:b/>
        <w:i/>
        <w:noProof/>
        <w:sz w:val="18"/>
        <w:szCs w:val="16"/>
      </w:rPr>
      <w:t>Clinical cover letter 2019_04_12vF</w:t>
    </w:r>
    <w:r w:rsidR="00041F5A" w:rsidRPr="00F75CA3">
      <w:rPr>
        <w:rFonts w:ascii="Arial" w:hAnsi="Arial" w:cs="Arial"/>
        <w:sz w:val="16"/>
        <w:szCs w:val="16"/>
      </w:rPr>
      <w:tab/>
    </w:r>
    <w:r w:rsidR="001834D1">
      <w:rPr>
        <w:rFonts w:ascii="Arial" w:hAnsi="Arial" w:cs="Arial"/>
        <w:sz w:val="16"/>
        <w:szCs w:val="16"/>
      </w:rPr>
      <w:tab/>
    </w:r>
    <w:r w:rsidR="00041F5A" w:rsidRPr="00F75CA3">
      <w:rPr>
        <w:rFonts w:ascii="Arial" w:hAnsi="Arial" w:cs="Arial"/>
        <w:sz w:val="18"/>
        <w:szCs w:val="18"/>
      </w:rPr>
      <w:t xml:space="preserve">Page </w:t>
    </w:r>
    <w:r w:rsidR="00041F5A" w:rsidRPr="00F75CA3">
      <w:rPr>
        <w:rFonts w:ascii="Arial" w:hAnsi="Arial" w:cs="Arial"/>
        <w:sz w:val="18"/>
        <w:szCs w:val="18"/>
      </w:rPr>
      <w:fldChar w:fldCharType="begin"/>
    </w:r>
    <w:r w:rsidR="00041F5A" w:rsidRPr="00F75CA3">
      <w:rPr>
        <w:rFonts w:ascii="Arial" w:hAnsi="Arial" w:cs="Arial"/>
        <w:sz w:val="18"/>
        <w:szCs w:val="18"/>
      </w:rPr>
      <w:instrText xml:space="preserve"> PAGE   \* MERGEFORMAT </w:instrText>
    </w:r>
    <w:r w:rsidR="00041F5A" w:rsidRPr="00F75CA3">
      <w:rPr>
        <w:rFonts w:ascii="Arial" w:hAnsi="Arial" w:cs="Arial"/>
        <w:sz w:val="18"/>
        <w:szCs w:val="18"/>
      </w:rPr>
      <w:fldChar w:fldCharType="separate"/>
    </w:r>
    <w:r w:rsidR="00E16B31">
      <w:rPr>
        <w:rFonts w:ascii="Arial" w:hAnsi="Arial" w:cs="Arial"/>
        <w:noProof/>
        <w:sz w:val="18"/>
        <w:szCs w:val="18"/>
      </w:rPr>
      <w:t>3</w:t>
    </w:r>
    <w:r w:rsidR="00041F5A" w:rsidRPr="00F75CA3">
      <w:rPr>
        <w:rFonts w:ascii="Arial" w:hAnsi="Arial" w:cs="Arial"/>
        <w:sz w:val="18"/>
        <w:szCs w:val="18"/>
      </w:rPr>
      <w:fldChar w:fldCharType="end"/>
    </w:r>
    <w:r w:rsidR="00041F5A" w:rsidRPr="00F75CA3">
      <w:rPr>
        <w:rFonts w:ascii="Arial" w:hAnsi="Arial" w:cs="Arial"/>
        <w:sz w:val="18"/>
        <w:szCs w:val="18"/>
      </w:rPr>
      <w:t xml:space="preserve"> of </w:t>
    </w:r>
    <w:r w:rsidR="00041F5A">
      <w:rPr>
        <w:rFonts w:ascii="Arial" w:hAnsi="Arial" w:cs="Arial"/>
        <w:noProof/>
        <w:sz w:val="18"/>
        <w:szCs w:val="18"/>
      </w:rPr>
      <w:fldChar w:fldCharType="begin"/>
    </w:r>
    <w:r w:rsidR="00041F5A">
      <w:rPr>
        <w:rFonts w:ascii="Arial" w:hAnsi="Arial" w:cs="Arial"/>
        <w:noProof/>
        <w:sz w:val="18"/>
        <w:szCs w:val="18"/>
      </w:rPr>
      <w:instrText xml:space="preserve"> NUMPAGES   \* MERGEFORMAT </w:instrText>
    </w:r>
    <w:r w:rsidR="00041F5A">
      <w:rPr>
        <w:rFonts w:ascii="Arial" w:hAnsi="Arial" w:cs="Arial"/>
        <w:noProof/>
        <w:sz w:val="18"/>
        <w:szCs w:val="18"/>
      </w:rPr>
      <w:fldChar w:fldCharType="separate"/>
    </w:r>
    <w:r w:rsidR="00E16B31">
      <w:rPr>
        <w:rFonts w:ascii="Arial" w:hAnsi="Arial" w:cs="Arial"/>
        <w:noProof/>
        <w:sz w:val="18"/>
        <w:szCs w:val="18"/>
      </w:rPr>
      <w:t>5</w:t>
    </w:r>
    <w:r w:rsidR="00041F5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E167" w14:textId="77777777" w:rsidR="00A91CD5" w:rsidRDefault="00A91CD5" w:rsidP="007B6270">
      <w:pPr>
        <w:spacing w:line="240" w:lineRule="auto"/>
      </w:pPr>
      <w:r>
        <w:separator/>
      </w:r>
    </w:p>
  </w:footnote>
  <w:footnote w:type="continuationSeparator" w:id="0">
    <w:p w14:paraId="773CCAF7" w14:textId="77777777" w:rsidR="00A91CD5" w:rsidRDefault="00A91CD5" w:rsidP="007B6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3838" w14:textId="34DCA4A9" w:rsidR="009F01C5" w:rsidRDefault="00A91CD5">
    <w:pPr>
      <w:pStyle w:val="Header"/>
    </w:pPr>
    <w:r>
      <w:rPr>
        <w:noProof/>
      </w:rPr>
      <w:pict w14:anchorId="713C6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223501" o:spid="_x0000_s2051" type="#_x0000_t136" alt="" style="position:absolute;margin-left:0;margin-top:0;width:454.55pt;height:181.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6156" w14:textId="01369973" w:rsidR="00302BD9" w:rsidRPr="002F7DA2" w:rsidRDefault="00A91CD5" w:rsidP="002F7DA2">
    <w:pPr>
      <w:pStyle w:val="Header"/>
      <w:tabs>
        <w:tab w:val="right" w:pos="9866"/>
      </w:tabs>
      <w:spacing w:after="240"/>
      <w:rPr>
        <w:rFonts w:ascii="Arial" w:hAnsi="Arial" w:cs="Arial"/>
        <w:b/>
        <w:i/>
        <w:sz w:val="18"/>
        <w:szCs w:val="18"/>
      </w:rPr>
    </w:pPr>
    <w:r>
      <w:rPr>
        <w:noProof/>
        <w:sz w:val="20"/>
        <w:szCs w:val="24"/>
        <w:lang w:val="en-US"/>
      </w:rPr>
      <w:pict w14:anchorId="631CA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781252" o:spid="_x0000_s2050" type="#_x0000_t136" alt="" style="position:absolute;margin-left:0;margin-top:0;width:496.7pt;height:198.6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2F7DA2" w:rsidRPr="001C1E20">
      <w:rPr>
        <w:rFonts w:ascii="Arial" w:hAnsi="Arial" w:cs="Arial"/>
        <w:b/>
        <w:i/>
        <w:sz w:val="18"/>
        <w:szCs w:val="18"/>
      </w:rPr>
      <w:t>Registration of Medicines</w:t>
    </w:r>
    <w:r w:rsidR="002F7DA2" w:rsidRPr="001C1E20">
      <w:rPr>
        <w:rFonts w:ascii="Arial" w:hAnsi="Arial" w:cs="Arial"/>
        <w:b/>
        <w:i/>
        <w:sz w:val="18"/>
        <w:szCs w:val="18"/>
      </w:rPr>
      <w:tab/>
    </w:r>
    <w:r w:rsidR="002F7DA2">
      <w:rPr>
        <w:rFonts w:ascii="Arial" w:hAnsi="Arial" w:cs="Arial"/>
        <w:b/>
        <w:i/>
        <w:sz w:val="18"/>
        <w:szCs w:val="18"/>
      </w:rPr>
      <w:tab/>
      <w:t>Cover Letter on Clinical Guideline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A432" w14:textId="4FD5C812" w:rsidR="009F01C5" w:rsidRDefault="00A91CD5">
    <w:pPr>
      <w:pStyle w:val="Header"/>
    </w:pPr>
    <w:r>
      <w:rPr>
        <w:noProof/>
      </w:rPr>
      <w:pict w14:anchorId="61C7F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223500" o:spid="_x0000_s2049" type="#_x0000_t136" alt="" style="position:absolute;margin-left:0;margin-top:0;width:454.55pt;height:181.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50C11F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245B7"/>
    <w:multiLevelType w:val="hybridMultilevel"/>
    <w:tmpl w:val="81368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96027A"/>
    <w:multiLevelType w:val="hybridMultilevel"/>
    <w:tmpl w:val="4D425EC0"/>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 w15:restartNumberingAfterBreak="0">
    <w:nsid w:val="080C5897"/>
    <w:multiLevelType w:val="hybridMultilevel"/>
    <w:tmpl w:val="6756EAD6"/>
    <w:lvl w:ilvl="0" w:tplc="A9F21692">
      <w:start w:val="1"/>
      <w:numFmt w:val="lowerRoman"/>
      <w:lvlText w:val="(%1)"/>
      <w:lvlJc w:val="left"/>
      <w:pPr>
        <w:tabs>
          <w:tab w:val="num" w:pos="1400"/>
        </w:tabs>
        <w:ind w:left="14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CF0E1F"/>
    <w:multiLevelType w:val="hybridMultilevel"/>
    <w:tmpl w:val="BB94BAD8"/>
    <w:lvl w:ilvl="0" w:tplc="1C090001">
      <w:start w:val="1"/>
      <w:numFmt w:val="bullet"/>
      <w:lvlText w:val=""/>
      <w:lvlJc w:val="left"/>
      <w:pPr>
        <w:ind w:left="1040" w:hanging="360"/>
      </w:pPr>
      <w:rPr>
        <w:rFonts w:ascii="Symbol" w:hAnsi="Symbol" w:hint="default"/>
      </w:rPr>
    </w:lvl>
    <w:lvl w:ilvl="1" w:tplc="1C090003" w:tentative="1">
      <w:start w:val="1"/>
      <w:numFmt w:val="bullet"/>
      <w:lvlText w:val="o"/>
      <w:lvlJc w:val="left"/>
      <w:pPr>
        <w:ind w:left="1760" w:hanging="360"/>
      </w:pPr>
      <w:rPr>
        <w:rFonts w:ascii="Courier New" w:hAnsi="Courier New" w:cs="Courier New" w:hint="default"/>
      </w:rPr>
    </w:lvl>
    <w:lvl w:ilvl="2" w:tplc="1C090005" w:tentative="1">
      <w:start w:val="1"/>
      <w:numFmt w:val="bullet"/>
      <w:lvlText w:val=""/>
      <w:lvlJc w:val="left"/>
      <w:pPr>
        <w:ind w:left="2480" w:hanging="360"/>
      </w:pPr>
      <w:rPr>
        <w:rFonts w:ascii="Wingdings" w:hAnsi="Wingdings" w:hint="default"/>
      </w:rPr>
    </w:lvl>
    <w:lvl w:ilvl="3" w:tplc="1C090001" w:tentative="1">
      <w:start w:val="1"/>
      <w:numFmt w:val="bullet"/>
      <w:lvlText w:val=""/>
      <w:lvlJc w:val="left"/>
      <w:pPr>
        <w:ind w:left="3200" w:hanging="360"/>
      </w:pPr>
      <w:rPr>
        <w:rFonts w:ascii="Symbol" w:hAnsi="Symbol" w:hint="default"/>
      </w:rPr>
    </w:lvl>
    <w:lvl w:ilvl="4" w:tplc="1C090003" w:tentative="1">
      <w:start w:val="1"/>
      <w:numFmt w:val="bullet"/>
      <w:lvlText w:val="o"/>
      <w:lvlJc w:val="left"/>
      <w:pPr>
        <w:ind w:left="3920" w:hanging="360"/>
      </w:pPr>
      <w:rPr>
        <w:rFonts w:ascii="Courier New" w:hAnsi="Courier New" w:cs="Courier New" w:hint="default"/>
      </w:rPr>
    </w:lvl>
    <w:lvl w:ilvl="5" w:tplc="1C090005" w:tentative="1">
      <w:start w:val="1"/>
      <w:numFmt w:val="bullet"/>
      <w:lvlText w:val=""/>
      <w:lvlJc w:val="left"/>
      <w:pPr>
        <w:ind w:left="4640" w:hanging="360"/>
      </w:pPr>
      <w:rPr>
        <w:rFonts w:ascii="Wingdings" w:hAnsi="Wingdings" w:hint="default"/>
      </w:rPr>
    </w:lvl>
    <w:lvl w:ilvl="6" w:tplc="1C090001" w:tentative="1">
      <w:start w:val="1"/>
      <w:numFmt w:val="bullet"/>
      <w:lvlText w:val=""/>
      <w:lvlJc w:val="left"/>
      <w:pPr>
        <w:ind w:left="5360" w:hanging="360"/>
      </w:pPr>
      <w:rPr>
        <w:rFonts w:ascii="Symbol" w:hAnsi="Symbol" w:hint="default"/>
      </w:rPr>
    </w:lvl>
    <w:lvl w:ilvl="7" w:tplc="1C090003" w:tentative="1">
      <w:start w:val="1"/>
      <w:numFmt w:val="bullet"/>
      <w:lvlText w:val="o"/>
      <w:lvlJc w:val="left"/>
      <w:pPr>
        <w:ind w:left="6080" w:hanging="360"/>
      </w:pPr>
      <w:rPr>
        <w:rFonts w:ascii="Courier New" w:hAnsi="Courier New" w:cs="Courier New" w:hint="default"/>
      </w:rPr>
    </w:lvl>
    <w:lvl w:ilvl="8" w:tplc="1C090005" w:tentative="1">
      <w:start w:val="1"/>
      <w:numFmt w:val="bullet"/>
      <w:lvlText w:val=""/>
      <w:lvlJc w:val="left"/>
      <w:pPr>
        <w:ind w:left="6800" w:hanging="360"/>
      </w:pPr>
      <w:rPr>
        <w:rFonts w:ascii="Wingdings" w:hAnsi="Wingdings" w:hint="default"/>
      </w:rPr>
    </w:lvl>
  </w:abstractNum>
  <w:abstractNum w:abstractNumId="5" w15:restartNumberingAfterBreak="0">
    <w:nsid w:val="0A2606CB"/>
    <w:multiLevelType w:val="hybridMultilevel"/>
    <w:tmpl w:val="748475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5266E9"/>
    <w:multiLevelType w:val="hybridMultilevel"/>
    <w:tmpl w:val="8480AF2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0F887D0D"/>
    <w:multiLevelType w:val="multilevel"/>
    <w:tmpl w:val="C846AADC"/>
    <w:name w:val="head"/>
    <w:lvl w:ilvl="0">
      <w:start w:val="1"/>
      <w:numFmt w:val="decimal"/>
      <w:pStyle w:val="Head1"/>
      <w:lvlText w:val="%1"/>
      <w:lvlJc w:val="left"/>
      <w:pPr>
        <w:tabs>
          <w:tab w:val="num" w:pos="720"/>
        </w:tabs>
        <w:ind w:left="720" w:hanging="720"/>
      </w:pPr>
      <w:rPr>
        <w:rFonts w:hint="default"/>
      </w:rPr>
    </w:lvl>
    <w:lvl w:ilvl="1">
      <w:start w:val="1"/>
      <w:numFmt w:val="decimal"/>
      <w:pStyle w:val="Head2"/>
      <w:lvlText w:val="%1.%2"/>
      <w:lvlJc w:val="left"/>
      <w:pPr>
        <w:tabs>
          <w:tab w:val="num" w:pos="720"/>
        </w:tabs>
        <w:ind w:left="720" w:hanging="720"/>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Head4"/>
      <w:lvlText w:val="%1.%2.%3.%4"/>
      <w:lvlJc w:val="left"/>
      <w:pPr>
        <w:tabs>
          <w:tab w:val="num" w:pos="2424"/>
        </w:tabs>
        <w:ind w:left="2280" w:hanging="720"/>
      </w:pPr>
      <w:rPr>
        <w:rFonts w:hint="default"/>
      </w:rPr>
    </w:lvl>
    <w:lvl w:ilvl="4">
      <w:start w:val="1"/>
      <w:numFmt w:val="lowerLetter"/>
      <w:pStyle w:val="Head5"/>
      <w:lvlText w:val="%5)"/>
      <w:lvlJc w:val="left"/>
      <w:pPr>
        <w:tabs>
          <w:tab w:val="num" w:pos="1440"/>
        </w:tabs>
        <w:ind w:left="1440" w:hanging="720"/>
      </w:pPr>
      <w:rPr>
        <w:rFonts w:hint="default"/>
      </w:rPr>
    </w:lvl>
    <w:lvl w:ilvl="5">
      <w:start w:val="1"/>
      <w:numFmt w:val="decimal"/>
      <w:pStyle w:val="Head6"/>
      <w:lvlText w:val="%6"/>
      <w:lvlJc w:val="left"/>
      <w:pPr>
        <w:tabs>
          <w:tab w:val="num" w:pos="1440"/>
        </w:tabs>
        <w:ind w:left="1440" w:hanging="720"/>
      </w:pPr>
      <w:rPr>
        <w:rFonts w:hint="default"/>
      </w:rPr>
    </w:lvl>
    <w:lvl w:ilvl="6">
      <w:start w:val="1"/>
      <w:numFmt w:val="decimal"/>
      <w:pStyle w:val="Head7"/>
      <w:lvlText w:val="%6.%7"/>
      <w:lvlJc w:val="left"/>
      <w:pPr>
        <w:tabs>
          <w:tab w:val="num" w:pos="2160"/>
        </w:tabs>
        <w:ind w:left="2160" w:hanging="720"/>
      </w:pPr>
      <w:rPr>
        <w:rFonts w:hint="default"/>
      </w:rPr>
    </w:lvl>
    <w:lvl w:ilvl="7">
      <w:start w:val="1"/>
      <w:numFmt w:val="decimal"/>
      <w:pStyle w:val="Head8"/>
      <w:lvlText w:val="%8."/>
      <w:lvlJc w:val="left"/>
      <w:pPr>
        <w:tabs>
          <w:tab w:val="num" w:pos="2160"/>
        </w:tabs>
        <w:ind w:left="2160" w:hanging="72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682CB8"/>
    <w:multiLevelType w:val="hybridMultilevel"/>
    <w:tmpl w:val="9E48D2D0"/>
    <w:lvl w:ilvl="0" w:tplc="16CE5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C1F65"/>
    <w:multiLevelType w:val="hybridMultilevel"/>
    <w:tmpl w:val="1A1E5C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224D4C"/>
    <w:multiLevelType w:val="multilevel"/>
    <w:tmpl w:val="51AEED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9C504F"/>
    <w:multiLevelType w:val="hybridMultilevel"/>
    <w:tmpl w:val="3690BB9E"/>
    <w:lvl w:ilvl="0" w:tplc="E5547D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603FA7"/>
    <w:multiLevelType w:val="hybridMultilevel"/>
    <w:tmpl w:val="EF2E6F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AE209B"/>
    <w:multiLevelType w:val="hybridMultilevel"/>
    <w:tmpl w:val="473C27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0AF5C4D"/>
    <w:multiLevelType w:val="hybridMultilevel"/>
    <w:tmpl w:val="B260AFA8"/>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5" w15:restartNumberingAfterBreak="0">
    <w:nsid w:val="3A6750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8B1C2B"/>
    <w:multiLevelType w:val="hybridMultilevel"/>
    <w:tmpl w:val="B5226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34A2A09"/>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403A3E"/>
    <w:multiLevelType w:val="hybridMultilevel"/>
    <w:tmpl w:val="56B0000E"/>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9" w15:restartNumberingAfterBreak="0">
    <w:nsid w:val="49DA68CA"/>
    <w:multiLevelType w:val="hybridMultilevel"/>
    <w:tmpl w:val="50A2A5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B1A79C7"/>
    <w:multiLevelType w:val="hybridMultilevel"/>
    <w:tmpl w:val="7874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C7664"/>
    <w:multiLevelType w:val="hybridMultilevel"/>
    <w:tmpl w:val="F2D80220"/>
    <w:lvl w:ilvl="0" w:tplc="CB60DC60">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C54B9"/>
    <w:multiLevelType w:val="hybridMultilevel"/>
    <w:tmpl w:val="F09C18E2"/>
    <w:lvl w:ilvl="0" w:tplc="1C090001">
      <w:start w:val="1"/>
      <w:numFmt w:val="bullet"/>
      <w:lvlText w:val=""/>
      <w:lvlJc w:val="left"/>
      <w:pPr>
        <w:ind w:left="1040" w:hanging="360"/>
      </w:pPr>
      <w:rPr>
        <w:rFonts w:ascii="Symbol" w:hAnsi="Symbol" w:hint="default"/>
      </w:rPr>
    </w:lvl>
    <w:lvl w:ilvl="1" w:tplc="1C090003" w:tentative="1">
      <w:start w:val="1"/>
      <w:numFmt w:val="bullet"/>
      <w:lvlText w:val="o"/>
      <w:lvlJc w:val="left"/>
      <w:pPr>
        <w:ind w:left="1760" w:hanging="360"/>
      </w:pPr>
      <w:rPr>
        <w:rFonts w:ascii="Courier New" w:hAnsi="Courier New" w:cs="Courier New" w:hint="default"/>
      </w:rPr>
    </w:lvl>
    <w:lvl w:ilvl="2" w:tplc="1C090005" w:tentative="1">
      <w:start w:val="1"/>
      <w:numFmt w:val="bullet"/>
      <w:lvlText w:val=""/>
      <w:lvlJc w:val="left"/>
      <w:pPr>
        <w:ind w:left="2480" w:hanging="360"/>
      </w:pPr>
      <w:rPr>
        <w:rFonts w:ascii="Wingdings" w:hAnsi="Wingdings" w:hint="default"/>
      </w:rPr>
    </w:lvl>
    <w:lvl w:ilvl="3" w:tplc="1C090001" w:tentative="1">
      <w:start w:val="1"/>
      <w:numFmt w:val="bullet"/>
      <w:lvlText w:val=""/>
      <w:lvlJc w:val="left"/>
      <w:pPr>
        <w:ind w:left="3200" w:hanging="360"/>
      </w:pPr>
      <w:rPr>
        <w:rFonts w:ascii="Symbol" w:hAnsi="Symbol" w:hint="default"/>
      </w:rPr>
    </w:lvl>
    <w:lvl w:ilvl="4" w:tplc="1C090003" w:tentative="1">
      <w:start w:val="1"/>
      <w:numFmt w:val="bullet"/>
      <w:lvlText w:val="o"/>
      <w:lvlJc w:val="left"/>
      <w:pPr>
        <w:ind w:left="3920" w:hanging="360"/>
      </w:pPr>
      <w:rPr>
        <w:rFonts w:ascii="Courier New" w:hAnsi="Courier New" w:cs="Courier New" w:hint="default"/>
      </w:rPr>
    </w:lvl>
    <w:lvl w:ilvl="5" w:tplc="1C090005" w:tentative="1">
      <w:start w:val="1"/>
      <w:numFmt w:val="bullet"/>
      <w:lvlText w:val=""/>
      <w:lvlJc w:val="left"/>
      <w:pPr>
        <w:ind w:left="4640" w:hanging="360"/>
      </w:pPr>
      <w:rPr>
        <w:rFonts w:ascii="Wingdings" w:hAnsi="Wingdings" w:hint="default"/>
      </w:rPr>
    </w:lvl>
    <w:lvl w:ilvl="6" w:tplc="1C090001" w:tentative="1">
      <w:start w:val="1"/>
      <w:numFmt w:val="bullet"/>
      <w:lvlText w:val=""/>
      <w:lvlJc w:val="left"/>
      <w:pPr>
        <w:ind w:left="5360" w:hanging="360"/>
      </w:pPr>
      <w:rPr>
        <w:rFonts w:ascii="Symbol" w:hAnsi="Symbol" w:hint="default"/>
      </w:rPr>
    </w:lvl>
    <w:lvl w:ilvl="7" w:tplc="1C090003" w:tentative="1">
      <w:start w:val="1"/>
      <w:numFmt w:val="bullet"/>
      <w:lvlText w:val="o"/>
      <w:lvlJc w:val="left"/>
      <w:pPr>
        <w:ind w:left="6080" w:hanging="360"/>
      </w:pPr>
      <w:rPr>
        <w:rFonts w:ascii="Courier New" w:hAnsi="Courier New" w:cs="Courier New" w:hint="default"/>
      </w:rPr>
    </w:lvl>
    <w:lvl w:ilvl="8" w:tplc="1C090005" w:tentative="1">
      <w:start w:val="1"/>
      <w:numFmt w:val="bullet"/>
      <w:lvlText w:val=""/>
      <w:lvlJc w:val="left"/>
      <w:pPr>
        <w:ind w:left="6800" w:hanging="360"/>
      </w:pPr>
      <w:rPr>
        <w:rFonts w:ascii="Wingdings" w:hAnsi="Wingdings" w:hint="default"/>
      </w:rPr>
    </w:lvl>
  </w:abstractNum>
  <w:abstractNum w:abstractNumId="23" w15:restartNumberingAfterBreak="0">
    <w:nsid w:val="528D284D"/>
    <w:multiLevelType w:val="multilevel"/>
    <w:tmpl w:val="344CBDE6"/>
    <w:styleLink w:val="Reports"/>
    <w:lvl w:ilvl="0">
      <w:start w:val="1"/>
      <w:numFmt w:val="decimal"/>
      <w:lvlText w:val="%1"/>
      <w:lvlJc w:val="left"/>
      <w:pPr>
        <w:ind w:left="0" w:firstLine="0"/>
      </w:pPr>
      <w:rPr>
        <w:rFonts w:ascii="Arial Narrow" w:hAnsi="Arial Narrow" w:hint="default"/>
        <w:sz w:val="22"/>
      </w:rPr>
    </w:lvl>
    <w:lvl w:ilvl="1">
      <w:start w:val="1"/>
      <w:numFmt w:val="decimal"/>
      <w:lvlText w:val="%1.%2"/>
      <w:lvlJc w:val="left"/>
      <w:pPr>
        <w:ind w:left="737" w:hanging="737"/>
      </w:pPr>
      <w:rPr>
        <w:rFonts w:hint="default"/>
      </w:rPr>
    </w:lvl>
    <w:lvl w:ilvl="2">
      <w:start w:val="1"/>
      <w:numFmt w:val="decimal"/>
      <w:lvlText w:val="%1.%2.%3"/>
      <w:lvlJc w:val="left"/>
      <w:pPr>
        <w:ind w:left="0" w:firstLine="0"/>
      </w:pPr>
      <w:rPr>
        <w:rFonts w:ascii="Arial Narrow" w:hAnsi="Arial Narrow" w:hint="default"/>
        <w:sz w:val="22"/>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535644E6"/>
    <w:multiLevelType w:val="hybridMultilevel"/>
    <w:tmpl w:val="1054C1B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C84510"/>
    <w:multiLevelType w:val="hybridMultilevel"/>
    <w:tmpl w:val="02CC8DFE"/>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352FA"/>
    <w:multiLevelType w:val="hybridMultilevel"/>
    <w:tmpl w:val="02CC8DFE"/>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F4D43"/>
    <w:multiLevelType w:val="hybridMultilevel"/>
    <w:tmpl w:val="732A9E44"/>
    <w:lvl w:ilvl="0" w:tplc="2742574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C7DBD"/>
    <w:multiLevelType w:val="hybridMultilevel"/>
    <w:tmpl w:val="80107E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FB1CCA"/>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3B23D6"/>
    <w:multiLevelType w:val="hybridMultilevel"/>
    <w:tmpl w:val="E4F6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32A84"/>
    <w:multiLevelType w:val="hybridMultilevel"/>
    <w:tmpl w:val="046606D2"/>
    <w:lvl w:ilvl="0" w:tplc="F552DD34">
      <w:start w:val="1"/>
      <w:numFmt w:val="decimal"/>
      <w:lvlText w:val="%1."/>
      <w:lvlJc w:val="left"/>
      <w:pPr>
        <w:tabs>
          <w:tab w:val="num" w:pos="360"/>
        </w:tabs>
        <w:ind w:left="360" w:hanging="360"/>
      </w:pPr>
      <w:rPr>
        <w:rFonts w:hint="default"/>
        <w:b/>
        <w:i w:val="0"/>
      </w:rPr>
    </w:lvl>
    <w:lvl w:ilvl="1" w:tplc="ED9035D4">
      <w:start w:val="1"/>
      <w:numFmt w:val="decimal"/>
      <w:lvlText w:val="7.%2."/>
      <w:lvlJc w:val="left"/>
      <w:pPr>
        <w:tabs>
          <w:tab w:val="num" w:pos="720"/>
        </w:tabs>
        <w:ind w:left="720" w:hanging="363"/>
      </w:pPr>
      <w:rPr>
        <w:rFonts w:hint="default"/>
        <w:b/>
        <w:i w:val="0"/>
        <w:color w:val="FF000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58901F1"/>
    <w:multiLevelType w:val="hybridMultilevel"/>
    <w:tmpl w:val="64942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9716F74"/>
    <w:multiLevelType w:val="hybridMultilevel"/>
    <w:tmpl w:val="253A6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0681153"/>
    <w:multiLevelType w:val="hybridMultilevel"/>
    <w:tmpl w:val="71A2B380"/>
    <w:lvl w:ilvl="0" w:tplc="198E9E18">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2DF24A4"/>
    <w:multiLevelType w:val="multilevel"/>
    <w:tmpl w:val="6E44C9A0"/>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ascii="Arial Narrow" w:hAnsi="Arial Narrow"/>
      </w:rPr>
    </w:lvl>
    <w:lvl w:ilvl="3">
      <w:start w:val="1"/>
      <w:numFmt w:val="decimal"/>
      <w:lvlText w:val="%1.%2.%3.%4"/>
      <w:lvlJc w:val="left"/>
      <w:pPr>
        <w:ind w:left="0" w:firstLine="0"/>
      </w:pPr>
      <w:rPr>
        <w:rFonts w:ascii="Arial Narrow" w:hAnsi="Arial Narrow"/>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732C3541"/>
    <w:multiLevelType w:val="hybridMultilevel"/>
    <w:tmpl w:val="59DE0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68764D5"/>
    <w:multiLevelType w:val="hybridMultilevel"/>
    <w:tmpl w:val="DEEA6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99B749A"/>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0378A6"/>
    <w:multiLevelType w:val="hybridMultilevel"/>
    <w:tmpl w:val="973A22F8"/>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13EB5"/>
    <w:multiLevelType w:val="multilevel"/>
    <w:tmpl w:val="1924D6E2"/>
    <w:lvl w:ilvl="0">
      <w:start w:val="1"/>
      <w:numFmt w:val="decimal"/>
      <w:lvlText w:val="%1"/>
      <w:lvlJc w:val="left"/>
      <w:pPr>
        <w:ind w:left="680" w:hanging="680"/>
      </w:pPr>
      <w:rPr>
        <w:rFonts w:ascii="Arial" w:hAnsi="Arial" w:cs="Arial" w:hint="default"/>
        <w:sz w:val="20"/>
        <w:szCs w:val="2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ascii="Arial Narrow" w:hAnsi="Arial Narrow" w:hint="default"/>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5"/>
  </w:num>
  <w:num w:numId="2">
    <w:abstractNumId w:val="23"/>
  </w:num>
  <w:num w:numId="3">
    <w:abstractNumId w:val="0"/>
  </w:num>
  <w:num w:numId="4">
    <w:abstractNumId w:val="27"/>
  </w:num>
  <w:num w:numId="5">
    <w:abstractNumId w:val="27"/>
  </w:num>
  <w:num w:numId="6">
    <w:abstractNumId w:val="27"/>
  </w:num>
  <w:num w:numId="7">
    <w:abstractNumId w:val="40"/>
  </w:num>
  <w:num w:numId="8">
    <w:abstractNumId w:val="40"/>
  </w:num>
  <w:num w:numId="9">
    <w:abstractNumId w:val="40"/>
  </w:num>
  <w:num w:numId="10">
    <w:abstractNumId w:val="40"/>
  </w:num>
  <w:num w:numId="11">
    <w:abstractNumId w:val="40"/>
  </w:num>
  <w:num w:numId="12">
    <w:abstractNumId w:val="15"/>
  </w:num>
  <w:num w:numId="13">
    <w:abstractNumId w:val="31"/>
  </w:num>
  <w:num w:numId="14">
    <w:abstractNumId w:val="18"/>
  </w:num>
  <w:num w:numId="15">
    <w:abstractNumId w:val="2"/>
  </w:num>
  <w:num w:numId="16">
    <w:abstractNumId w:val="14"/>
  </w:num>
  <w:num w:numId="17">
    <w:abstractNumId w:val="21"/>
  </w:num>
  <w:num w:numId="18">
    <w:abstractNumId w:val="25"/>
  </w:num>
  <w:num w:numId="19">
    <w:abstractNumId w:val="26"/>
  </w:num>
  <w:num w:numId="20">
    <w:abstractNumId w:val="39"/>
  </w:num>
  <w:num w:numId="21">
    <w:abstractNumId w:val="30"/>
  </w:num>
  <w:num w:numId="22">
    <w:abstractNumId w:val="29"/>
  </w:num>
  <w:num w:numId="23">
    <w:abstractNumId w:val="38"/>
  </w:num>
  <w:num w:numId="24">
    <w:abstractNumId w:va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num>
  <w:num w:numId="28">
    <w:abstractNumId w:val="6"/>
  </w:num>
  <w:num w:numId="29">
    <w:abstractNumId w:val="5"/>
  </w:num>
  <w:num w:numId="30">
    <w:abstractNumId w:val="20"/>
  </w:num>
  <w:num w:numId="31">
    <w:abstractNumId w:val="13"/>
  </w:num>
  <w:num w:numId="32">
    <w:abstractNumId w:val="28"/>
  </w:num>
  <w:num w:numId="33">
    <w:abstractNumId w:val="12"/>
  </w:num>
  <w:num w:numId="34">
    <w:abstractNumId w:val="32"/>
  </w:num>
  <w:num w:numId="35">
    <w:abstractNumId w:val="10"/>
  </w:num>
  <w:num w:numId="36">
    <w:abstractNumId w:val="34"/>
  </w:num>
  <w:num w:numId="37">
    <w:abstractNumId w:val="11"/>
  </w:num>
  <w:num w:numId="38">
    <w:abstractNumId w:val="36"/>
  </w:num>
  <w:num w:numId="39">
    <w:abstractNumId w:val="33"/>
  </w:num>
  <w:num w:numId="40">
    <w:abstractNumId w:val="37"/>
  </w:num>
  <w:num w:numId="41">
    <w:abstractNumId w:val="16"/>
  </w:num>
  <w:num w:numId="42">
    <w:abstractNumId w:val="9"/>
  </w:num>
  <w:num w:numId="43">
    <w:abstractNumId w:val="22"/>
  </w:num>
  <w:num w:numId="44">
    <w:abstractNumId w:val="4"/>
  </w:num>
  <w:num w:numId="45">
    <w:abstractNumId w:val="1"/>
  </w:num>
  <w:num w:numId="46">
    <w:abstractNumId w:val="19"/>
  </w:num>
  <w:num w:numId="47">
    <w:abstractNumId w:val="2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10"/>
  <w:displayHorizontalDrawingGridEvery w:val="2"/>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70"/>
    <w:rsid w:val="0000034F"/>
    <w:rsid w:val="00004F4D"/>
    <w:rsid w:val="00007647"/>
    <w:rsid w:val="000212E3"/>
    <w:rsid w:val="00022B98"/>
    <w:rsid w:val="0002350A"/>
    <w:rsid w:val="0002724C"/>
    <w:rsid w:val="00033307"/>
    <w:rsid w:val="0003544C"/>
    <w:rsid w:val="000354D9"/>
    <w:rsid w:val="000408E8"/>
    <w:rsid w:val="00041F5A"/>
    <w:rsid w:val="000431EA"/>
    <w:rsid w:val="00046974"/>
    <w:rsid w:val="0004711F"/>
    <w:rsid w:val="00052AAF"/>
    <w:rsid w:val="000538DD"/>
    <w:rsid w:val="00062887"/>
    <w:rsid w:val="0006576F"/>
    <w:rsid w:val="00070F47"/>
    <w:rsid w:val="000731AD"/>
    <w:rsid w:val="000744AA"/>
    <w:rsid w:val="00076F46"/>
    <w:rsid w:val="00092B77"/>
    <w:rsid w:val="000A0A83"/>
    <w:rsid w:val="000A38E5"/>
    <w:rsid w:val="000A41BC"/>
    <w:rsid w:val="000A4422"/>
    <w:rsid w:val="000A52C9"/>
    <w:rsid w:val="000B2CD2"/>
    <w:rsid w:val="000C43E6"/>
    <w:rsid w:val="000C48D4"/>
    <w:rsid w:val="000C58C1"/>
    <w:rsid w:val="000C5D71"/>
    <w:rsid w:val="000D186B"/>
    <w:rsid w:val="000D18A2"/>
    <w:rsid w:val="000E1A88"/>
    <w:rsid w:val="000E1E58"/>
    <w:rsid w:val="000E1FA5"/>
    <w:rsid w:val="000E39D5"/>
    <w:rsid w:val="000F0653"/>
    <w:rsid w:val="000F1E28"/>
    <w:rsid w:val="000F2A3E"/>
    <w:rsid w:val="000F43CF"/>
    <w:rsid w:val="000F61EC"/>
    <w:rsid w:val="000F7DDF"/>
    <w:rsid w:val="00101A41"/>
    <w:rsid w:val="001067E7"/>
    <w:rsid w:val="00113DA5"/>
    <w:rsid w:val="001143CB"/>
    <w:rsid w:val="00114D93"/>
    <w:rsid w:val="00115222"/>
    <w:rsid w:val="00115812"/>
    <w:rsid w:val="00115E4F"/>
    <w:rsid w:val="001228C0"/>
    <w:rsid w:val="00127CE7"/>
    <w:rsid w:val="00127D74"/>
    <w:rsid w:val="00127DDB"/>
    <w:rsid w:val="0013099A"/>
    <w:rsid w:val="001364C8"/>
    <w:rsid w:val="00136AD1"/>
    <w:rsid w:val="00141396"/>
    <w:rsid w:val="00143331"/>
    <w:rsid w:val="0014644B"/>
    <w:rsid w:val="00151B80"/>
    <w:rsid w:val="00154A9F"/>
    <w:rsid w:val="0015798F"/>
    <w:rsid w:val="00162285"/>
    <w:rsid w:val="00165D9E"/>
    <w:rsid w:val="001666FA"/>
    <w:rsid w:val="00170072"/>
    <w:rsid w:val="001707CB"/>
    <w:rsid w:val="00172CDF"/>
    <w:rsid w:val="00172EE4"/>
    <w:rsid w:val="001759C3"/>
    <w:rsid w:val="0018249F"/>
    <w:rsid w:val="001825D5"/>
    <w:rsid w:val="001834D1"/>
    <w:rsid w:val="00185F08"/>
    <w:rsid w:val="00191C65"/>
    <w:rsid w:val="00191DEE"/>
    <w:rsid w:val="00192327"/>
    <w:rsid w:val="001A32FE"/>
    <w:rsid w:val="001D19C7"/>
    <w:rsid w:val="001D2578"/>
    <w:rsid w:val="001D3A17"/>
    <w:rsid w:val="001E0760"/>
    <w:rsid w:val="001E174F"/>
    <w:rsid w:val="001E1F7C"/>
    <w:rsid w:val="001E23BB"/>
    <w:rsid w:val="001F0682"/>
    <w:rsid w:val="001F1ACA"/>
    <w:rsid w:val="001F1E54"/>
    <w:rsid w:val="001F2447"/>
    <w:rsid w:val="001F3336"/>
    <w:rsid w:val="001F40F8"/>
    <w:rsid w:val="001F4FDC"/>
    <w:rsid w:val="001F548D"/>
    <w:rsid w:val="001F613E"/>
    <w:rsid w:val="00202F2C"/>
    <w:rsid w:val="0020332D"/>
    <w:rsid w:val="0021006A"/>
    <w:rsid w:val="00210A53"/>
    <w:rsid w:val="00213455"/>
    <w:rsid w:val="00215160"/>
    <w:rsid w:val="002153F9"/>
    <w:rsid w:val="00216A17"/>
    <w:rsid w:val="00221FC1"/>
    <w:rsid w:val="00222B7D"/>
    <w:rsid w:val="00224B4B"/>
    <w:rsid w:val="00230F9E"/>
    <w:rsid w:val="00235493"/>
    <w:rsid w:val="00235520"/>
    <w:rsid w:val="00235681"/>
    <w:rsid w:val="0023670C"/>
    <w:rsid w:val="00243BD6"/>
    <w:rsid w:val="00247E0B"/>
    <w:rsid w:val="00251C01"/>
    <w:rsid w:val="00253BDA"/>
    <w:rsid w:val="0025557D"/>
    <w:rsid w:val="00257964"/>
    <w:rsid w:val="002639DE"/>
    <w:rsid w:val="00264C21"/>
    <w:rsid w:val="00264F74"/>
    <w:rsid w:val="00265788"/>
    <w:rsid w:val="00270D92"/>
    <w:rsid w:val="00274798"/>
    <w:rsid w:val="00277CDE"/>
    <w:rsid w:val="002851A6"/>
    <w:rsid w:val="002923A2"/>
    <w:rsid w:val="002938C6"/>
    <w:rsid w:val="00295FB4"/>
    <w:rsid w:val="002967F0"/>
    <w:rsid w:val="002A25D8"/>
    <w:rsid w:val="002A4D1B"/>
    <w:rsid w:val="002B15A4"/>
    <w:rsid w:val="002B1A11"/>
    <w:rsid w:val="002B28BE"/>
    <w:rsid w:val="002B48C9"/>
    <w:rsid w:val="002C0591"/>
    <w:rsid w:val="002C0815"/>
    <w:rsid w:val="002C0F4E"/>
    <w:rsid w:val="002C46CD"/>
    <w:rsid w:val="002C570E"/>
    <w:rsid w:val="002C5C58"/>
    <w:rsid w:val="002D0237"/>
    <w:rsid w:val="002D023F"/>
    <w:rsid w:val="002D0677"/>
    <w:rsid w:val="002D1DB0"/>
    <w:rsid w:val="002D5008"/>
    <w:rsid w:val="002D60D6"/>
    <w:rsid w:val="002E1A48"/>
    <w:rsid w:val="002E7F37"/>
    <w:rsid w:val="002F0281"/>
    <w:rsid w:val="002F67B5"/>
    <w:rsid w:val="002F7DA2"/>
    <w:rsid w:val="00301B76"/>
    <w:rsid w:val="00302BD9"/>
    <w:rsid w:val="00303DDF"/>
    <w:rsid w:val="00307573"/>
    <w:rsid w:val="0030781F"/>
    <w:rsid w:val="00327DD1"/>
    <w:rsid w:val="003311B0"/>
    <w:rsid w:val="0033281B"/>
    <w:rsid w:val="00332A51"/>
    <w:rsid w:val="003339C7"/>
    <w:rsid w:val="0033492C"/>
    <w:rsid w:val="00340440"/>
    <w:rsid w:val="00341304"/>
    <w:rsid w:val="00343202"/>
    <w:rsid w:val="003451D2"/>
    <w:rsid w:val="00346534"/>
    <w:rsid w:val="003474D3"/>
    <w:rsid w:val="00347A4B"/>
    <w:rsid w:val="003512A6"/>
    <w:rsid w:val="00351C25"/>
    <w:rsid w:val="00352545"/>
    <w:rsid w:val="00354739"/>
    <w:rsid w:val="00357B0D"/>
    <w:rsid w:val="00364486"/>
    <w:rsid w:val="003644AB"/>
    <w:rsid w:val="00364803"/>
    <w:rsid w:val="00366234"/>
    <w:rsid w:val="00366B09"/>
    <w:rsid w:val="00367DEE"/>
    <w:rsid w:val="00377D52"/>
    <w:rsid w:val="0038067A"/>
    <w:rsid w:val="00384DA8"/>
    <w:rsid w:val="003A2411"/>
    <w:rsid w:val="003A2F7F"/>
    <w:rsid w:val="003A460B"/>
    <w:rsid w:val="003A6FB7"/>
    <w:rsid w:val="003B30D8"/>
    <w:rsid w:val="003C2BD5"/>
    <w:rsid w:val="003C5605"/>
    <w:rsid w:val="003D027A"/>
    <w:rsid w:val="003D3FCD"/>
    <w:rsid w:val="003D5891"/>
    <w:rsid w:val="003E311B"/>
    <w:rsid w:val="003E51F1"/>
    <w:rsid w:val="003E5F44"/>
    <w:rsid w:val="003E6934"/>
    <w:rsid w:val="003F0E5B"/>
    <w:rsid w:val="003F0FAC"/>
    <w:rsid w:val="003F69C5"/>
    <w:rsid w:val="003F6FA4"/>
    <w:rsid w:val="003F7F29"/>
    <w:rsid w:val="00403E64"/>
    <w:rsid w:val="004059D7"/>
    <w:rsid w:val="004069A7"/>
    <w:rsid w:val="00411E34"/>
    <w:rsid w:val="004132FA"/>
    <w:rsid w:val="00413F32"/>
    <w:rsid w:val="004148F8"/>
    <w:rsid w:val="0041494D"/>
    <w:rsid w:val="00414D2A"/>
    <w:rsid w:val="00415AA8"/>
    <w:rsid w:val="004208B5"/>
    <w:rsid w:val="0042138E"/>
    <w:rsid w:val="00422D84"/>
    <w:rsid w:val="0043127C"/>
    <w:rsid w:val="004315B9"/>
    <w:rsid w:val="00431F37"/>
    <w:rsid w:val="00432BC7"/>
    <w:rsid w:val="0044346E"/>
    <w:rsid w:val="0044448D"/>
    <w:rsid w:val="00444EBB"/>
    <w:rsid w:val="00446593"/>
    <w:rsid w:val="004532E0"/>
    <w:rsid w:val="00453E62"/>
    <w:rsid w:val="00455C98"/>
    <w:rsid w:val="00455E75"/>
    <w:rsid w:val="004637B0"/>
    <w:rsid w:val="004704DF"/>
    <w:rsid w:val="004709B4"/>
    <w:rsid w:val="00470A9F"/>
    <w:rsid w:val="00473690"/>
    <w:rsid w:val="004801D7"/>
    <w:rsid w:val="00486D8D"/>
    <w:rsid w:val="00487F7E"/>
    <w:rsid w:val="004964EB"/>
    <w:rsid w:val="004A09E6"/>
    <w:rsid w:val="004A0D6E"/>
    <w:rsid w:val="004A29C5"/>
    <w:rsid w:val="004A5A52"/>
    <w:rsid w:val="004A5F81"/>
    <w:rsid w:val="004A75E4"/>
    <w:rsid w:val="004B30C4"/>
    <w:rsid w:val="004B6712"/>
    <w:rsid w:val="004B7A74"/>
    <w:rsid w:val="004C374B"/>
    <w:rsid w:val="004C3E71"/>
    <w:rsid w:val="004C5F6E"/>
    <w:rsid w:val="004C72F8"/>
    <w:rsid w:val="004D130C"/>
    <w:rsid w:val="004D17DD"/>
    <w:rsid w:val="004D53DA"/>
    <w:rsid w:val="004D5B2B"/>
    <w:rsid w:val="004E4D56"/>
    <w:rsid w:val="004E501E"/>
    <w:rsid w:val="004F4D0F"/>
    <w:rsid w:val="004F4E40"/>
    <w:rsid w:val="00501A82"/>
    <w:rsid w:val="00502332"/>
    <w:rsid w:val="005049F5"/>
    <w:rsid w:val="005135E8"/>
    <w:rsid w:val="0051378C"/>
    <w:rsid w:val="005159FD"/>
    <w:rsid w:val="00520F76"/>
    <w:rsid w:val="005247F1"/>
    <w:rsid w:val="00526944"/>
    <w:rsid w:val="00530A02"/>
    <w:rsid w:val="00531F42"/>
    <w:rsid w:val="00532F30"/>
    <w:rsid w:val="00537EF4"/>
    <w:rsid w:val="00537F3E"/>
    <w:rsid w:val="005429F9"/>
    <w:rsid w:val="00543E01"/>
    <w:rsid w:val="00550492"/>
    <w:rsid w:val="00553FE2"/>
    <w:rsid w:val="00554A45"/>
    <w:rsid w:val="00555341"/>
    <w:rsid w:val="00557222"/>
    <w:rsid w:val="00567629"/>
    <w:rsid w:val="00567DC2"/>
    <w:rsid w:val="00575589"/>
    <w:rsid w:val="0057792A"/>
    <w:rsid w:val="00583E02"/>
    <w:rsid w:val="00584D3A"/>
    <w:rsid w:val="00591C3D"/>
    <w:rsid w:val="00594813"/>
    <w:rsid w:val="00595CCF"/>
    <w:rsid w:val="005A0931"/>
    <w:rsid w:val="005A18DC"/>
    <w:rsid w:val="005A422C"/>
    <w:rsid w:val="005A56BA"/>
    <w:rsid w:val="005A5766"/>
    <w:rsid w:val="005B096C"/>
    <w:rsid w:val="005B231A"/>
    <w:rsid w:val="005B57B8"/>
    <w:rsid w:val="005B7273"/>
    <w:rsid w:val="005C4522"/>
    <w:rsid w:val="005C4E47"/>
    <w:rsid w:val="005C59CD"/>
    <w:rsid w:val="005D6222"/>
    <w:rsid w:val="005E041F"/>
    <w:rsid w:val="005E182B"/>
    <w:rsid w:val="005E34E5"/>
    <w:rsid w:val="005E3A77"/>
    <w:rsid w:val="005E45A7"/>
    <w:rsid w:val="005E6870"/>
    <w:rsid w:val="005F2618"/>
    <w:rsid w:val="005F7E7F"/>
    <w:rsid w:val="00600263"/>
    <w:rsid w:val="006007BE"/>
    <w:rsid w:val="006014BE"/>
    <w:rsid w:val="006055A3"/>
    <w:rsid w:val="006056AE"/>
    <w:rsid w:val="006100CC"/>
    <w:rsid w:val="00613426"/>
    <w:rsid w:val="00613DC9"/>
    <w:rsid w:val="00614D9A"/>
    <w:rsid w:val="00615DCD"/>
    <w:rsid w:val="00620D38"/>
    <w:rsid w:val="006264CF"/>
    <w:rsid w:val="0062656C"/>
    <w:rsid w:val="00630287"/>
    <w:rsid w:val="00633315"/>
    <w:rsid w:val="0063716C"/>
    <w:rsid w:val="00637DCA"/>
    <w:rsid w:val="00641857"/>
    <w:rsid w:val="00641B80"/>
    <w:rsid w:val="00646EEF"/>
    <w:rsid w:val="006515D2"/>
    <w:rsid w:val="006646A0"/>
    <w:rsid w:val="006657C1"/>
    <w:rsid w:val="00665EBC"/>
    <w:rsid w:val="0066660B"/>
    <w:rsid w:val="00676409"/>
    <w:rsid w:val="00676B6D"/>
    <w:rsid w:val="00676D3C"/>
    <w:rsid w:val="006845B4"/>
    <w:rsid w:val="00687435"/>
    <w:rsid w:val="0069293F"/>
    <w:rsid w:val="00692EC7"/>
    <w:rsid w:val="00694EEC"/>
    <w:rsid w:val="00694F2E"/>
    <w:rsid w:val="00694FFE"/>
    <w:rsid w:val="006A016B"/>
    <w:rsid w:val="006A20A9"/>
    <w:rsid w:val="006A2980"/>
    <w:rsid w:val="006A2C76"/>
    <w:rsid w:val="006A4768"/>
    <w:rsid w:val="006A59E9"/>
    <w:rsid w:val="006B4DF1"/>
    <w:rsid w:val="006B4F3E"/>
    <w:rsid w:val="006C1976"/>
    <w:rsid w:val="006C3F81"/>
    <w:rsid w:val="006D2643"/>
    <w:rsid w:val="006D2BC8"/>
    <w:rsid w:val="006E2D94"/>
    <w:rsid w:val="006E568F"/>
    <w:rsid w:val="006E6A95"/>
    <w:rsid w:val="006E7192"/>
    <w:rsid w:val="006F2BEE"/>
    <w:rsid w:val="006F573E"/>
    <w:rsid w:val="00702A50"/>
    <w:rsid w:val="007076D4"/>
    <w:rsid w:val="00710551"/>
    <w:rsid w:val="00710A76"/>
    <w:rsid w:val="0071152D"/>
    <w:rsid w:val="00721704"/>
    <w:rsid w:val="007239FF"/>
    <w:rsid w:val="0072403B"/>
    <w:rsid w:val="007248DF"/>
    <w:rsid w:val="0072740B"/>
    <w:rsid w:val="0073013F"/>
    <w:rsid w:val="0073130E"/>
    <w:rsid w:val="00735AF8"/>
    <w:rsid w:val="00742B9D"/>
    <w:rsid w:val="00743C87"/>
    <w:rsid w:val="00745EF4"/>
    <w:rsid w:val="00746A45"/>
    <w:rsid w:val="007543C1"/>
    <w:rsid w:val="0075662B"/>
    <w:rsid w:val="007577EA"/>
    <w:rsid w:val="00764D28"/>
    <w:rsid w:val="00766245"/>
    <w:rsid w:val="00770527"/>
    <w:rsid w:val="00773179"/>
    <w:rsid w:val="00775335"/>
    <w:rsid w:val="00775F82"/>
    <w:rsid w:val="007762E3"/>
    <w:rsid w:val="00790E89"/>
    <w:rsid w:val="0079205B"/>
    <w:rsid w:val="007939B9"/>
    <w:rsid w:val="00793FEE"/>
    <w:rsid w:val="007A14F6"/>
    <w:rsid w:val="007A1CFD"/>
    <w:rsid w:val="007A3726"/>
    <w:rsid w:val="007A6191"/>
    <w:rsid w:val="007A6A5A"/>
    <w:rsid w:val="007B193A"/>
    <w:rsid w:val="007B25DC"/>
    <w:rsid w:val="007B319B"/>
    <w:rsid w:val="007B4316"/>
    <w:rsid w:val="007B5DE8"/>
    <w:rsid w:val="007B6270"/>
    <w:rsid w:val="007C0337"/>
    <w:rsid w:val="007C5638"/>
    <w:rsid w:val="007C6091"/>
    <w:rsid w:val="007C7172"/>
    <w:rsid w:val="007C7608"/>
    <w:rsid w:val="007D0227"/>
    <w:rsid w:val="007D466A"/>
    <w:rsid w:val="007E3471"/>
    <w:rsid w:val="007E3CA9"/>
    <w:rsid w:val="007F1AD6"/>
    <w:rsid w:val="007F2EF5"/>
    <w:rsid w:val="007F48BC"/>
    <w:rsid w:val="00801576"/>
    <w:rsid w:val="00801FEC"/>
    <w:rsid w:val="00804BB9"/>
    <w:rsid w:val="0080572A"/>
    <w:rsid w:val="008065C5"/>
    <w:rsid w:val="0081241B"/>
    <w:rsid w:val="00813232"/>
    <w:rsid w:val="00813537"/>
    <w:rsid w:val="00816FE5"/>
    <w:rsid w:val="008211EC"/>
    <w:rsid w:val="0082207C"/>
    <w:rsid w:val="008240D3"/>
    <w:rsid w:val="00826042"/>
    <w:rsid w:val="008277B8"/>
    <w:rsid w:val="0083033E"/>
    <w:rsid w:val="0083105C"/>
    <w:rsid w:val="00836DB2"/>
    <w:rsid w:val="00842B02"/>
    <w:rsid w:val="00844A8B"/>
    <w:rsid w:val="00845BC1"/>
    <w:rsid w:val="00852FE4"/>
    <w:rsid w:val="008551CE"/>
    <w:rsid w:val="00855DB0"/>
    <w:rsid w:val="008571A9"/>
    <w:rsid w:val="00863E9B"/>
    <w:rsid w:val="00864C9E"/>
    <w:rsid w:val="008663DC"/>
    <w:rsid w:val="00883041"/>
    <w:rsid w:val="00883679"/>
    <w:rsid w:val="00886996"/>
    <w:rsid w:val="00887937"/>
    <w:rsid w:val="00893C6B"/>
    <w:rsid w:val="00895191"/>
    <w:rsid w:val="008A3C99"/>
    <w:rsid w:val="008A7D9C"/>
    <w:rsid w:val="008A7E89"/>
    <w:rsid w:val="008B2565"/>
    <w:rsid w:val="008B2BBE"/>
    <w:rsid w:val="008B4BB8"/>
    <w:rsid w:val="008B7D4E"/>
    <w:rsid w:val="008C03FE"/>
    <w:rsid w:val="008C49C4"/>
    <w:rsid w:val="008C6765"/>
    <w:rsid w:val="008C769D"/>
    <w:rsid w:val="008D2F98"/>
    <w:rsid w:val="008E28F1"/>
    <w:rsid w:val="008E4978"/>
    <w:rsid w:val="008E4D54"/>
    <w:rsid w:val="008F06CB"/>
    <w:rsid w:val="008F4D56"/>
    <w:rsid w:val="008F6F39"/>
    <w:rsid w:val="008F75FB"/>
    <w:rsid w:val="00900A64"/>
    <w:rsid w:val="00900C2F"/>
    <w:rsid w:val="00900E7A"/>
    <w:rsid w:val="0090510C"/>
    <w:rsid w:val="00916214"/>
    <w:rsid w:val="009217E0"/>
    <w:rsid w:val="009378AB"/>
    <w:rsid w:val="00937D36"/>
    <w:rsid w:val="00943D99"/>
    <w:rsid w:val="00945EA0"/>
    <w:rsid w:val="00946CA0"/>
    <w:rsid w:val="00947C73"/>
    <w:rsid w:val="009516A7"/>
    <w:rsid w:val="00951A7E"/>
    <w:rsid w:val="00953E01"/>
    <w:rsid w:val="009573A8"/>
    <w:rsid w:val="00957EBB"/>
    <w:rsid w:val="00965851"/>
    <w:rsid w:val="009712EA"/>
    <w:rsid w:val="009721FB"/>
    <w:rsid w:val="00973E0D"/>
    <w:rsid w:val="00975308"/>
    <w:rsid w:val="00975D6A"/>
    <w:rsid w:val="009776BE"/>
    <w:rsid w:val="009844DD"/>
    <w:rsid w:val="009851AE"/>
    <w:rsid w:val="00985DA9"/>
    <w:rsid w:val="00990DE7"/>
    <w:rsid w:val="00991539"/>
    <w:rsid w:val="00992071"/>
    <w:rsid w:val="00993157"/>
    <w:rsid w:val="009A17F7"/>
    <w:rsid w:val="009A3532"/>
    <w:rsid w:val="009B2EE0"/>
    <w:rsid w:val="009C3A30"/>
    <w:rsid w:val="009C506E"/>
    <w:rsid w:val="009C74CD"/>
    <w:rsid w:val="009D21CF"/>
    <w:rsid w:val="009D24ED"/>
    <w:rsid w:val="009E0DCB"/>
    <w:rsid w:val="009E357E"/>
    <w:rsid w:val="009E428B"/>
    <w:rsid w:val="009E700C"/>
    <w:rsid w:val="009E7A35"/>
    <w:rsid w:val="009E7C6C"/>
    <w:rsid w:val="009F01C5"/>
    <w:rsid w:val="009F50B2"/>
    <w:rsid w:val="009F53B3"/>
    <w:rsid w:val="009F7FBA"/>
    <w:rsid w:val="00A0306E"/>
    <w:rsid w:val="00A0361B"/>
    <w:rsid w:val="00A043CA"/>
    <w:rsid w:val="00A07EAC"/>
    <w:rsid w:val="00A10FDD"/>
    <w:rsid w:val="00A124C9"/>
    <w:rsid w:val="00A13E37"/>
    <w:rsid w:val="00A17385"/>
    <w:rsid w:val="00A21834"/>
    <w:rsid w:val="00A22DA6"/>
    <w:rsid w:val="00A35D67"/>
    <w:rsid w:val="00A44A2E"/>
    <w:rsid w:val="00A44C2A"/>
    <w:rsid w:val="00A51B61"/>
    <w:rsid w:val="00A5250D"/>
    <w:rsid w:val="00A54C9F"/>
    <w:rsid w:val="00A655C6"/>
    <w:rsid w:val="00A65F67"/>
    <w:rsid w:val="00A72C0D"/>
    <w:rsid w:val="00A736BA"/>
    <w:rsid w:val="00A9096B"/>
    <w:rsid w:val="00A90A9A"/>
    <w:rsid w:val="00A90E47"/>
    <w:rsid w:val="00A91CD5"/>
    <w:rsid w:val="00A9788F"/>
    <w:rsid w:val="00AA0F11"/>
    <w:rsid w:val="00AA454A"/>
    <w:rsid w:val="00AA6702"/>
    <w:rsid w:val="00AB0ABB"/>
    <w:rsid w:val="00AB237C"/>
    <w:rsid w:val="00AB30A6"/>
    <w:rsid w:val="00AB4747"/>
    <w:rsid w:val="00AB75B3"/>
    <w:rsid w:val="00AC6D0C"/>
    <w:rsid w:val="00AD69EB"/>
    <w:rsid w:val="00AE15BE"/>
    <w:rsid w:val="00AE2FD9"/>
    <w:rsid w:val="00AE4ECF"/>
    <w:rsid w:val="00AF30F3"/>
    <w:rsid w:val="00B00011"/>
    <w:rsid w:val="00B01F05"/>
    <w:rsid w:val="00B054E4"/>
    <w:rsid w:val="00B05F29"/>
    <w:rsid w:val="00B06A0E"/>
    <w:rsid w:val="00B11E2D"/>
    <w:rsid w:val="00B17EA8"/>
    <w:rsid w:val="00B2037F"/>
    <w:rsid w:val="00B2458E"/>
    <w:rsid w:val="00B342C2"/>
    <w:rsid w:val="00B363F6"/>
    <w:rsid w:val="00B40F6E"/>
    <w:rsid w:val="00B43D60"/>
    <w:rsid w:val="00B51630"/>
    <w:rsid w:val="00B51A2C"/>
    <w:rsid w:val="00B529F6"/>
    <w:rsid w:val="00B60788"/>
    <w:rsid w:val="00B72776"/>
    <w:rsid w:val="00B742BA"/>
    <w:rsid w:val="00B742F0"/>
    <w:rsid w:val="00B810E8"/>
    <w:rsid w:val="00B84E5B"/>
    <w:rsid w:val="00B852B8"/>
    <w:rsid w:val="00B85FD4"/>
    <w:rsid w:val="00B87269"/>
    <w:rsid w:val="00B93C65"/>
    <w:rsid w:val="00B9469F"/>
    <w:rsid w:val="00B95B28"/>
    <w:rsid w:val="00BA115E"/>
    <w:rsid w:val="00BA2330"/>
    <w:rsid w:val="00BA4863"/>
    <w:rsid w:val="00BA7279"/>
    <w:rsid w:val="00BA7B4E"/>
    <w:rsid w:val="00BB03F3"/>
    <w:rsid w:val="00BB32AE"/>
    <w:rsid w:val="00BB38DD"/>
    <w:rsid w:val="00BB447D"/>
    <w:rsid w:val="00BB60F0"/>
    <w:rsid w:val="00BB7457"/>
    <w:rsid w:val="00BC0114"/>
    <w:rsid w:val="00BC1572"/>
    <w:rsid w:val="00BC1A0E"/>
    <w:rsid w:val="00BC1F23"/>
    <w:rsid w:val="00BC404E"/>
    <w:rsid w:val="00BC46DD"/>
    <w:rsid w:val="00BC6602"/>
    <w:rsid w:val="00BC6C4D"/>
    <w:rsid w:val="00BC6F34"/>
    <w:rsid w:val="00BE7C95"/>
    <w:rsid w:val="00BE7D71"/>
    <w:rsid w:val="00BE7E31"/>
    <w:rsid w:val="00BF2B54"/>
    <w:rsid w:val="00BF55C9"/>
    <w:rsid w:val="00BF7E35"/>
    <w:rsid w:val="00C0288E"/>
    <w:rsid w:val="00C0408B"/>
    <w:rsid w:val="00C12069"/>
    <w:rsid w:val="00C23CFA"/>
    <w:rsid w:val="00C27501"/>
    <w:rsid w:val="00C3649F"/>
    <w:rsid w:val="00C40A70"/>
    <w:rsid w:val="00C41C90"/>
    <w:rsid w:val="00C43992"/>
    <w:rsid w:val="00C4607C"/>
    <w:rsid w:val="00C470C2"/>
    <w:rsid w:val="00C47A1D"/>
    <w:rsid w:val="00C47B4A"/>
    <w:rsid w:val="00C47C61"/>
    <w:rsid w:val="00C505D0"/>
    <w:rsid w:val="00C55485"/>
    <w:rsid w:val="00C56E16"/>
    <w:rsid w:val="00C57496"/>
    <w:rsid w:val="00C5784B"/>
    <w:rsid w:val="00C74A47"/>
    <w:rsid w:val="00C82B8F"/>
    <w:rsid w:val="00C864C9"/>
    <w:rsid w:val="00C8656E"/>
    <w:rsid w:val="00C865BF"/>
    <w:rsid w:val="00C92440"/>
    <w:rsid w:val="00C938CF"/>
    <w:rsid w:val="00CA3309"/>
    <w:rsid w:val="00CA642C"/>
    <w:rsid w:val="00CB77D7"/>
    <w:rsid w:val="00CC7290"/>
    <w:rsid w:val="00CD2261"/>
    <w:rsid w:val="00CD2F6C"/>
    <w:rsid w:val="00CD5840"/>
    <w:rsid w:val="00CD5E1E"/>
    <w:rsid w:val="00CD777D"/>
    <w:rsid w:val="00CD79F1"/>
    <w:rsid w:val="00CE0288"/>
    <w:rsid w:val="00CE3222"/>
    <w:rsid w:val="00CE5A2B"/>
    <w:rsid w:val="00CF5342"/>
    <w:rsid w:val="00CF76FC"/>
    <w:rsid w:val="00D03A66"/>
    <w:rsid w:val="00D10F8D"/>
    <w:rsid w:val="00D14506"/>
    <w:rsid w:val="00D15F97"/>
    <w:rsid w:val="00D1633C"/>
    <w:rsid w:val="00D2020D"/>
    <w:rsid w:val="00D2032D"/>
    <w:rsid w:val="00D20BDD"/>
    <w:rsid w:val="00D24CB7"/>
    <w:rsid w:val="00D30630"/>
    <w:rsid w:val="00D3444D"/>
    <w:rsid w:val="00D346F2"/>
    <w:rsid w:val="00D366B9"/>
    <w:rsid w:val="00D452E8"/>
    <w:rsid w:val="00D45525"/>
    <w:rsid w:val="00D50D5C"/>
    <w:rsid w:val="00D55E7E"/>
    <w:rsid w:val="00D574AF"/>
    <w:rsid w:val="00D6095F"/>
    <w:rsid w:val="00D60A10"/>
    <w:rsid w:val="00D61E58"/>
    <w:rsid w:val="00D67A0A"/>
    <w:rsid w:val="00D7056B"/>
    <w:rsid w:val="00D727A2"/>
    <w:rsid w:val="00D778B4"/>
    <w:rsid w:val="00D80B4C"/>
    <w:rsid w:val="00D81775"/>
    <w:rsid w:val="00D81DB4"/>
    <w:rsid w:val="00D846F5"/>
    <w:rsid w:val="00D85775"/>
    <w:rsid w:val="00D85928"/>
    <w:rsid w:val="00D96CDE"/>
    <w:rsid w:val="00D97548"/>
    <w:rsid w:val="00DA0111"/>
    <w:rsid w:val="00DA1809"/>
    <w:rsid w:val="00DA4C7E"/>
    <w:rsid w:val="00DB3E11"/>
    <w:rsid w:val="00DB4C5E"/>
    <w:rsid w:val="00DB61FE"/>
    <w:rsid w:val="00DB63F5"/>
    <w:rsid w:val="00DC4504"/>
    <w:rsid w:val="00DD082B"/>
    <w:rsid w:val="00DD2D35"/>
    <w:rsid w:val="00DD46BA"/>
    <w:rsid w:val="00DD5B2A"/>
    <w:rsid w:val="00DD62C6"/>
    <w:rsid w:val="00DE0692"/>
    <w:rsid w:val="00DE48E2"/>
    <w:rsid w:val="00DF4136"/>
    <w:rsid w:val="00DF6189"/>
    <w:rsid w:val="00E07A18"/>
    <w:rsid w:val="00E14013"/>
    <w:rsid w:val="00E14FAA"/>
    <w:rsid w:val="00E16B31"/>
    <w:rsid w:val="00E20F1E"/>
    <w:rsid w:val="00E21CB9"/>
    <w:rsid w:val="00E2207C"/>
    <w:rsid w:val="00E273C4"/>
    <w:rsid w:val="00E33ACD"/>
    <w:rsid w:val="00E34ECB"/>
    <w:rsid w:val="00E42386"/>
    <w:rsid w:val="00E4590F"/>
    <w:rsid w:val="00E52DC0"/>
    <w:rsid w:val="00E56863"/>
    <w:rsid w:val="00E60696"/>
    <w:rsid w:val="00E61183"/>
    <w:rsid w:val="00E611E2"/>
    <w:rsid w:val="00E635E6"/>
    <w:rsid w:val="00E712FC"/>
    <w:rsid w:val="00E73960"/>
    <w:rsid w:val="00E80135"/>
    <w:rsid w:val="00E81497"/>
    <w:rsid w:val="00E84044"/>
    <w:rsid w:val="00E866AF"/>
    <w:rsid w:val="00E92811"/>
    <w:rsid w:val="00E931B6"/>
    <w:rsid w:val="00E968E7"/>
    <w:rsid w:val="00EB2B9F"/>
    <w:rsid w:val="00EB2F59"/>
    <w:rsid w:val="00EB3BDA"/>
    <w:rsid w:val="00EB6F42"/>
    <w:rsid w:val="00EB79BE"/>
    <w:rsid w:val="00EC0DAD"/>
    <w:rsid w:val="00EC1CC0"/>
    <w:rsid w:val="00EC390E"/>
    <w:rsid w:val="00EC4388"/>
    <w:rsid w:val="00EC68AC"/>
    <w:rsid w:val="00EC6E50"/>
    <w:rsid w:val="00EC78A5"/>
    <w:rsid w:val="00ED22F9"/>
    <w:rsid w:val="00ED3AAC"/>
    <w:rsid w:val="00ED441A"/>
    <w:rsid w:val="00EE3E57"/>
    <w:rsid w:val="00EF28D7"/>
    <w:rsid w:val="00EF4728"/>
    <w:rsid w:val="00EF58A7"/>
    <w:rsid w:val="00EF5EFD"/>
    <w:rsid w:val="00F0376E"/>
    <w:rsid w:val="00F1229A"/>
    <w:rsid w:val="00F12721"/>
    <w:rsid w:val="00F13161"/>
    <w:rsid w:val="00F175FA"/>
    <w:rsid w:val="00F208AB"/>
    <w:rsid w:val="00F21F8F"/>
    <w:rsid w:val="00F3182F"/>
    <w:rsid w:val="00F32379"/>
    <w:rsid w:val="00F33B44"/>
    <w:rsid w:val="00F36E8A"/>
    <w:rsid w:val="00F3706C"/>
    <w:rsid w:val="00F40E06"/>
    <w:rsid w:val="00F418FB"/>
    <w:rsid w:val="00F51FEB"/>
    <w:rsid w:val="00F54A05"/>
    <w:rsid w:val="00F5575B"/>
    <w:rsid w:val="00F6158B"/>
    <w:rsid w:val="00F662D8"/>
    <w:rsid w:val="00F67D71"/>
    <w:rsid w:val="00F75CA3"/>
    <w:rsid w:val="00F763AC"/>
    <w:rsid w:val="00F9107D"/>
    <w:rsid w:val="00F910D0"/>
    <w:rsid w:val="00F9659D"/>
    <w:rsid w:val="00F97683"/>
    <w:rsid w:val="00FA0EA8"/>
    <w:rsid w:val="00FA22CA"/>
    <w:rsid w:val="00FA4A17"/>
    <w:rsid w:val="00FA515D"/>
    <w:rsid w:val="00FB1A2D"/>
    <w:rsid w:val="00FB4A71"/>
    <w:rsid w:val="00FB56C8"/>
    <w:rsid w:val="00FC0389"/>
    <w:rsid w:val="00FC096D"/>
    <w:rsid w:val="00FC4CCF"/>
    <w:rsid w:val="00FC5E82"/>
    <w:rsid w:val="00FD0DC9"/>
    <w:rsid w:val="00FE0474"/>
    <w:rsid w:val="00FE0F02"/>
    <w:rsid w:val="00FE1C0B"/>
    <w:rsid w:val="00FE2419"/>
    <w:rsid w:val="00FE3F8E"/>
    <w:rsid w:val="00FF1982"/>
    <w:rsid w:val="00FF4B06"/>
    <w:rsid w:val="00FF77B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F1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B7"/>
    <w:pPr>
      <w:spacing w:line="280" w:lineRule="atLeast"/>
    </w:pPr>
    <w:rPr>
      <w:rFonts w:ascii="Arial" w:eastAsia="Times New Roman" w:hAnsi="Arial"/>
      <w:sz w:val="22"/>
      <w:lang w:val="en-GB" w:eastAsia="en-US"/>
    </w:rPr>
  </w:style>
  <w:style w:type="paragraph" w:styleId="Heading1">
    <w:name w:val="heading 1"/>
    <w:basedOn w:val="Normal"/>
    <w:next w:val="Normal"/>
    <w:link w:val="Heading1Char"/>
    <w:uiPriority w:val="9"/>
    <w:qFormat/>
    <w:rsid w:val="009378AB"/>
    <w:pPr>
      <w:tabs>
        <w:tab w:val="left" w:pos="567"/>
      </w:tabs>
      <w:spacing w:before="180"/>
      <w:ind w:left="567" w:hanging="567"/>
      <w:outlineLvl w:val="0"/>
    </w:pPr>
    <w:rPr>
      <w:b/>
      <w:bCs/>
      <w:sz w:val="24"/>
      <w:szCs w:val="28"/>
    </w:rPr>
  </w:style>
  <w:style w:type="paragraph" w:styleId="Heading2">
    <w:name w:val="heading 2"/>
    <w:basedOn w:val="Normal"/>
    <w:next w:val="Normal"/>
    <w:link w:val="Heading2Char"/>
    <w:uiPriority w:val="9"/>
    <w:qFormat/>
    <w:rsid w:val="009378AB"/>
    <w:pPr>
      <w:keepNext/>
      <w:tabs>
        <w:tab w:val="left" w:pos="567"/>
      </w:tabs>
      <w:spacing w:before="120" w:after="120"/>
      <w:outlineLvl w:val="1"/>
    </w:pPr>
    <w:rPr>
      <w:b/>
      <w:bCs/>
      <w:iCs/>
      <w:szCs w:val="28"/>
    </w:rPr>
  </w:style>
  <w:style w:type="paragraph" w:styleId="Heading3">
    <w:name w:val="heading 3"/>
    <w:basedOn w:val="Normal"/>
    <w:next w:val="Normal"/>
    <w:link w:val="Heading3Char"/>
    <w:uiPriority w:val="9"/>
    <w:qFormat/>
    <w:rsid w:val="009378AB"/>
    <w:pPr>
      <w:tabs>
        <w:tab w:val="left" w:pos="680"/>
      </w:tabs>
      <w:spacing w:before="120" w:after="120"/>
      <w:outlineLvl w:val="2"/>
    </w:pPr>
    <w:rPr>
      <w:rFonts w:ascii="Arial Bold" w:hAnsi="Arial Bold"/>
      <w:b/>
      <w:bCs/>
    </w:rPr>
  </w:style>
  <w:style w:type="paragraph" w:styleId="Heading4">
    <w:name w:val="heading 4"/>
    <w:basedOn w:val="Normal"/>
    <w:next w:val="Normal"/>
    <w:link w:val="Heading4Char"/>
    <w:uiPriority w:val="9"/>
    <w:qFormat/>
    <w:rsid w:val="00343202"/>
    <w:pPr>
      <w:spacing w:before="200"/>
      <w:outlineLvl w:val="3"/>
    </w:pPr>
    <w:rPr>
      <w:rFonts w:ascii="Cambria" w:hAnsi="Cambria"/>
      <w:b/>
      <w:bCs/>
      <w:i/>
      <w:iCs/>
      <w:sz w:val="20"/>
    </w:rPr>
  </w:style>
  <w:style w:type="paragraph" w:styleId="Heading5">
    <w:name w:val="heading 5"/>
    <w:basedOn w:val="Normal"/>
    <w:next w:val="Normal"/>
    <w:link w:val="Heading5Char"/>
    <w:uiPriority w:val="9"/>
    <w:qFormat/>
    <w:rsid w:val="00343202"/>
    <w:pPr>
      <w:spacing w:before="200"/>
      <w:outlineLvl w:val="4"/>
    </w:pPr>
    <w:rPr>
      <w:rFonts w:ascii="Cambria" w:hAnsi="Cambria"/>
      <w:b/>
      <w:bCs/>
      <w:color w:val="7F7F7F"/>
      <w:sz w:val="20"/>
    </w:rPr>
  </w:style>
  <w:style w:type="paragraph" w:styleId="Heading6">
    <w:name w:val="heading 6"/>
    <w:basedOn w:val="Normal"/>
    <w:next w:val="Normal"/>
    <w:link w:val="Heading6Char"/>
    <w:uiPriority w:val="9"/>
    <w:qFormat/>
    <w:rsid w:val="00343202"/>
    <w:pPr>
      <w:spacing w:line="271" w:lineRule="auto"/>
      <w:outlineLvl w:val="5"/>
    </w:pPr>
    <w:rPr>
      <w:rFonts w:ascii="Cambria" w:hAnsi="Cambria"/>
      <w:b/>
      <w:bCs/>
      <w:i/>
      <w:iCs/>
      <w:color w:val="7F7F7F"/>
      <w:sz w:val="20"/>
    </w:rPr>
  </w:style>
  <w:style w:type="paragraph" w:styleId="Heading7">
    <w:name w:val="heading 7"/>
    <w:basedOn w:val="Normal"/>
    <w:next w:val="Normal"/>
    <w:link w:val="Heading7Char"/>
    <w:uiPriority w:val="9"/>
    <w:qFormat/>
    <w:rsid w:val="00343202"/>
    <w:pPr>
      <w:outlineLvl w:val="6"/>
    </w:pPr>
    <w:rPr>
      <w:rFonts w:ascii="Cambria" w:hAnsi="Cambria"/>
      <w:i/>
      <w:iCs/>
      <w:sz w:val="20"/>
    </w:rPr>
  </w:style>
  <w:style w:type="paragraph" w:styleId="Heading8">
    <w:name w:val="heading 8"/>
    <w:basedOn w:val="Normal"/>
    <w:next w:val="Normal"/>
    <w:link w:val="Heading8Char"/>
    <w:uiPriority w:val="9"/>
    <w:qFormat/>
    <w:rsid w:val="00343202"/>
    <w:pPr>
      <w:outlineLvl w:val="7"/>
    </w:pPr>
    <w:rPr>
      <w:rFonts w:ascii="Cambria" w:hAnsi="Cambria"/>
      <w:sz w:val="20"/>
    </w:rPr>
  </w:style>
  <w:style w:type="paragraph" w:styleId="Heading9">
    <w:name w:val="heading 9"/>
    <w:basedOn w:val="Normal"/>
    <w:next w:val="Normal"/>
    <w:link w:val="Heading9Char"/>
    <w:uiPriority w:val="9"/>
    <w:qFormat/>
    <w:rsid w:val="00343202"/>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84E5B"/>
    <w:pPr>
      <w:numPr>
        <w:numId w:val="1"/>
      </w:numPr>
    </w:pPr>
  </w:style>
  <w:style w:type="numbering" w:customStyle="1" w:styleId="Reports">
    <w:name w:val="Reports"/>
    <w:uiPriority w:val="99"/>
    <w:rsid w:val="00D778B4"/>
    <w:pPr>
      <w:numPr>
        <w:numId w:val="2"/>
      </w:numPr>
    </w:pPr>
  </w:style>
  <w:style w:type="character" w:customStyle="1" w:styleId="Heading1Char">
    <w:name w:val="Heading 1 Char"/>
    <w:link w:val="Heading1"/>
    <w:uiPriority w:val="9"/>
    <w:rsid w:val="009378AB"/>
    <w:rPr>
      <w:rFonts w:ascii="Arial" w:eastAsia="Times New Roman" w:hAnsi="Arial"/>
      <w:b/>
      <w:bCs/>
      <w:sz w:val="24"/>
      <w:szCs w:val="28"/>
      <w:lang w:val="en-GB" w:eastAsia="en-US"/>
    </w:rPr>
  </w:style>
  <w:style w:type="paragraph" w:styleId="Subtitle">
    <w:name w:val="Subtitle"/>
    <w:aliases w:val="Subheading 1"/>
    <w:basedOn w:val="Normal"/>
    <w:next w:val="Normal"/>
    <w:link w:val="SubtitleChar"/>
    <w:uiPriority w:val="11"/>
    <w:qFormat/>
    <w:rsid w:val="00343202"/>
    <w:pPr>
      <w:spacing w:after="600"/>
    </w:pPr>
    <w:rPr>
      <w:rFonts w:ascii="Cambria" w:hAnsi="Cambria"/>
      <w:i/>
      <w:iCs/>
      <w:spacing w:val="13"/>
      <w:sz w:val="24"/>
      <w:szCs w:val="24"/>
    </w:rPr>
  </w:style>
  <w:style w:type="character" w:customStyle="1" w:styleId="SubtitleChar">
    <w:name w:val="Subtitle Char"/>
    <w:aliases w:val="Subheading 1 Char"/>
    <w:link w:val="Subtitle"/>
    <w:uiPriority w:val="11"/>
    <w:rsid w:val="00343202"/>
    <w:rPr>
      <w:rFonts w:ascii="Cambria" w:eastAsia="Times New Roman" w:hAnsi="Cambria" w:cs="Times New Roman"/>
      <w:i/>
      <w:iCs/>
      <w:spacing w:val="13"/>
      <w:sz w:val="24"/>
      <w:szCs w:val="24"/>
    </w:rPr>
  </w:style>
  <w:style w:type="character" w:customStyle="1" w:styleId="Heading2Char">
    <w:name w:val="Heading 2 Char"/>
    <w:link w:val="Heading2"/>
    <w:uiPriority w:val="9"/>
    <w:rsid w:val="009378AB"/>
    <w:rPr>
      <w:rFonts w:ascii="Arial" w:eastAsia="Times New Roman" w:hAnsi="Arial"/>
      <w:b/>
      <w:bCs/>
      <w:iCs/>
      <w:sz w:val="22"/>
      <w:szCs w:val="28"/>
      <w:lang w:val="en-GB" w:eastAsia="en-US"/>
    </w:rPr>
  </w:style>
  <w:style w:type="character" w:customStyle="1" w:styleId="Heading3Char">
    <w:name w:val="Heading 3 Char"/>
    <w:link w:val="Heading3"/>
    <w:uiPriority w:val="9"/>
    <w:rsid w:val="009378AB"/>
    <w:rPr>
      <w:rFonts w:ascii="Arial Bold" w:eastAsia="Times New Roman" w:hAnsi="Arial Bold"/>
      <w:b/>
      <w:bCs/>
      <w:sz w:val="22"/>
      <w:lang w:val="en-GB" w:eastAsia="en-US"/>
    </w:rPr>
  </w:style>
  <w:style w:type="character" w:customStyle="1" w:styleId="Heading4Char">
    <w:name w:val="Heading 4 Char"/>
    <w:link w:val="Heading4"/>
    <w:uiPriority w:val="9"/>
    <w:rsid w:val="00343202"/>
    <w:rPr>
      <w:rFonts w:ascii="Cambria" w:eastAsia="Times New Roman" w:hAnsi="Cambria" w:cs="Times New Roman"/>
      <w:b/>
      <w:bCs/>
      <w:i/>
      <w:iCs/>
    </w:rPr>
  </w:style>
  <w:style w:type="character" w:customStyle="1" w:styleId="Heading5Char">
    <w:name w:val="Heading 5 Char"/>
    <w:link w:val="Heading5"/>
    <w:uiPriority w:val="9"/>
    <w:semiHidden/>
    <w:rsid w:val="00343202"/>
    <w:rPr>
      <w:rFonts w:ascii="Cambria" w:eastAsia="Times New Roman" w:hAnsi="Cambria" w:cs="Times New Roman"/>
      <w:b/>
      <w:bCs/>
      <w:color w:val="7F7F7F"/>
    </w:rPr>
  </w:style>
  <w:style w:type="character" w:customStyle="1" w:styleId="Heading6Char">
    <w:name w:val="Heading 6 Char"/>
    <w:link w:val="Heading6"/>
    <w:uiPriority w:val="9"/>
    <w:semiHidden/>
    <w:rsid w:val="00343202"/>
    <w:rPr>
      <w:rFonts w:ascii="Cambria" w:eastAsia="Times New Roman" w:hAnsi="Cambria" w:cs="Times New Roman"/>
      <w:b/>
      <w:bCs/>
      <w:i/>
      <w:iCs/>
      <w:color w:val="7F7F7F"/>
    </w:rPr>
  </w:style>
  <w:style w:type="character" w:customStyle="1" w:styleId="Heading7Char">
    <w:name w:val="Heading 7 Char"/>
    <w:link w:val="Heading7"/>
    <w:uiPriority w:val="9"/>
    <w:semiHidden/>
    <w:rsid w:val="00343202"/>
    <w:rPr>
      <w:rFonts w:ascii="Cambria" w:eastAsia="Times New Roman" w:hAnsi="Cambria" w:cs="Times New Roman"/>
      <w:i/>
      <w:iCs/>
    </w:rPr>
  </w:style>
  <w:style w:type="character" w:customStyle="1" w:styleId="Heading8Char">
    <w:name w:val="Heading 8 Char"/>
    <w:link w:val="Heading8"/>
    <w:uiPriority w:val="9"/>
    <w:semiHidden/>
    <w:rsid w:val="00343202"/>
    <w:rPr>
      <w:rFonts w:ascii="Cambria" w:eastAsia="Times New Roman" w:hAnsi="Cambria" w:cs="Times New Roman"/>
      <w:sz w:val="20"/>
      <w:szCs w:val="20"/>
    </w:rPr>
  </w:style>
  <w:style w:type="character" w:customStyle="1" w:styleId="Heading9Char">
    <w:name w:val="Heading 9 Char"/>
    <w:link w:val="Heading9"/>
    <w:uiPriority w:val="9"/>
    <w:semiHidden/>
    <w:rsid w:val="0034320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217E0"/>
    <w:pPr>
      <w:spacing w:before="240" w:after="240" w:line="240" w:lineRule="auto"/>
    </w:pPr>
    <w:rPr>
      <w:b/>
      <w:spacing w:val="5"/>
      <w:sz w:val="52"/>
      <w:szCs w:val="52"/>
    </w:rPr>
  </w:style>
  <w:style w:type="character" w:customStyle="1" w:styleId="TitleChar">
    <w:name w:val="Title Char"/>
    <w:link w:val="Title"/>
    <w:uiPriority w:val="10"/>
    <w:rsid w:val="009217E0"/>
    <w:rPr>
      <w:rFonts w:ascii="Arial" w:eastAsia="Times New Roman" w:hAnsi="Arial"/>
      <w:b/>
      <w:spacing w:val="5"/>
      <w:sz w:val="52"/>
      <w:szCs w:val="52"/>
      <w:lang w:val="en-GB" w:eastAsia="en-US"/>
    </w:rPr>
  </w:style>
  <w:style w:type="character" w:styleId="Strong">
    <w:name w:val="Strong"/>
    <w:uiPriority w:val="22"/>
    <w:qFormat/>
    <w:rsid w:val="00343202"/>
    <w:rPr>
      <w:b/>
      <w:bCs/>
    </w:rPr>
  </w:style>
  <w:style w:type="character" w:styleId="Emphasis">
    <w:name w:val="Emphasis"/>
    <w:uiPriority w:val="20"/>
    <w:qFormat/>
    <w:rsid w:val="00343202"/>
    <w:rPr>
      <w:b/>
      <w:bCs/>
      <w:i/>
      <w:iCs/>
      <w:spacing w:val="10"/>
      <w:bdr w:val="none" w:sz="0" w:space="0" w:color="auto"/>
      <w:shd w:val="clear" w:color="auto" w:fill="auto"/>
    </w:rPr>
  </w:style>
  <w:style w:type="paragraph" w:styleId="NoSpacing">
    <w:name w:val="No Spacing"/>
    <w:basedOn w:val="Normal"/>
    <w:uiPriority w:val="1"/>
    <w:qFormat/>
    <w:rsid w:val="00343202"/>
    <w:pPr>
      <w:spacing w:line="240" w:lineRule="auto"/>
    </w:pPr>
  </w:style>
  <w:style w:type="paragraph" w:styleId="ListParagraph">
    <w:name w:val="List Paragraph"/>
    <w:basedOn w:val="Normal"/>
    <w:uiPriority w:val="34"/>
    <w:qFormat/>
    <w:rsid w:val="00343202"/>
    <w:pPr>
      <w:ind w:left="720"/>
      <w:contextualSpacing/>
    </w:pPr>
  </w:style>
  <w:style w:type="paragraph" w:styleId="Quote">
    <w:name w:val="Quote"/>
    <w:basedOn w:val="Normal"/>
    <w:next w:val="Normal"/>
    <w:link w:val="QuoteChar"/>
    <w:uiPriority w:val="29"/>
    <w:qFormat/>
    <w:rsid w:val="00343202"/>
    <w:pPr>
      <w:spacing w:before="200"/>
      <w:ind w:left="360" w:right="360"/>
    </w:pPr>
    <w:rPr>
      <w:rFonts w:ascii="Calibri" w:eastAsia="Calibri" w:hAnsi="Calibri"/>
      <w:i/>
      <w:iCs/>
      <w:sz w:val="20"/>
    </w:rPr>
  </w:style>
  <w:style w:type="character" w:customStyle="1" w:styleId="QuoteChar">
    <w:name w:val="Quote Char"/>
    <w:link w:val="Quote"/>
    <w:uiPriority w:val="29"/>
    <w:rsid w:val="00343202"/>
    <w:rPr>
      <w:i/>
      <w:iCs/>
    </w:rPr>
  </w:style>
  <w:style w:type="paragraph" w:styleId="IntenseQuote">
    <w:name w:val="Intense Quote"/>
    <w:basedOn w:val="Normal"/>
    <w:next w:val="Normal"/>
    <w:link w:val="IntenseQuoteChar"/>
    <w:uiPriority w:val="30"/>
    <w:qFormat/>
    <w:rsid w:val="00343202"/>
    <w:pPr>
      <w:pBdr>
        <w:bottom w:val="single" w:sz="4" w:space="1" w:color="auto"/>
      </w:pBdr>
      <w:spacing w:before="200" w:after="280"/>
      <w:ind w:left="1008" w:right="1152"/>
      <w:jc w:val="both"/>
    </w:pPr>
    <w:rPr>
      <w:rFonts w:ascii="Calibri" w:eastAsia="Calibri" w:hAnsi="Calibri"/>
      <w:b/>
      <w:bCs/>
      <w:i/>
      <w:iCs/>
      <w:sz w:val="20"/>
    </w:rPr>
  </w:style>
  <w:style w:type="character" w:customStyle="1" w:styleId="IntenseQuoteChar">
    <w:name w:val="Intense Quote Char"/>
    <w:link w:val="IntenseQuote"/>
    <w:uiPriority w:val="30"/>
    <w:rsid w:val="00343202"/>
    <w:rPr>
      <w:b/>
      <w:bCs/>
      <w:i/>
      <w:iCs/>
    </w:rPr>
  </w:style>
  <w:style w:type="character" w:styleId="SubtleEmphasis">
    <w:name w:val="Subtle Emphasis"/>
    <w:uiPriority w:val="19"/>
    <w:qFormat/>
    <w:rsid w:val="00343202"/>
    <w:rPr>
      <w:i/>
      <w:iCs/>
    </w:rPr>
  </w:style>
  <w:style w:type="character" w:styleId="IntenseEmphasis">
    <w:name w:val="Intense Emphasis"/>
    <w:uiPriority w:val="21"/>
    <w:qFormat/>
    <w:rsid w:val="00343202"/>
    <w:rPr>
      <w:b/>
      <w:bCs/>
    </w:rPr>
  </w:style>
  <w:style w:type="character" w:styleId="SubtleReference">
    <w:name w:val="Subtle Reference"/>
    <w:uiPriority w:val="31"/>
    <w:qFormat/>
    <w:rsid w:val="00343202"/>
    <w:rPr>
      <w:smallCaps/>
    </w:rPr>
  </w:style>
  <w:style w:type="character" w:styleId="IntenseReference">
    <w:name w:val="Intense Reference"/>
    <w:uiPriority w:val="32"/>
    <w:qFormat/>
    <w:rsid w:val="00343202"/>
    <w:rPr>
      <w:smallCaps/>
      <w:spacing w:val="5"/>
      <w:u w:val="single"/>
    </w:rPr>
  </w:style>
  <w:style w:type="character" w:styleId="BookTitle">
    <w:name w:val="Book Title"/>
    <w:uiPriority w:val="33"/>
    <w:qFormat/>
    <w:rsid w:val="00343202"/>
    <w:rPr>
      <w:i/>
      <w:iCs/>
      <w:smallCaps/>
      <w:spacing w:val="5"/>
    </w:rPr>
  </w:style>
  <w:style w:type="paragraph" w:styleId="TOCHeading">
    <w:name w:val="TOC Heading"/>
    <w:basedOn w:val="Heading1"/>
    <w:next w:val="Normal"/>
    <w:uiPriority w:val="39"/>
    <w:qFormat/>
    <w:rsid w:val="00343202"/>
    <w:pPr>
      <w:outlineLvl w:val="9"/>
    </w:pPr>
  </w:style>
  <w:style w:type="paragraph" w:styleId="DocumentMap">
    <w:name w:val="Document Map"/>
    <w:basedOn w:val="Normal"/>
    <w:link w:val="DocumentMapChar"/>
    <w:semiHidden/>
    <w:rsid w:val="007B6270"/>
    <w:pPr>
      <w:shd w:val="clear" w:color="auto" w:fill="000080"/>
    </w:pPr>
    <w:rPr>
      <w:rFonts w:ascii="Tahoma" w:hAnsi="Tahoma"/>
      <w:sz w:val="24"/>
    </w:rPr>
  </w:style>
  <w:style w:type="character" w:customStyle="1" w:styleId="DocumentMapChar">
    <w:name w:val="Document Map Char"/>
    <w:link w:val="DocumentMap"/>
    <w:semiHidden/>
    <w:rsid w:val="007B6270"/>
    <w:rPr>
      <w:rFonts w:ascii="Tahoma" w:eastAsia="Times New Roman" w:hAnsi="Tahoma" w:cs="Times New Roman"/>
      <w:sz w:val="24"/>
      <w:szCs w:val="20"/>
      <w:shd w:val="clear" w:color="auto" w:fill="000080"/>
      <w:lang w:val="en-GB" w:bidi="ar-SA"/>
    </w:rPr>
  </w:style>
  <w:style w:type="paragraph" w:styleId="BlockText">
    <w:name w:val="Block Text"/>
    <w:basedOn w:val="Normal"/>
    <w:rsid w:val="007B6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 w:hanging="720"/>
      <w:jc w:val="both"/>
    </w:pPr>
  </w:style>
  <w:style w:type="paragraph" w:styleId="FootnoteText">
    <w:name w:val="footnote text"/>
    <w:basedOn w:val="Normal"/>
    <w:link w:val="FootnoteTextChar"/>
    <w:rsid w:val="007B6270"/>
    <w:rPr>
      <w:rFonts w:ascii="Times New Roman" w:hAnsi="Times New Roman"/>
      <w:sz w:val="20"/>
      <w:lang w:eastAsia="fr-FR"/>
    </w:rPr>
  </w:style>
  <w:style w:type="character" w:customStyle="1" w:styleId="FootnoteTextChar">
    <w:name w:val="Footnote Text Char"/>
    <w:link w:val="FootnoteText"/>
    <w:rsid w:val="007B6270"/>
    <w:rPr>
      <w:rFonts w:ascii="Times New Roman" w:eastAsia="Times New Roman" w:hAnsi="Times New Roman" w:cs="Times New Roman"/>
      <w:sz w:val="20"/>
      <w:szCs w:val="20"/>
      <w:lang w:val="en-GB" w:eastAsia="fr-FR" w:bidi="ar-SA"/>
    </w:rPr>
  </w:style>
  <w:style w:type="character" w:styleId="FootnoteReference">
    <w:name w:val="footnote reference"/>
    <w:rsid w:val="007B6270"/>
    <w:rPr>
      <w:vertAlign w:val="superscript"/>
    </w:rPr>
  </w:style>
  <w:style w:type="paragraph" w:styleId="BalloonText">
    <w:name w:val="Balloon Text"/>
    <w:basedOn w:val="Normal"/>
    <w:link w:val="BalloonTextChar"/>
    <w:uiPriority w:val="99"/>
    <w:semiHidden/>
    <w:unhideWhenUsed/>
    <w:rsid w:val="007B6270"/>
    <w:rPr>
      <w:rFonts w:ascii="Tahoma" w:hAnsi="Tahoma" w:cs="Tahoma"/>
      <w:sz w:val="16"/>
      <w:szCs w:val="16"/>
    </w:rPr>
  </w:style>
  <w:style w:type="character" w:customStyle="1" w:styleId="BalloonTextChar">
    <w:name w:val="Balloon Text Char"/>
    <w:link w:val="BalloonText"/>
    <w:uiPriority w:val="99"/>
    <w:semiHidden/>
    <w:rsid w:val="007B6270"/>
    <w:rPr>
      <w:rFonts w:ascii="Tahoma" w:eastAsia="Times New Roman" w:hAnsi="Tahoma" w:cs="Tahoma"/>
      <w:sz w:val="16"/>
      <w:szCs w:val="16"/>
      <w:lang w:val="en-GB" w:bidi="ar-SA"/>
    </w:rPr>
  </w:style>
  <w:style w:type="paragraph" w:styleId="Header">
    <w:name w:val="header"/>
    <w:basedOn w:val="Normal"/>
    <w:link w:val="HeaderChar"/>
    <w:uiPriority w:val="99"/>
    <w:unhideWhenUsed/>
    <w:rsid w:val="007B6270"/>
    <w:pPr>
      <w:tabs>
        <w:tab w:val="center" w:pos="4680"/>
        <w:tab w:val="right" w:pos="9360"/>
      </w:tabs>
    </w:pPr>
    <w:rPr>
      <w:rFonts w:ascii="Times New Roman" w:hAnsi="Times New Roman"/>
      <w:sz w:val="24"/>
    </w:rPr>
  </w:style>
  <w:style w:type="character" w:customStyle="1" w:styleId="HeaderChar">
    <w:name w:val="Header Char"/>
    <w:link w:val="Header"/>
    <w:uiPriority w:val="99"/>
    <w:rsid w:val="007B6270"/>
    <w:rPr>
      <w:rFonts w:ascii="Times New Roman" w:eastAsia="Times New Roman" w:hAnsi="Times New Roman" w:cs="Times New Roman"/>
      <w:sz w:val="24"/>
      <w:szCs w:val="20"/>
      <w:lang w:val="en-GB" w:bidi="ar-SA"/>
    </w:rPr>
  </w:style>
  <w:style w:type="paragraph" w:styleId="Footer">
    <w:name w:val="footer"/>
    <w:basedOn w:val="Normal"/>
    <w:link w:val="FooterChar"/>
    <w:uiPriority w:val="99"/>
    <w:unhideWhenUsed/>
    <w:rsid w:val="007B6270"/>
    <w:pPr>
      <w:tabs>
        <w:tab w:val="center" w:pos="4680"/>
        <w:tab w:val="right" w:pos="9360"/>
      </w:tabs>
    </w:pPr>
    <w:rPr>
      <w:rFonts w:ascii="Times New Roman" w:hAnsi="Times New Roman"/>
      <w:sz w:val="24"/>
    </w:rPr>
  </w:style>
  <w:style w:type="character" w:customStyle="1" w:styleId="FooterChar">
    <w:name w:val="Footer Char"/>
    <w:link w:val="Footer"/>
    <w:uiPriority w:val="99"/>
    <w:rsid w:val="007B6270"/>
    <w:rPr>
      <w:rFonts w:ascii="Times New Roman" w:eastAsia="Times New Roman" w:hAnsi="Times New Roman" w:cs="Times New Roman"/>
      <w:sz w:val="24"/>
      <w:szCs w:val="20"/>
      <w:lang w:val="en-GB" w:bidi="ar-SA"/>
    </w:rPr>
  </w:style>
  <w:style w:type="table" w:styleId="TableGrid">
    <w:name w:val="Table Grid"/>
    <w:basedOn w:val="TableNormal"/>
    <w:uiPriority w:val="59"/>
    <w:rsid w:val="00542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742F0"/>
    <w:rPr>
      <w:sz w:val="16"/>
      <w:szCs w:val="16"/>
    </w:rPr>
  </w:style>
  <w:style w:type="paragraph" w:styleId="CommentText">
    <w:name w:val="annotation text"/>
    <w:basedOn w:val="Normal"/>
    <w:link w:val="CommentTextChar"/>
    <w:uiPriority w:val="99"/>
    <w:semiHidden/>
    <w:unhideWhenUsed/>
    <w:rsid w:val="00B742F0"/>
    <w:rPr>
      <w:sz w:val="20"/>
    </w:rPr>
  </w:style>
  <w:style w:type="character" w:customStyle="1" w:styleId="CommentTextChar">
    <w:name w:val="Comment Text Char"/>
    <w:link w:val="CommentText"/>
    <w:uiPriority w:val="99"/>
    <w:semiHidden/>
    <w:rsid w:val="00B742F0"/>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B742F0"/>
    <w:rPr>
      <w:b/>
      <w:bCs/>
    </w:rPr>
  </w:style>
  <w:style w:type="character" w:customStyle="1" w:styleId="CommentSubjectChar">
    <w:name w:val="Comment Subject Char"/>
    <w:link w:val="CommentSubject"/>
    <w:uiPriority w:val="99"/>
    <w:semiHidden/>
    <w:rsid w:val="00B742F0"/>
    <w:rPr>
      <w:rFonts w:ascii="Arial" w:eastAsia="Times New Roman" w:hAnsi="Arial"/>
      <w:b/>
      <w:bCs/>
      <w:lang w:eastAsia="en-US"/>
    </w:rPr>
  </w:style>
  <w:style w:type="paragraph" w:styleId="Revision">
    <w:name w:val="Revision"/>
    <w:hidden/>
    <w:uiPriority w:val="99"/>
    <w:semiHidden/>
    <w:rsid w:val="00B742F0"/>
    <w:rPr>
      <w:rFonts w:ascii="Arial" w:eastAsia="Times New Roman" w:hAnsi="Arial"/>
      <w:sz w:val="22"/>
      <w:lang w:val="en-GB" w:eastAsia="en-US"/>
    </w:rPr>
  </w:style>
  <w:style w:type="character" w:styleId="PlaceholderText">
    <w:name w:val="Placeholder Text"/>
    <w:basedOn w:val="DefaultParagraphFont"/>
    <w:uiPriority w:val="99"/>
    <w:semiHidden/>
    <w:rsid w:val="00E712FC"/>
    <w:rPr>
      <w:color w:val="808080"/>
    </w:rPr>
  </w:style>
  <w:style w:type="paragraph" w:customStyle="1" w:styleId="Head1">
    <w:name w:val="Head 1"/>
    <w:basedOn w:val="Normal"/>
    <w:rsid w:val="00253BDA"/>
    <w:pPr>
      <w:widowControl w:val="0"/>
      <w:numPr>
        <w:numId w:val="48"/>
      </w:numPr>
      <w:autoSpaceDE w:val="0"/>
      <w:autoSpaceDN w:val="0"/>
      <w:spacing w:after="240" w:line="240" w:lineRule="auto"/>
    </w:pPr>
    <w:rPr>
      <w:rFonts w:eastAsia="Arial" w:cs="Arial"/>
      <w:b/>
      <w:sz w:val="28"/>
      <w:szCs w:val="22"/>
      <w:lang w:val="en-US"/>
    </w:rPr>
  </w:style>
  <w:style w:type="paragraph" w:customStyle="1" w:styleId="Head2">
    <w:name w:val="Head 2"/>
    <w:basedOn w:val="Normal"/>
    <w:rsid w:val="00253BDA"/>
    <w:pPr>
      <w:widowControl w:val="0"/>
      <w:numPr>
        <w:ilvl w:val="1"/>
        <w:numId w:val="48"/>
      </w:numPr>
      <w:autoSpaceDE w:val="0"/>
      <w:autoSpaceDN w:val="0"/>
      <w:spacing w:after="240" w:line="240" w:lineRule="auto"/>
    </w:pPr>
    <w:rPr>
      <w:rFonts w:eastAsia="Arial" w:cs="Arial"/>
      <w:b/>
      <w:sz w:val="24"/>
      <w:szCs w:val="22"/>
      <w:lang w:val="en-US"/>
    </w:rPr>
  </w:style>
  <w:style w:type="paragraph" w:customStyle="1" w:styleId="Head3">
    <w:name w:val="Head 3"/>
    <w:basedOn w:val="Normal"/>
    <w:rsid w:val="00253BDA"/>
    <w:pPr>
      <w:widowControl w:val="0"/>
      <w:numPr>
        <w:ilvl w:val="2"/>
        <w:numId w:val="48"/>
      </w:numPr>
      <w:autoSpaceDE w:val="0"/>
      <w:autoSpaceDN w:val="0"/>
      <w:spacing w:after="240" w:line="240" w:lineRule="auto"/>
    </w:pPr>
    <w:rPr>
      <w:rFonts w:eastAsia="Arial" w:cs="Arial"/>
      <w:b/>
      <w:szCs w:val="22"/>
      <w:lang w:val="en-US"/>
    </w:rPr>
  </w:style>
  <w:style w:type="paragraph" w:customStyle="1" w:styleId="Head4">
    <w:name w:val="Head 4"/>
    <w:basedOn w:val="Normal"/>
    <w:rsid w:val="00253BDA"/>
    <w:pPr>
      <w:widowControl w:val="0"/>
      <w:numPr>
        <w:ilvl w:val="3"/>
        <w:numId w:val="48"/>
      </w:numPr>
      <w:autoSpaceDE w:val="0"/>
      <w:autoSpaceDN w:val="0"/>
      <w:spacing w:after="240" w:line="240" w:lineRule="auto"/>
    </w:pPr>
    <w:rPr>
      <w:rFonts w:eastAsia="Arial" w:cs="Arial"/>
      <w:szCs w:val="22"/>
      <w:lang w:val="en-US"/>
    </w:rPr>
  </w:style>
  <w:style w:type="paragraph" w:customStyle="1" w:styleId="Head5">
    <w:name w:val="Head 5"/>
    <w:basedOn w:val="Normal"/>
    <w:rsid w:val="00253BDA"/>
    <w:pPr>
      <w:widowControl w:val="0"/>
      <w:numPr>
        <w:ilvl w:val="4"/>
        <w:numId w:val="48"/>
      </w:numPr>
      <w:autoSpaceDE w:val="0"/>
      <w:autoSpaceDN w:val="0"/>
      <w:spacing w:after="240" w:line="240" w:lineRule="auto"/>
    </w:pPr>
    <w:rPr>
      <w:rFonts w:eastAsia="Arial" w:cs="Arial"/>
      <w:szCs w:val="22"/>
      <w:lang w:val="en-US"/>
    </w:rPr>
  </w:style>
  <w:style w:type="paragraph" w:customStyle="1" w:styleId="Head6">
    <w:name w:val="Head 6"/>
    <w:basedOn w:val="Normal"/>
    <w:rsid w:val="00253BDA"/>
    <w:pPr>
      <w:widowControl w:val="0"/>
      <w:numPr>
        <w:ilvl w:val="5"/>
        <w:numId w:val="48"/>
      </w:numPr>
      <w:autoSpaceDE w:val="0"/>
      <w:autoSpaceDN w:val="0"/>
      <w:spacing w:after="240" w:line="240" w:lineRule="auto"/>
    </w:pPr>
    <w:rPr>
      <w:rFonts w:eastAsia="Arial" w:cs="Arial"/>
      <w:b/>
      <w:sz w:val="24"/>
      <w:szCs w:val="22"/>
      <w:lang w:val="en-US"/>
    </w:rPr>
  </w:style>
  <w:style w:type="paragraph" w:customStyle="1" w:styleId="Head7">
    <w:name w:val="Head 7"/>
    <w:basedOn w:val="Normal"/>
    <w:rsid w:val="00253BDA"/>
    <w:pPr>
      <w:widowControl w:val="0"/>
      <w:numPr>
        <w:ilvl w:val="6"/>
        <w:numId w:val="48"/>
      </w:numPr>
      <w:autoSpaceDE w:val="0"/>
      <w:autoSpaceDN w:val="0"/>
      <w:spacing w:after="240" w:line="240" w:lineRule="auto"/>
    </w:pPr>
    <w:rPr>
      <w:rFonts w:eastAsia="Arial" w:cs="Arial"/>
      <w:szCs w:val="22"/>
      <w:lang w:val="en-US"/>
    </w:rPr>
  </w:style>
  <w:style w:type="paragraph" w:customStyle="1" w:styleId="Head8">
    <w:name w:val="Head 8"/>
    <w:basedOn w:val="Normal"/>
    <w:rsid w:val="00253BDA"/>
    <w:pPr>
      <w:widowControl w:val="0"/>
      <w:numPr>
        <w:ilvl w:val="7"/>
        <w:numId w:val="48"/>
      </w:numPr>
      <w:autoSpaceDE w:val="0"/>
      <w:autoSpaceDN w:val="0"/>
      <w:spacing w:after="240" w:line="240" w:lineRule="auto"/>
    </w:pPr>
    <w:rPr>
      <w:rFonts w:eastAsia="Arial" w:cs="Arial"/>
      <w:szCs w:val="22"/>
      <w:lang w:val="en-US"/>
    </w:rPr>
  </w:style>
  <w:style w:type="character" w:styleId="Hyperlink">
    <w:name w:val="Hyperlink"/>
    <w:basedOn w:val="DefaultParagraphFont"/>
    <w:uiPriority w:val="99"/>
    <w:unhideWhenUsed/>
    <w:rsid w:val="009F01C5"/>
    <w:rPr>
      <w:color w:val="0000FF" w:themeColor="hyperlink"/>
      <w:u w:val="single"/>
    </w:rPr>
  </w:style>
  <w:style w:type="paragraph" w:styleId="BodyText">
    <w:name w:val="Body Text"/>
    <w:basedOn w:val="Normal"/>
    <w:link w:val="BodyTextChar"/>
    <w:uiPriority w:val="99"/>
    <w:unhideWhenUsed/>
    <w:rsid w:val="009F01C5"/>
    <w:pPr>
      <w:spacing w:after="240" w:line="240" w:lineRule="auto"/>
      <w:jc w:val="both"/>
    </w:pPr>
    <w:rPr>
      <w:rFonts w:eastAsia="Calibri" w:cs="Calibri"/>
      <w:color w:val="000000"/>
      <w:szCs w:val="22"/>
      <w:lang w:eastAsia="en-GB"/>
    </w:rPr>
  </w:style>
  <w:style w:type="character" w:customStyle="1" w:styleId="BodyTextChar">
    <w:name w:val="Body Text Char"/>
    <w:basedOn w:val="DefaultParagraphFont"/>
    <w:link w:val="BodyText"/>
    <w:uiPriority w:val="99"/>
    <w:rsid w:val="009F01C5"/>
    <w:rPr>
      <w:rFonts w:ascii="Arial" w:hAnsi="Arial" w:cs="Calibri"/>
      <w:color w:val="000000"/>
      <w:sz w:val="22"/>
      <w:szCs w:val="22"/>
      <w:lang w:val="en-GB" w:eastAsia="en-GB"/>
    </w:rPr>
  </w:style>
  <w:style w:type="paragraph" w:styleId="NormalWeb">
    <w:name w:val="Normal (Web)"/>
    <w:basedOn w:val="Normal"/>
    <w:uiPriority w:val="99"/>
    <w:semiHidden/>
    <w:unhideWhenUsed/>
    <w:rsid w:val="00813232"/>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2948">
      <w:bodyDiv w:val="1"/>
      <w:marLeft w:val="0"/>
      <w:marRight w:val="0"/>
      <w:marTop w:val="0"/>
      <w:marBottom w:val="0"/>
      <w:divBdr>
        <w:top w:val="none" w:sz="0" w:space="0" w:color="auto"/>
        <w:left w:val="none" w:sz="0" w:space="0" w:color="auto"/>
        <w:bottom w:val="none" w:sz="0" w:space="0" w:color="auto"/>
        <w:right w:val="none" w:sz="0" w:space="0" w:color="auto"/>
      </w:divBdr>
    </w:div>
    <w:div w:id="928974607">
      <w:bodyDiv w:val="1"/>
      <w:marLeft w:val="0"/>
      <w:marRight w:val="0"/>
      <w:marTop w:val="0"/>
      <w:marBottom w:val="0"/>
      <w:divBdr>
        <w:top w:val="none" w:sz="0" w:space="0" w:color="auto"/>
        <w:left w:val="none" w:sz="0" w:space="0" w:color="auto"/>
        <w:bottom w:val="none" w:sz="0" w:space="0" w:color="auto"/>
        <w:right w:val="none" w:sz="0" w:space="0" w:color="auto"/>
      </w:divBdr>
    </w:div>
    <w:div w:id="1407609958">
      <w:bodyDiv w:val="1"/>
      <w:marLeft w:val="0"/>
      <w:marRight w:val="0"/>
      <w:marTop w:val="0"/>
      <w:marBottom w:val="0"/>
      <w:divBdr>
        <w:top w:val="none" w:sz="0" w:space="0" w:color="auto"/>
        <w:left w:val="none" w:sz="0" w:space="0" w:color="auto"/>
        <w:bottom w:val="none" w:sz="0" w:space="0" w:color="auto"/>
        <w:right w:val="none" w:sz="0" w:space="0" w:color="auto"/>
      </w:divBdr>
    </w:div>
    <w:div w:id="1482774379">
      <w:bodyDiv w:val="1"/>
      <w:marLeft w:val="0"/>
      <w:marRight w:val="0"/>
      <w:marTop w:val="0"/>
      <w:marBottom w:val="0"/>
      <w:divBdr>
        <w:top w:val="none" w:sz="0" w:space="0" w:color="auto"/>
        <w:left w:val="none" w:sz="0" w:space="0" w:color="auto"/>
        <w:bottom w:val="none" w:sz="0" w:space="0" w:color="auto"/>
        <w:right w:val="none" w:sz="0" w:space="0" w:color="auto"/>
      </w:divBdr>
    </w:div>
    <w:div w:id="1665669163">
      <w:bodyDiv w:val="1"/>
      <w:marLeft w:val="41"/>
      <w:marRight w:val="41"/>
      <w:marTop w:val="41"/>
      <w:marBottom w:val="10"/>
      <w:divBdr>
        <w:top w:val="none" w:sz="0" w:space="0" w:color="auto"/>
        <w:left w:val="none" w:sz="0" w:space="0" w:color="auto"/>
        <w:bottom w:val="none" w:sz="0" w:space="0" w:color="auto"/>
        <w:right w:val="none" w:sz="0" w:space="0" w:color="auto"/>
      </w:divBdr>
      <w:divsChild>
        <w:div w:id="48843004">
          <w:marLeft w:val="0"/>
          <w:marRight w:val="0"/>
          <w:marTop w:val="0"/>
          <w:marBottom w:val="0"/>
          <w:divBdr>
            <w:top w:val="none" w:sz="0" w:space="0" w:color="auto"/>
            <w:left w:val="none" w:sz="0" w:space="0" w:color="auto"/>
            <w:bottom w:val="none" w:sz="0" w:space="0" w:color="auto"/>
            <w:right w:val="none" w:sz="0" w:space="0" w:color="auto"/>
          </w:divBdr>
        </w:div>
        <w:div w:id="124398448">
          <w:marLeft w:val="0"/>
          <w:marRight w:val="0"/>
          <w:marTop w:val="0"/>
          <w:marBottom w:val="0"/>
          <w:divBdr>
            <w:top w:val="none" w:sz="0" w:space="0" w:color="auto"/>
            <w:left w:val="none" w:sz="0" w:space="0" w:color="auto"/>
            <w:bottom w:val="none" w:sz="0" w:space="0" w:color="auto"/>
            <w:right w:val="none" w:sz="0" w:space="0" w:color="auto"/>
          </w:divBdr>
        </w:div>
        <w:div w:id="513494195">
          <w:marLeft w:val="0"/>
          <w:marRight w:val="0"/>
          <w:marTop w:val="0"/>
          <w:marBottom w:val="0"/>
          <w:divBdr>
            <w:top w:val="none" w:sz="0" w:space="0" w:color="auto"/>
            <w:left w:val="none" w:sz="0" w:space="0" w:color="auto"/>
            <w:bottom w:val="none" w:sz="0" w:space="0" w:color="auto"/>
            <w:right w:val="none" w:sz="0" w:space="0" w:color="auto"/>
          </w:divBdr>
        </w:div>
        <w:div w:id="1553613659">
          <w:marLeft w:val="0"/>
          <w:marRight w:val="0"/>
          <w:marTop w:val="0"/>
          <w:marBottom w:val="0"/>
          <w:divBdr>
            <w:top w:val="none" w:sz="0" w:space="0" w:color="auto"/>
            <w:left w:val="none" w:sz="0" w:space="0" w:color="auto"/>
            <w:bottom w:val="none" w:sz="0" w:space="0" w:color="auto"/>
            <w:right w:val="none" w:sz="0" w:space="0" w:color="auto"/>
          </w:divBdr>
        </w:div>
        <w:div w:id="2048873480">
          <w:marLeft w:val="0"/>
          <w:marRight w:val="0"/>
          <w:marTop w:val="0"/>
          <w:marBottom w:val="0"/>
          <w:divBdr>
            <w:top w:val="none" w:sz="0" w:space="0" w:color="auto"/>
            <w:left w:val="none" w:sz="0" w:space="0" w:color="auto"/>
            <w:bottom w:val="none" w:sz="0" w:space="0" w:color="auto"/>
            <w:right w:val="none" w:sz="0" w:space="0" w:color="auto"/>
          </w:divBdr>
        </w:div>
      </w:divsChild>
    </w:div>
    <w:div w:id="1707755778">
      <w:bodyDiv w:val="1"/>
      <w:marLeft w:val="60"/>
      <w:marRight w:val="60"/>
      <w:marTop w:val="60"/>
      <w:marBottom w:val="15"/>
      <w:divBdr>
        <w:top w:val="none" w:sz="0" w:space="0" w:color="auto"/>
        <w:left w:val="none" w:sz="0" w:space="0" w:color="auto"/>
        <w:bottom w:val="none" w:sz="0" w:space="0" w:color="auto"/>
        <w:right w:val="none" w:sz="0" w:space="0" w:color="auto"/>
      </w:divBdr>
    </w:div>
    <w:div w:id="18449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9864-3F9E-C749-854B-1671CDF2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SCREENING TEMPLATE</vt:lpstr>
    </vt:vector>
  </TitlesOfParts>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TEMPLATE</dc:title>
  <dc:creator/>
  <cp:lastModifiedBy/>
  <cp:revision>1</cp:revision>
  <cp:lastPrinted>2011-02-10T20:11:00Z</cp:lastPrinted>
  <dcterms:created xsi:type="dcterms:W3CDTF">2019-04-16T20:31:00Z</dcterms:created>
  <dcterms:modified xsi:type="dcterms:W3CDTF">2019-04-16T20:31:00Z</dcterms:modified>
</cp:coreProperties>
</file>