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C1DB9" w14:textId="77777777" w:rsidR="00F97BF9" w:rsidRPr="00A51D1A" w:rsidRDefault="00F97BF9" w:rsidP="00F97BF9">
      <w:pPr>
        <w:pStyle w:val="Reporttitle"/>
      </w:pPr>
      <w:r w:rsidRPr="001529C2">
        <w:t>Low power open narrowcasting</w:t>
      </w:r>
    </w:p>
    <w:p w14:paraId="50B13280" w14:textId="14D9D984" w:rsidR="00F97BF9" w:rsidRDefault="00F97BF9" w:rsidP="00F97BF9">
      <w:pPr>
        <w:pStyle w:val="Reportdate"/>
        <w:spacing w:after="200"/>
        <w:rPr>
          <w:caps w:val="0"/>
          <w:spacing w:val="-28"/>
          <w:sz w:val="53"/>
        </w:rPr>
      </w:pPr>
      <w:r w:rsidRPr="00F97BF9">
        <w:rPr>
          <w:caps w:val="0"/>
          <w:spacing w:val="-28"/>
          <w:sz w:val="53"/>
        </w:rPr>
        <w:t xml:space="preserve">Use </w:t>
      </w:r>
      <w:r w:rsidR="00707CBE">
        <w:rPr>
          <w:caps w:val="0"/>
          <w:spacing w:val="-28"/>
          <w:sz w:val="53"/>
        </w:rPr>
        <w:t>i</w:t>
      </w:r>
      <w:r w:rsidRPr="00F97BF9">
        <w:rPr>
          <w:caps w:val="0"/>
          <w:spacing w:val="-28"/>
          <w:sz w:val="53"/>
        </w:rPr>
        <w:t xml:space="preserve">t or </w:t>
      </w:r>
      <w:r w:rsidR="00707CBE">
        <w:rPr>
          <w:caps w:val="0"/>
          <w:spacing w:val="-28"/>
          <w:sz w:val="53"/>
        </w:rPr>
        <w:t>l</w:t>
      </w:r>
      <w:r w:rsidRPr="00F97BF9">
        <w:rPr>
          <w:caps w:val="0"/>
          <w:spacing w:val="-28"/>
          <w:sz w:val="53"/>
        </w:rPr>
        <w:t xml:space="preserve">ose </w:t>
      </w:r>
      <w:r w:rsidR="00707CBE">
        <w:rPr>
          <w:caps w:val="0"/>
          <w:spacing w:val="-28"/>
          <w:sz w:val="53"/>
        </w:rPr>
        <w:t>i</w:t>
      </w:r>
      <w:r w:rsidRPr="00F97BF9">
        <w:rPr>
          <w:caps w:val="0"/>
          <w:spacing w:val="-28"/>
          <w:sz w:val="53"/>
        </w:rPr>
        <w:t>t (UIOLI) conditions</w:t>
      </w:r>
    </w:p>
    <w:p w14:paraId="1C8BFEF7" w14:textId="12DC3D1E" w:rsidR="00C97736" w:rsidRPr="000D76E0" w:rsidRDefault="00F97BF9" w:rsidP="00EC2B68">
      <w:pPr>
        <w:pStyle w:val="Reportdate"/>
        <w:spacing w:after="720"/>
        <w:rPr>
          <w:rFonts w:cs="Arial"/>
        </w:rPr>
        <w:sectPr w:rsidR="00C97736" w:rsidRPr="000D76E0" w:rsidSect="005E250B">
          <w:headerReference w:type="default" r:id="rId8"/>
          <w:footerReference w:type="default" r:id="rId9"/>
          <w:headerReference w:type="first" r:id="rId10"/>
          <w:pgSz w:w="11906" w:h="16838" w:code="9"/>
          <w:pgMar w:top="3924" w:right="992" w:bottom="1440" w:left="1134" w:header="709" w:footer="454" w:gutter="0"/>
          <w:cols w:space="708"/>
          <w:docGrid w:linePitch="360"/>
        </w:sectPr>
      </w:pPr>
      <w:r>
        <w:t>SEPTEMBER</w:t>
      </w:r>
      <w:r w:rsidR="00BD4421">
        <w:t xml:space="preserve"> 20</w:t>
      </w:r>
      <w:r w:rsidR="000971BD">
        <w:t>20</w:t>
      </w:r>
    </w:p>
    <w:p w14:paraId="41C0F890" w14:textId="77777777" w:rsidR="0005011A" w:rsidRPr="00F44F3A" w:rsidRDefault="0005011A" w:rsidP="00FC07B9">
      <w:pPr>
        <w:pStyle w:val="ACMACorporateAddressHeader"/>
      </w:pPr>
      <w:r w:rsidRPr="00F44F3A">
        <w:lastRenderedPageBreak/>
        <w:t>Canberra</w:t>
      </w:r>
    </w:p>
    <w:p w14:paraId="230C73F2" w14:textId="77777777"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14:paraId="2FC8D744" w14:textId="77777777" w:rsidR="0005011A" w:rsidRPr="00FC07B9" w:rsidRDefault="0005011A" w:rsidP="00FC07B9">
      <w:pPr>
        <w:pStyle w:val="ACMACorporateAddresses"/>
      </w:pPr>
      <w:r w:rsidRPr="00FC07B9">
        <w:t>PO Box 78</w:t>
      </w:r>
      <w:r w:rsidRPr="00FC07B9">
        <w:br/>
        <w:t>Belconnen ACT 2616</w:t>
      </w:r>
    </w:p>
    <w:p w14:paraId="46F72910" w14:textId="77777777"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14:paraId="12EF3118" w14:textId="77777777" w:rsidR="0005011A" w:rsidRPr="00F44F3A" w:rsidRDefault="0005011A" w:rsidP="00FC07B9">
      <w:pPr>
        <w:pStyle w:val="ACMACorporateAddressHeader"/>
      </w:pPr>
      <w:r w:rsidRPr="00F44F3A">
        <w:t>Melbourne</w:t>
      </w:r>
    </w:p>
    <w:p w14:paraId="7D3B16DE" w14:textId="77777777"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5EE948D8" w14:textId="77777777" w:rsidR="0005011A" w:rsidRPr="00F44F3A" w:rsidRDefault="0005011A" w:rsidP="00FC07B9">
      <w:pPr>
        <w:pStyle w:val="ACMACorporateAddresses"/>
      </w:pPr>
      <w:r w:rsidRPr="00F44F3A">
        <w:t>PO Box 13112</w:t>
      </w:r>
      <w:r w:rsidRPr="00F44F3A">
        <w:br/>
        <w:t xml:space="preserve">Law Courts </w:t>
      </w:r>
      <w:r w:rsidRPr="00F44F3A">
        <w:br/>
        <w:t>Melbourne VIC 8010</w:t>
      </w:r>
    </w:p>
    <w:p w14:paraId="369C6C99" w14:textId="77777777"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14:paraId="29FEF32A" w14:textId="77777777" w:rsidR="0005011A" w:rsidRPr="00F44F3A" w:rsidRDefault="0005011A" w:rsidP="00FC07B9">
      <w:pPr>
        <w:pStyle w:val="ACMACorporateAddressHeader"/>
      </w:pPr>
      <w:r w:rsidRPr="00F44F3A">
        <w:t>Sydney</w:t>
      </w:r>
    </w:p>
    <w:p w14:paraId="34C353F9" w14:textId="77777777" w:rsidR="0005011A" w:rsidRPr="00F44F3A" w:rsidRDefault="0005011A" w:rsidP="00FC07B9">
      <w:pPr>
        <w:pStyle w:val="ACMACorporateAddresses"/>
      </w:pPr>
      <w:r w:rsidRPr="00F44F3A">
        <w:t xml:space="preserve">Level 5 </w:t>
      </w:r>
      <w:r w:rsidRPr="00F44F3A">
        <w:br/>
        <w:t>The Bay Centre</w:t>
      </w:r>
      <w:r w:rsidRPr="00F44F3A">
        <w:br/>
        <w:t xml:space="preserve">65 Pirrama Road </w:t>
      </w:r>
      <w:r w:rsidRPr="00F44F3A">
        <w:br/>
        <w:t>Pyrmont NSW</w:t>
      </w:r>
    </w:p>
    <w:p w14:paraId="44793666" w14:textId="77777777" w:rsidR="0005011A" w:rsidRPr="00F44F3A" w:rsidRDefault="0005011A" w:rsidP="00FC07B9">
      <w:pPr>
        <w:pStyle w:val="ACMACorporateAddresses"/>
      </w:pPr>
      <w:r w:rsidRPr="00F44F3A">
        <w:t>PO Box Q500</w:t>
      </w:r>
      <w:r w:rsidRPr="00F44F3A">
        <w:br/>
        <w:t xml:space="preserve">Queen Victoria Building </w:t>
      </w:r>
      <w:r w:rsidRPr="00F44F3A">
        <w:br/>
        <w:t>NSW 1230</w:t>
      </w:r>
    </w:p>
    <w:p w14:paraId="7928B0B5" w14:textId="77777777"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290FFECD" w14:textId="77777777" w:rsidR="00140318" w:rsidRPr="006D46E5" w:rsidRDefault="00140318" w:rsidP="00FC07B9">
      <w:pPr>
        <w:pStyle w:val="ACMACopyrightHeader"/>
      </w:pPr>
      <w:r w:rsidRPr="00140318">
        <w:t>Copyright notice</w:t>
      </w:r>
    </w:p>
    <w:p w14:paraId="65AEB970" w14:textId="77777777" w:rsidR="00140318" w:rsidRPr="006D46E5" w:rsidRDefault="00623FF9" w:rsidP="00623FF9">
      <w:pPr>
        <w:pStyle w:val="ACMACClogo"/>
      </w:pPr>
      <w:r w:rsidRPr="00623FF9">
        <w:rPr>
          <w:noProof/>
        </w:rPr>
        <w:drawing>
          <wp:inline distT="0" distB="0" distL="0" distR="0" wp14:anchorId="01DBA9D2" wp14:editId="630E7F74">
            <wp:extent cx="838200" cy="295275"/>
            <wp:effectExtent l="0" t="0" r="0" b="0"/>
            <wp:docPr id="1" name="Picture 1" title="Creative Comm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pic:spPr>
                </pic:pic>
              </a:graphicData>
            </a:graphic>
          </wp:inline>
        </w:drawing>
      </w:r>
    </w:p>
    <w:p w14:paraId="7B0CFC03" w14:textId="77777777" w:rsidR="00AA2DE5" w:rsidRDefault="008843AE" w:rsidP="00AA2DE5">
      <w:pPr>
        <w:pStyle w:val="ACMACorporateAddresses"/>
        <w:rPr>
          <w:rStyle w:val="Hyperlink"/>
        </w:rPr>
      </w:pPr>
      <w:hyperlink r:id="rId13" w:history="1">
        <w:r w:rsidR="00AA2DE5">
          <w:rPr>
            <w:rStyle w:val="Hyperlink"/>
          </w:rPr>
          <w:t>https://creativecommons.org/licenses/by/4.0/</w:t>
        </w:r>
      </w:hyperlink>
    </w:p>
    <w:p w14:paraId="3C2D08BC" w14:textId="77777777" w:rsidR="00AA2DE5" w:rsidRDefault="00AA2DE5" w:rsidP="00AA2DE5">
      <w:pPr>
        <w:pStyle w:val="ACMACorporateAddresses"/>
      </w:pPr>
      <w:r>
        <w:t xml:space="preserve">With the exception of coats of arms, logos, emblems, images, other third-party material or devices protected by a trademark, this content is made available under the terms of the Creative Commons Attribution 4.0 International (CC BY 4.0) licence. </w:t>
      </w:r>
    </w:p>
    <w:p w14:paraId="26B4E1B3" w14:textId="77777777" w:rsidR="00AA2DE5" w:rsidRDefault="00AA2DE5" w:rsidP="00AA2DE5">
      <w:pPr>
        <w:pStyle w:val="ACMACorporateAddresses"/>
      </w:pPr>
      <w:r>
        <w:t>We request attribution as © Commonwealth of Australia (Australian Communications and Media Authority) 20</w:t>
      </w:r>
      <w:r w:rsidR="00BD7249">
        <w:t>20</w:t>
      </w:r>
      <w:r>
        <w:t>.</w:t>
      </w:r>
    </w:p>
    <w:p w14:paraId="04435BDC" w14:textId="77777777" w:rsidR="00AA2DE5" w:rsidRDefault="00AA2DE5" w:rsidP="00AA2DE5">
      <w:pPr>
        <w:pStyle w:val="ACMACorporateAddresses"/>
      </w:pPr>
      <w:r>
        <w:t>All other rights are reserved.</w:t>
      </w:r>
    </w:p>
    <w:p w14:paraId="2727B382" w14:textId="77777777" w:rsidR="00AA2DE5" w:rsidRDefault="00AA2DE5" w:rsidP="00AA2DE5">
      <w:pPr>
        <w:pStyle w:val="ACMACorporateAddresses"/>
      </w:pPr>
      <w:r>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391E38A0" w14:textId="77777777" w:rsidR="00AA2DE5" w:rsidRDefault="00AA2DE5" w:rsidP="00AA2DE5">
      <w:pPr>
        <w:pStyle w:val="ACMACorporateAddresses"/>
      </w:pPr>
      <w:r>
        <w:t>Written enquiries may be sent to:</w:t>
      </w:r>
    </w:p>
    <w:p w14:paraId="576F2705" w14:textId="77777777" w:rsidR="00AA2DE5" w:rsidRDefault="00AA2DE5" w:rsidP="00AA2DE5">
      <w:pPr>
        <w:pStyle w:val="ACMACorporateAddresses"/>
        <w:rPr>
          <w:rStyle w:val="Hyperlink"/>
        </w:rPr>
      </w:pPr>
      <w:r>
        <w:t xml:space="preserve">Manager, Editorial </w:t>
      </w:r>
      <w:r w:rsidR="000245E5">
        <w:t>Services</w:t>
      </w:r>
      <w:r>
        <w:br/>
        <w:t>PO Box 13112</w:t>
      </w:r>
      <w:r>
        <w:br/>
        <w:t>Law Courts</w:t>
      </w:r>
      <w:r>
        <w:br/>
        <w:t>Melbourne VIC 8010</w:t>
      </w:r>
      <w:r>
        <w:br/>
        <w:t xml:space="preserve">Email: </w:t>
      </w:r>
      <w:hyperlink r:id="rId14" w:history="1">
        <w:r>
          <w:rPr>
            <w:rStyle w:val="Hyperlink"/>
          </w:rPr>
          <w:t>info@acma.gov.au</w:t>
        </w:r>
      </w:hyperlink>
    </w:p>
    <w:p w14:paraId="5E38BCF0" w14:textId="77777777" w:rsidR="00D16FE3" w:rsidRDefault="00D16FE3" w:rsidP="00D16FE3">
      <w:pPr>
        <w:pStyle w:val="ACMACorporateAddresses"/>
        <w:rPr>
          <w:rStyle w:val="Hyperlink"/>
        </w:rPr>
      </w:pPr>
    </w:p>
    <w:p w14:paraId="41B52006" w14:textId="77777777" w:rsidR="00D16FE3" w:rsidRPr="00D16FE3" w:rsidRDefault="00D16FE3" w:rsidP="00D16FE3">
      <w:pPr>
        <w:pStyle w:val="ACMACorporateAddresses"/>
        <w:sectPr w:rsidR="00D16FE3" w:rsidRPr="00D16FE3">
          <w:headerReference w:type="even" r:id="rId15"/>
          <w:headerReference w:type="default" r:id="rId16"/>
          <w:footerReference w:type="even" r:id="rId17"/>
          <w:footerReference w:type="default" r:id="rId18"/>
          <w:pgSz w:w="11906" w:h="16838" w:code="9"/>
          <w:pgMar w:top="3924" w:right="1797" w:bottom="697" w:left="1134" w:header="709" w:footer="119" w:gutter="0"/>
          <w:cols w:space="708"/>
          <w:docGrid w:linePitch="360"/>
        </w:sectPr>
      </w:pPr>
    </w:p>
    <w:p w14:paraId="70D31279" w14:textId="3549EBE5" w:rsidR="00AF6924" w:rsidRDefault="009B24A5">
      <w:pPr>
        <w:pStyle w:val="TOC1"/>
        <w:rPr>
          <w:rFonts w:asciiTheme="minorHAnsi" w:eastAsiaTheme="minorEastAsia" w:hAnsiTheme="minorHAnsi" w:cstheme="minorBidi"/>
          <w:b w:val="0"/>
          <w:spacing w:val="0"/>
          <w:sz w:val="22"/>
          <w:szCs w:val="22"/>
        </w:rPr>
      </w:pPr>
      <w:r>
        <w:rPr>
          <w:rFonts w:cs="Arial"/>
        </w:rPr>
        <w:lastRenderedPageBreak/>
        <w:fldChar w:fldCharType="begin"/>
      </w:r>
      <w:r>
        <w:rPr>
          <w:rFonts w:cs="Arial"/>
        </w:rPr>
        <w:instrText xml:space="preserve"> TOC \o "1-3" \t "Exec summary heading,1" </w:instrText>
      </w:r>
      <w:r>
        <w:rPr>
          <w:rFonts w:cs="Arial"/>
        </w:rPr>
        <w:fldChar w:fldCharType="separate"/>
      </w:r>
      <w:r w:rsidR="00AF6924">
        <w:t>Executive summary</w:t>
      </w:r>
      <w:r w:rsidR="00AF6924">
        <w:tab/>
      </w:r>
      <w:r w:rsidR="00AF6924">
        <w:fldChar w:fldCharType="begin"/>
      </w:r>
      <w:r w:rsidR="00AF6924">
        <w:instrText xml:space="preserve"> PAGEREF _Toc51335432 \h </w:instrText>
      </w:r>
      <w:r w:rsidR="00AF6924">
        <w:fldChar w:fldCharType="separate"/>
      </w:r>
      <w:r w:rsidR="000D3C7E">
        <w:t>1</w:t>
      </w:r>
      <w:r w:rsidR="00AF6924">
        <w:fldChar w:fldCharType="end"/>
      </w:r>
    </w:p>
    <w:p w14:paraId="6C789288" w14:textId="39045320" w:rsidR="00AF6924" w:rsidRDefault="00AF6924">
      <w:pPr>
        <w:pStyle w:val="TOC2"/>
        <w:rPr>
          <w:rFonts w:asciiTheme="minorHAnsi" w:eastAsiaTheme="minorEastAsia" w:hAnsiTheme="minorHAnsi" w:cstheme="minorBidi"/>
          <w:spacing w:val="0"/>
          <w:sz w:val="22"/>
          <w:szCs w:val="22"/>
        </w:rPr>
      </w:pPr>
      <w:r>
        <w:t>Why is this important?</w:t>
      </w:r>
      <w:r>
        <w:tab/>
      </w:r>
      <w:r>
        <w:fldChar w:fldCharType="begin"/>
      </w:r>
      <w:r>
        <w:instrText xml:space="preserve"> PAGEREF _Toc51335433 \h </w:instrText>
      </w:r>
      <w:r>
        <w:fldChar w:fldCharType="separate"/>
      </w:r>
      <w:r w:rsidR="000D3C7E">
        <w:t>1</w:t>
      </w:r>
      <w:r>
        <w:fldChar w:fldCharType="end"/>
      </w:r>
    </w:p>
    <w:p w14:paraId="689A5EDE" w14:textId="6E4DA9F5" w:rsidR="00AF6924" w:rsidRDefault="00AF6924">
      <w:pPr>
        <w:pStyle w:val="TOC1"/>
        <w:rPr>
          <w:rFonts w:asciiTheme="minorHAnsi" w:eastAsiaTheme="minorEastAsia" w:hAnsiTheme="minorHAnsi" w:cstheme="minorBidi"/>
          <w:b w:val="0"/>
          <w:spacing w:val="0"/>
          <w:sz w:val="22"/>
          <w:szCs w:val="22"/>
        </w:rPr>
      </w:pPr>
      <w:r>
        <w:t>About this paper</w:t>
      </w:r>
      <w:r>
        <w:tab/>
      </w:r>
      <w:r>
        <w:fldChar w:fldCharType="begin"/>
      </w:r>
      <w:r>
        <w:instrText xml:space="preserve"> PAGEREF _Toc51335434 \h </w:instrText>
      </w:r>
      <w:r>
        <w:fldChar w:fldCharType="separate"/>
      </w:r>
      <w:r w:rsidR="000D3C7E">
        <w:t>2</w:t>
      </w:r>
      <w:r>
        <w:fldChar w:fldCharType="end"/>
      </w:r>
    </w:p>
    <w:p w14:paraId="05366768" w14:textId="61C594C3" w:rsidR="00AF6924" w:rsidRDefault="00AF6924">
      <w:pPr>
        <w:pStyle w:val="TOC2"/>
        <w:rPr>
          <w:rFonts w:asciiTheme="minorHAnsi" w:eastAsiaTheme="minorEastAsia" w:hAnsiTheme="minorHAnsi" w:cstheme="minorBidi"/>
          <w:spacing w:val="0"/>
          <w:sz w:val="22"/>
          <w:szCs w:val="22"/>
        </w:rPr>
      </w:pPr>
      <w:r>
        <w:t>Important note</w:t>
      </w:r>
      <w:r>
        <w:tab/>
      </w:r>
      <w:r>
        <w:fldChar w:fldCharType="begin"/>
      </w:r>
      <w:r>
        <w:instrText xml:space="preserve"> PAGEREF _Toc51335435 \h </w:instrText>
      </w:r>
      <w:r>
        <w:fldChar w:fldCharType="separate"/>
      </w:r>
      <w:r w:rsidR="000D3C7E">
        <w:t>2</w:t>
      </w:r>
      <w:r>
        <w:fldChar w:fldCharType="end"/>
      </w:r>
    </w:p>
    <w:p w14:paraId="1329C4D2" w14:textId="49971F51" w:rsidR="00AF6924" w:rsidRDefault="00AF6924">
      <w:pPr>
        <w:pStyle w:val="TOC1"/>
        <w:rPr>
          <w:rFonts w:asciiTheme="minorHAnsi" w:eastAsiaTheme="minorEastAsia" w:hAnsiTheme="minorHAnsi" w:cstheme="minorBidi"/>
          <w:b w:val="0"/>
          <w:spacing w:val="0"/>
          <w:sz w:val="22"/>
          <w:szCs w:val="22"/>
        </w:rPr>
      </w:pPr>
      <w:r>
        <w:t>Introduction</w:t>
      </w:r>
      <w:r>
        <w:tab/>
      </w:r>
      <w:r>
        <w:fldChar w:fldCharType="begin"/>
      </w:r>
      <w:r>
        <w:instrText xml:space="preserve"> PAGEREF _Toc51335436 \h </w:instrText>
      </w:r>
      <w:r>
        <w:fldChar w:fldCharType="separate"/>
      </w:r>
      <w:r w:rsidR="000D3C7E">
        <w:t>3</w:t>
      </w:r>
      <w:r>
        <w:fldChar w:fldCharType="end"/>
      </w:r>
    </w:p>
    <w:p w14:paraId="44705D11" w14:textId="25D864A2" w:rsidR="00AF6924" w:rsidRDefault="00AF6924">
      <w:pPr>
        <w:pStyle w:val="TOC2"/>
        <w:rPr>
          <w:rFonts w:asciiTheme="minorHAnsi" w:eastAsiaTheme="minorEastAsia" w:hAnsiTheme="minorHAnsi" w:cstheme="minorBidi"/>
          <w:spacing w:val="0"/>
          <w:sz w:val="22"/>
          <w:szCs w:val="22"/>
        </w:rPr>
      </w:pPr>
      <w:r>
        <w:t>LPON compliance</w:t>
      </w:r>
      <w:r>
        <w:tab/>
      </w:r>
      <w:r>
        <w:fldChar w:fldCharType="begin"/>
      </w:r>
      <w:r>
        <w:instrText xml:space="preserve"> PAGEREF _Toc51335437 \h </w:instrText>
      </w:r>
      <w:r>
        <w:fldChar w:fldCharType="separate"/>
      </w:r>
      <w:r w:rsidR="000D3C7E">
        <w:t>3</w:t>
      </w:r>
      <w:r>
        <w:fldChar w:fldCharType="end"/>
      </w:r>
    </w:p>
    <w:p w14:paraId="25AF3888" w14:textId="0AFCAB91" w:rsidR="00AF6924" w:rsidRDefault="00AF6924">
      <w:pPr>
        <w:pStyle w:val="TOC1"/>
        <w:rPr>
          <w:rFonts w:asciiTheme="minorHAnsi" w:eastAsiaTheme="minorEastAsia" w:hAnsiTheme="minorHAnsi" w:cstheme="minorBidi"/>
          <w:b w:val="0"/>
          <w:spacing w:val="0"/>
          <w:sz w:val="22"/>
          <w:szCs w:val="22"/>
        </w:rPr>
      </w:pPr>
      <w:r>
        <w:t>UIOLI conditions</w:t>
      </w:r>
      <w:r>
        <w:tab/>
      </w:r>
      <w:r>
        <w:fldChar w:fldCharType="begin"/>
      </w:r>
      <w:r>
        <w:instrText xml:space="preserve"> PAGEREF _Toc51335438 \h </w:instrText>
      </w:r>
      <w:r>
        <w:fldChar w:fldCharType="separate"/>
      </w:r>
      <w:r w:rsidR="000D3C7E">
        <w:t>5</w:t>
      </w:r>
      <w:r>
        <w:fldChar w:fldCharType="end"/>
      </w:r>
    </w:p>
    <w:p w14:paraId="4E188DB3" w14:textId="558C402E" w:rsidR="00AF6924" w:rsidRDefault="00AF6924">
      <w:pPr>
        <w:pStyle w:val="TOC2"/>
        <w:rPr>
          <w:rFonts w:asciiTheme="minorHAnsi" w:eastAsiaTheme="minorEastAsia" w:hAnsiTheme="minorHAnsi" w:cstheme="minorBidi"/>
          <w:spacing w:val="0"/>
          <w:sz w:val="22"/>
          <w:szCs w:val="22"/>
        </w:rPr>
      </w:pPr>
      <w:r>
        <w:t>You must start a service within six months</w:t>
      </w:r>
      <w:r>
        <w:tab/>
      </w:r>
      <w:r>
        <w:fldChar w:fldCharType="begin"/>
      </w:r>
      <w:r>
        <w:instrText xml:space="preserve"> PAGEREF _Toc51335439 \h </w:instrText>
      </w:r>
      <w:r>
        <w:fldChar w:fldCharType="separate"/>
      </w:r>
      <w:r w:rsidR="000D3C7E">
        <w:t>5</w:t>
      </w:r>
      <w:r>
        <w:fldChar w:fldCharType="end"/>
      </w:r>
    </w:p>
    <w:p w14:paraId="1F00F322" w14:textId="57056BB4" w:rsidR="00AF6924" w:rsidRDefault="00AF6924">
      <w:pPr>
        <w:pStyle w:val="TOC2"/>
        <w:rPr>
          <w:rFonts w:asciiTheme="minorHAnsi" w:eastAsiaTheme="minorEastAsia" w:hAnsiTheme="minorHAnsi" w:cstheme="minorBidi"/>
          <w:spacing w:val="0"/>
          <w:sz w:val="22"/>
          <w:szCs w:val="22"/>
        </w:rPr>
      </w:pPr>
      <w:r>
        <w:t>You must use the service with reasonable regularity</w:t>
      </w:r>
      <w:r>
        <w:tab/>
      </w:r>
      <w:r>
        <w:fldChar w:fldCharType="begin"/>
      </w:r>
      <w:r>
        <w:instrText xml:space="preserve"> PAGEREF _Toc51335440 \h </w:instrText>
      </w:r>
      <w:r>
        <w:fldChar w:fldCharType="separate"/>
      </w:r>
      <w:r w:rsidR="000D3C7E">
        <w:t>5</w:t>
      </w:r>
      <w:r>
        <w:fldChar w:fldCharType="end"/>
      </w:r>
    </w:p>
    <w:p w14:paraId="027C106F" w14:textId="0A4D5C81" w:rsidR="00AF6924" w:rsidRDefault="00AF6924">
      <w:pPr>
        <w:pStyle w:val="TOC3"/>
        <w:rPr>
          <w:rFonts w:asciiTheme="minorHAnsi" w:eastAsiaTheme="minorEastAsia" w:hAnsiTheme="minorHAnsi" w:cstheme="minorBidi"/>
        </w:rPr>
      </w:pPr>
      <w:r>
        <w:t>Services should be happening on a frequent or habitual basis</w:t>
      </w:r>
      <w:r>
        <w:tab/>
      </w:r>
      <w:r>
        <w:fldChar w:fldCharType="begin"/>
      </w:r>
      <w:r>
        <w:instrText xml:space="preserve"> PAGEREF _Toc51335441 \h </w:instrText>
      </w:r>
      <w:r>
        <w:fldChar w:fldCharType="separate"/>
      </w:r>
      <w:r w:rsidR="000D3C7E">
        <w:t>5</w:t>
      </w:r>
      <w:r>
        <w:fldChar w:fldCharType="end"/>
      </w:r>
    </w:p>
    <w:p w14:paraId="6C8F24D3" w14:textId="0EEF1B46" w:rsidR="00AF6924" w:rsidRDefault="00AF6924">
      <w:pPr>
        <w:pStyle w:val="TOC3"/>
        <w:rPr>
          <w:rFonts w:asciiTheme="minorHAnsi" w:eastAsiaTheme="minorEastAsia" w:hAnsiTheme="minorHAnsi" w:cstheme="minorBidi"/>
        </w:rPr>
      </w:pPr>
      <w:r>
        <w:t>Services need to be occurring more than once a year</w:t>
      </w:r>
      <w:r>
        <w:tab/>
      </w:r>
      <w:r>
        <w:fldChar w:fldCharType="begin"/>
      </w:r>
      <w:r>
        <w:instrText xml:space="preserve"> PAGEREF _Toc51335442 \h </w:instrText>
      </w:r>
      <w:r>
        <w:fldChar w:fldCharType="separate"/>
      </w:r>
      <w:r w:rsidR="000D3C7E">
        <w:t>6</w:t>
      </w:r>
      <w:r>
        <w:fldChar w:fldCharType="end"/>
      </w:r>
    </w:p>
    <w:p w14:paraId="4A849CD4" w14:textId="47702F96" w:rsidR="00AF6924" w:rsidRDefault="00AF6924">
      <w:pPr>
        <w:pStyle w:val="TOC3"/>
        <w:rPr>
          <w:rFonts w:asciiTheme="minorHAnsi" w:eastAsiaTheme="minorEastAsia" w:hAnsiTheme="minorHAnsi" w:cstheme="minorBidi"/>
        </w:rPr>
      </w:pPr>
      <w:r>
        <w:t>Services must be provided for listeners</w:t>
      </w:r>
      <w:r>
        <w:tab/>
      </w:r>
      <w:r>
        <w:fldChar w:fldCharType="begin"/>
      </w:r>
      <w:r>
        <w:instrText xml:space="preserve"> PAGEREF _Toc51335443 \h </w:instrText>
      </w:r>
      <w:r>
        <w:fldChar w:fldCharType="separate"/>
      </w:r>
      <w:r w:rsidR="000D3C7E">
        <w:t>6</w:t>
      </w:r>
      <w:r>
        <w:fldChar w:fldCharType="end"/>
      </w:r>
    </w:p>
    <w:p w14:paraId="5C814A41" w14:textId="2EF5A7A6" w:rsidR="00AF6924" w:rsidRDefault="00AF6924">
      <w:pPr>
        <w:pStyle w:val="TOC2"/>
        <w:rPr>
          <w:rFonts w:asciiTheme="minorHAnsi" w:eastAsiaTheme="minorEastAsia" w:hAnsiTheme="minorHAnsi" w:cstheme="minorBidi"/>
          <w:spacing w:val="0"/>
          <w:sz w:val="22"/>
          <w:szCs w:val="22"/>
        </w:rPr>
      </w:pPr>
      <w:r>
        <w:t>You must keep service records</w:t>
      </w:r>
      <w:r>
        <w:tab/>
      </w:r>
      <w:r>
        <w:fldChar w:fldCharType="begin"/>
      </w:r>
      <w:r>
        <w:instrText xml:space="preserve"> PAGEREF _Toc51335444 \h </w:instrText>
      </w:r>
      <w:r>
        <w:fldChar w:fldCharType="separate"/>
      </w:r>
      <w:r w:rsidR="000D3C7E">
        <w:t>6</w:t>
      </w:r>
      <w:r>
        <w:fldChar w:fldCharType="end"/>
      </w:r>
    </w:p>
    <w:p w14:paraId="670A8643" w14:textId="63D08228" w:rsidR="00AF6924" w:rsidRDefault="00AF6924">
      <w:pPr>
        <w:pStyle w:val="TOC2"/>
        <w:rPr>
          <w:rFonts w:asciiTheme="minorHAnsi" w:eastAsiaTheme="minorEastAsia" w:hAnsiTheme="minorHAnsi" w:cstheme="minorBidi"/>
          <w:spacing w:val="0"/>
          <w:sz w:val="22"/>
          <w:szCs w:val="22"/>
        </w:rPr>
      </w:pPr>
      <w:r>
        <w:t>Conclusion</w:t>
      </w:r>
      <w:r>
        <w:tab/>
      </w:r>
      <w:r>
        <w:fldChar w:fldCharType="begin"/>
      </w:r>
      <w:r>
        <w:instrText xml:space="preserve"> PAGEREF _Toc51335445 \h </w:instrText>
      </w:r>
      <w:r>
        <w:fldChar w:fldCharType="separate"/>
      </w:r>
      <w:r w:rsidR="000D3C7E">
        <w:t>7</w:t>
      </w:r>
      <w:r>
        <w:fldChar w:fldCharType="end"/>
      </w:r>
    </w:p>
    <w:p w14:paraId="19CDB2B3" w14:textId="0D5F8DE6" w:rsidR="00AF6924" w:rsidRDefault="00AF6924">
      <w:pPr>
        <w:pStyle w:val="TOC1"/>
        <w:rPr>
          <w:rFonts w:asciiTheme="minorHAnsi" w:eastAsiaTheme="minorEastAsia" w:hAnsiTheme="minorHAnsi" w:cstheme="minorBidi"/>
          <w:b w:val="0"/>
          <w:spacing w:val="0"/>
          <w:sz w:val="22"/>
          <w:szCs w:val="22"/>
        </w:rPr>
      </w:pPr>
      <w:r>
        <w:t>Your narrowcasting licence—at a glance</w:t>
      </w:r>
      <w:r>
        <w:tab/>
      </w:r>
      <w:r>
        <w:fldChar w:fldCharType="begin"/>
      </w:r>
      <w:r>
        <w:instrText xml:space="preserve"> PAGEREF _Toc51335446 \h </w:instrText>
      </w:r>
      <w:r>
        <w:fldChar w:fldCharType="separate"/>
      </w:r>
      <w:r w:rsidR="000D3C7E">
        <w:t>8</w:t>
      </w:r>
      <w:r>
        <w:fldChar w:fldCharType="end"/>
      </w:r>
    </w:p>
    <w:p w14:paraId="034D4842" w14:textId="38E541C3" w:rsidR="00AF6924" w:rsidRDefault="00AF6924">
      <w:pPr>
        <w:pStyle w:val="TOC1"/>
        <w:rPr>
          <w:rFonts w:asciiTheme="minorHAnsi" w:eastAsiaTheme="minorEastAsia" w:hAnsiTheme="minorHAnsi" w:cstheme="minorBidi"/>
          <w:b w:val="0"/>
          <w:spacing w:val="0"/>
          <w:sz w:val="22"/>
          <w:szCs w:val="22"/>
        </w:rPr>
      </w:pPr>
      <w:r>
        <w:t>More information</w:t>
      </w:r>
      <w:r>
        <w:tab/>
      </w:r>
      <w:r>
        <w:fldChar w:fldCharType="begin"/>
      </w:r>
      <w:r>
        <w:instrText xml:space="preserve"> PAGEREF _Toc51335447 \h </w:instrText>
      </w:r>
      <w:r>
        <w:fldChar w:fldCharType="separate"/>
      </w:r>
      <w:r w:rsidR="000D3C7E">
        <w:t>9</w:t>
      </w:r>
      <w:r>
        <w:fldChar w:fldCharType="end"/>
      </w:r>
    </w:p>
    <w:p w14:paraId="46D9CD8A" w14:textId="21E2315D" w:rsidR="00AF6924" w:rsidRDefault="00AF6924">
      <w:pPr>
        <w:pStyle w:val="TOC1"/>
        <w:rPr>
          <w:rFonts w:asciiTheme="minorHAnsi" w:eastAsiaTheme="minorEastAsia" w:hAnsiTheme="minorHAnsi" w:cstheme="minorBidi"/>
          <w:b w:val="0"/>
          <w:spacing w:val="0"/>
          <w:sz w:val="22"/>
          <w:szCs w:val="22"/>
        </w:rPr>
      </w:pPr>
      <w:r>
        <w:t>Appendix A</w:t>
      </w:r>
      <w:r>
        <w:tab/>
      </w:r>
      <w:r>
        <w:fldChar w:fldCharType="begin"/>
      </w:r>
      <w:r>
        <w:instrText xml:space="preserve"> PAGEREF _Toc51335448 \h </w:instrText>
      </w:r>
      <w:r>
        <w:fldChar w:fldCharType="separate"/>
      </w:r>
      <w:r w:rsidR="000D3C7E">
        <w:t>10</w:t>
      </w:r>
      <w:r>
        <w:fldChar w:fldCharType="end"/>
      </w:r>
    </w:p>
    <w:p w14:paraId="1A881B2D" w14:textId="2CAEFE81" w:rsidR="004D56FF" w:rsidRPr="000D76E0" w:rsidRDefault="009B24A5">
      <w:pPr>
        <w:rPr>
          <w:rFonts w:cs="Arial"/>
        </w:rPr>
        <w:sectPr w:rsidR="004D56FF" w:rsidRPr="000D76E0" w:rsidSect="00C77380">
          <w:headerReference w:type="even" r:id="rId19"/>
          <w:headerReference w:type="default" r:id="rId20"/>
          <w:footerReference w:type="even" r:id="rId21"/>
          <w:footerReference w:type="default" r:id="rId22"/>
          <w:footerReference w:type="first" r:id="rId23"/>
          <w:pgSz w:w="11906" w:h="16838" w:code="9"/>
          <w:pgMar w:top="3646" w:right="3101" w:bottom="1134" w:left="1134" w:header="709" w:footer="119" w:gutter="0"/>
          <w:cols w:space="708"/>
          <w:titlePg/>
          <w:docGrid w:linePitch="360"/>
        </w:sectPr>
      </w:pPr>
      <w:r>
        <w:rPr>
          <w:rFonts w:cs="Arial"/>
          <w:noProof/>
          <w:spacing w:val="-14"/>
          <w:sz w:val="28"/>
        </w:rPr>
        <w:fldChar w:fldCharType="end"/>
      </w:r>
    </w:p>
    <w:p w14:paraId="72874E9C" w14:textId="77777777" w:rsidR="009D6C71" w:rsidRPr="009174F3" w:rsidRDefault="009D6C71" w:rsidP="009174F3">
      <w:pPr>
        <w:pStyle w:val="Execsummaryheading"/>
      </w:pPr>
      <w:bookmarkStart w:id="0" w:name="_Toc51335432"/>
      <w:r w:rsidRPr="009174F3">
        <w:lastRenderedPageBreak/>
        <w:t>Executive summary</w:t>
      </w:r>
      <w:bookmarkEnd w:id="0"/>
    </w:p>
    <w:p w14:paraId="52855208" w14:textId="77777777" w:rsidR="00D96932" w:rsidRDefault="00F97BF9" w:rsidP="00F97BF9">
      <w:pPr>
        <w:pStyle w:val="Paragraph"/>
      </w:pPr>
      <w:r w:rsidRPr="00F97BF9">
        <w:t xml:space="preserve">Low power open narrowcasting (LPON) is used for niche radio broadcasting services. </w:t>
      </w:r>
    </w:p>
    <w:p w14:paraId="5D401B6A" w14:textId="50186270" w:rsidR="00F97BF9" w:rsidRPr="00F97BF9" w:rsidRDefault="00F97BF9" w:rsidP="00F97BF9">
      <w:pPr>
        <w:pStyle w:val="Paragraph"/>
      </w:pPr>
      <w:r w:rsidRPr="00F97BF9">
        <w:t>It allows services to be delivered to specific locations or at certain times, or to be targeted to special interest groups, such as tourist information and ethnic and religious programming. The Australian Communication and Media Authority (ACMA) issues LPON licences and regulates them to ensure compliance with licence conditions.</w:t>
      </w:r>
    </w:p>
    <w:p w14:paraId="7F68A68B" w14:textId="55D16837" w:rsidR="00F97BF9" w:rsidRPr="00F97BF9" w:rsidRDefault="00F97BF9" w:rsidP="00F97BF9">
      <w:pPr>
        <w:pStyle w:val="Paragraph"/>
      </w:pPr>
      <w:r w:rsidRPr="00F97BF9">
        <w:t xml:space="preserve">The </w:t>
      </w:r>
      <w:r w:rsidR="00D96932" w:rsidRPr="00AF6924">
        <w:rPr>
          <w:i/>
          <w:iCs/>
        </w:rPr>
        <w:t>u</w:t>
      </w:r>
      <w:r w:rsidRPr="00AF6924">
        <w:rPr>
          <w:i/>
          <w:iCs/>
        </w:rPr>
        <w:t xml:space="preserve">se </w:t>
      </w:r>
      <w:r w:rsidR="00D96932" w:rsidRPr="00AF6924">
        <w:rPr>
          <w:i/>
          <w:iCs/>
        </w:rPr>
        <w:t>i</w:t>
      </w:r>
      <w:r w:rsidRPr="00AF6924">
        <w:rPr>
          <w:i/>
          <w:iCs/>
        </w:rPr>
        <w:t xml:space="preserve">t or </w:t>
      </w:r>
      <w:r w:rsidR="00D96932" w:rsidRPr="00AF6924">
        <w:rPr>
          <w:i/>
          <w:iCs/>
        </w:rPr>
        <w:t>l</w:t>
      </w:r>
      <w:r w:rsidRPr="00AF6924">
        <w:rPr>
          <w:i/>
          <w:iCs/>
        </w:rPr>
        <w:t xml:space="preserve">ose </w:t>
      </w:r>
      <w:r w:rsidR="00D96932" w:rsidRPr="00AF6924">
        <w:rPr>
          <w:i/>
          <w:iCs/>
        </w:rPr>
        <w:t>i</w:t>
      </w:r>
      <w:r w:rsidRPr="00AF6924">
        <w:rPr>
          <w:i/>
          <w:iCs/>
        </w:rPr>
        <w:t>t</w:t>
      </w:r>
      <w:r w:rsidRPr="00F97BF9">
        <w:t xml:space="preserve"> (UIOLI) </w:t>
      </w:r>
      <w:r w:rsidR="003A6295">
        <w:t>conditions</w:t>
      </w:r>
      <w:r w:rsidRPr="00F97BF9">
        <w:t xml:space="preserve"> are ‘other conditions’ applied to LPON apparatus licensed services operating in the frequency range 87.5 to 88 MHz and are intended to deter ‘hoarding’ of LPON licences.</w:t>
      </w:r>
    </w:p>
    <w:p w14:paraId="33A915E4" w14:textId="57E8D52B" w:rsidR="00F97BF9" w:rsidRDefault="00F97BF9" w:rsidP="00F97BF9">
      <w:pPr>
        <w:pStyle w:val="Paragraphbeforelist"/>
        <w:rPr>
          <w:b/>
          <w:bCs/>
        </w:rPr>
      </w:pPr>
      <w:r w:rsidRPr="00F97BF9">
        <w:t>These arrangements broadly require licensees to:</w:t>
      </w:r>
    </w:p>
    <w:p w14:paraId="1A46A6B0" w14:textId="52FCA428" w:rsidR="00F97BF9" w:rsidRPr="00F97BF9" w:rsidRDefault="00F4166A" w:rsidP="00F97BF9">
      <w:r>
        <w:rPr>
          <w:noProof/>
        </w:rPr>
        <w:drawing>
          <wp:inline distT="0" distB="0" distL="0" distR="0" wp14:anchorId="41326D0B" wp14:editId="7D793F09">
            <wp:extent cx="5849957" cy="216199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4"/>
                    <a:stretch>
                      <a:fillRect/>
                    </a:stretch>
                  </pic:blipFill>
                  <pic:spPr>
                    <a:xfrm>
                      <a:off x="0" y="0"/>
                      <a:ext cx="5862079" cy="2166470"/>
                    </a:xfrm>
                    <a:prstGeom prst="rect">
                      <a:avLst/>
                    </a:prstGeom>
                  </pic:spPr>
                </pic:pic>
              </a:graphicData>
            </a:graphic>
          </wp:inline>
        </w:drawing>
      </w:r>
    </w:p>
    <w:p w14:paraId="1CE862EF" w14:textId="5C7AAD03" w:rsidR="00F97BF9" w:rsidRPr="0069609E" w:rsidRDefault="00F97BF9" w:rsidP="00F97BF9">
      <w:pPr>
        <w:pStyle w:val="Heading2"/>
      </w:pPr>
      <w:bookmarkStart w:id="1" w:name="_Toc51266045"/>
      <w:bookmarkStart w:id="2" w:name="_Toc51335433"/>
      <w:r w:rsidRPr="00F97BF9">
        <w:t>Why is this important?</w:t>
      </w:r>
      <w:bookmarkEnd w:id="1"/>
      <w:bookmarkEnd w:id="2"/>
    </w:p>
    <w:p w14:paraId="1A282605" w14:textId="7CFDFF42" w:rsidR="00F97BF9" w:rsidRDefault="00F97BF9" w:rsidP="00F97BF9">
      <w:pPr>
        <w:pStyle w:val="Paragraph"/>
      </w:pPr>
      <w:bookmarkStart w:id="3" w:name="_Hlk51665644"/>
      <w:r w:rsidRPr="0069609E">
        <w:t xml:space="preserve">Breaching the </w:t>
      </w:r>
      <w:r w:rsidR="00D96932" w:rsidRPr="00F97BF9">
        <w:t>UIOLI</w:t>
      </w:r>
      <w:r w:rsidRPr="0069609E">
        <w:t xml:space="preserve"> condition</w:t>
      </w:r>
      <w:r>
        <w:t>s</w:t>
      </w:r>
      <w:r w:rsidRPr="0069609E">
        <w:t xml:space="preserve"> may result in </w:t>
      </w:r>
      <w:r w:rsidR="00B57E47" w:rsidRPr="0069609E">
        <w:t xml:space="preserve">refusal to renew </w:t>
      </w:r>
      <w:r w:rsidRPr="0069609E">
        <w:t xml:space="preserve">licence or </w:t>
      </w:r>
      <w:r w:rsidR="00B57E47" w:rsidRPr="0069609E">
        <w:t xml:space="preserve">cancellation of </w:t>
      </w:r>
      <w:r w:rsidR="00B57E47">
        <w:t>a</w:t>
      </w:r>
      <w:r w:rsidRPr="0069609E">
        <w:t xml:space="preserve"> licence</w:t>
      </w:r>
      <w:r w:rsidR="00B57E47">
        <w:t xml:space="preserve"> </w:t>
      </w:r>
      <w:r w:rsidR="00B57E47" w:rsidRPr="0069609E">
        <w:t>by the ACMA</w:t>
      </w:r>
      <w:r w:rsidRPr="0069609E">
        <w:t>.</w:t>
      </w:r>
    </w:p>
    <w:p w14:paraId="099E3F32" w14:textId="77777777" w:rsidR="00F97BF9" w:rsidRDefault="00F97BF9" w:rsidP="00031CCA">
      <w:pPr>
        <w:pStyle w:val="Heading1"/>
      </w:pPr>
      <w:bookmarkStart w:id="4" w:name="_Toc51335434"/>
      <w:bookmarkEnd w:id="3"/>
      <w:r>
        <w:lastRenderedPageBreak/>
        <w:t>About this paper</w:t>
      </w:r>
      <w:bookmarkEnd w:id="4"/>
    </w:p>
    <w:p w14:paraId="5ED46CE5" w14:textId="3FAC8D1A" w:rsidR="00D96932" w:rsidRDefault="00F97BF9" w:rsidP="00F97BF9">
      <w:pPr>
        <w:pStyle w:val="Paragraph"/>
      </w:pPr>
      <w:r>
        <w:t xml:space="preserve">This paper has been developed and published in response to recent decisions </w:t>
      </w:r>
      <w:r w:rsidR="00205516">
        <w:t xml:space="preserve">about LPON services </w:t>
      </w:r>
      <w:r>
        <w:t xml:space="preserve">by the Administrative Appeals Tribunal (AAT). </w:t>
      </w:r>
      <w:r w:rsidR="00D96932">
        <w:t>T</w:t>
      </w:r>
      <w:r>
        <w:t xml:space="preserve">he judgements in </w:t>
      </w:r>
      <w:r w:rsidR="00D96932">
        <w:t>these</w:t>
      </w:r>
      <w:r>
        <w:t xml:space="preserve"> matters provide guidance for LPON licensees on how </w:t>
      </w:r>
      <w:r w:rsidR="00D96932">
        <w:t xml:space="preserve">to </w:t>
      </w:r>
      <w:r>
        <w:t xml:space="preserve">interpret the application of the </w:t>
      </w:r>
      <w:r w:rsidR="001A0E3B">
        <w:t>use it or lose it (UIOLI)</w:t>
      </w:r>
      <w:r>
        <w:t xml:space="preserve"> </w:t>
      </w:r>
      <w:r w:rsidR="00B57E47">
        <w:t>conditions</w:t>
      </w:r>
      <w:r w:rsidR="00D96932">
        <w:t xml:space="preserve">. </w:t>
      </w:r>
    </w:p>
    <w:p w14:paraId="568EA634" w14:textId="59AE0266" w:rsidR="00F97BF9" w:rsidRPr="00205516" w:rsidRDefault="00D96932" w:rsidP="00AF6924">
      <w:pPr>
        <w:pStyle w:val="Paragraphbeforelist"/>
      </w:pPr>
      <w:r w:rsidRPr="00205516">
        <w:t>This paper</w:t>
      </w:r>
      <w:r w:rsidR="00F97BF9" w:rsidRPr="00205516">
        <w:t xml:space="preserve">: </w:t>
      </w:r>
    </w:p>
    <w:p w14:paraId="5676B2C5" w14:textId="6B7317B9" w:rsidR="00205516" w:rsidRDefault="00D96932" w:rsidP="00205516">
      <w:pPr>
        <w:pStyle w:val="Bulletlevel1"/>
      </w:pPr>
      <w:r w:rsidRPr="00205516">
        <w:t xml:space="preserve">gives </w:t>
      </w:r>
      <w:r w:rsidR="00F97BF9" w:rsidRPr="00205516">
        <w:t xml:space="preserve">an overview of the use it or lose it </w:t>
      </w:r>
      <w:r w:rsidRPr="00205516">
        <w:t xml:space="preserve">(UIOLI) </w:t>
      </w:r>
      <w:r w:rsidR="00F97BF9" w:rsidRPr="00205516">
        <w:t xml:space="preserve">conditions </w:t>
      </w:r>
    </w:p>
    <w:p w14:paraId="36522196" w14:textId="5CDC6486" w:rsidR="00F97BF9" w:rsidRDefault="00D96932" w:rsidP="00AF6924">
      <w:pPr>
        <w:pStyle w:val="Bulletlevel1last"/>
      </w:pPr>
      <w:r>
        <w:t xml:space="preserve">helps </w:t>
      </w:r>
      <w:r w:rsidR="00F97BF9">
        <w:t xml:space="preserve">LPON licensees to better understand the requirements </w:t>
      </w:r>
      <w:r>
        <w:t xml:space="preserve">about </w:t>
      </w:r>
      <w:r w:rsidR="00F97BF9">
        <w:t xml:space="preserve">reasonable regularity, commencement of a service and record keeping. </w:t>
      </w:r>
    </w:p>
    <w:p w14:paraId="07DF547B" w14:textId="683465CB" w:rsidR="00F97BF9" w:rsidRPr="001A0E3B" w:rsidRDefault="00F97BF9" w:rsidP="00AF6924">
      <w:pPr>
        <w:pStyle w:val="Heading2"/>
      </w:pPr>
      <w:bookmarkStart w:id="5" w:name="_Toc51335435"/>
      <w:r w:rsidRPr="001A0E3B">
        <w:t>Important note</w:t>
      </w:r>
      <w:bookmarkEnd w:id="5"/>
    </w:p>
    <w:p w14:paraId="4CBDB28D" w14:textId="57002580" w:rsidR="00B57E47" w:rsidRDefault="00F97BF9" w:rsidP="00B57E47">
      <w:pPr>
        <w:pStyle w:val="Paragraph"/>
      </w:pPr>
      <w:r>
        <w:t>The information contained in this paper is provided as a guide for LPON licensees and should not be relied on as the only source of information</w:t>
      </w:r>
      <w:r w:rsidR="00B57E47" w:rsidRPr="00B57E47">
        <w:t xml:space="preserve"> </w:t>
      </w:r>
      <w:r w:rsidR="00B57E47">
        <w:t xml:space="preserve">nor does it constitute legal advice. </w:t>
      </w:r>
    </w:p>
    <w:p w14:paraId="17F8EE7A" w14:textId="31A5C1EF" w:rsidR="00B01ACB" w:rsidRDefault="00B57E47" w:rsidP="00B57E47">
      <w:pPr>
        <w:pStyle w:val="Paragraph"/>
      </w:pPr>
      <w:r>
        <w:t>LPON licences are subject to regulatory provisions in the following legislation:</w:t>
      </w:r>
    </w:p>
    <w:p w14:paraId="003739CE" w14:textId="6CCFB14A" w:rsidR="00B01ACB" w:rsidRPr="00AF6924" w:rsidRDefault="008843AE" w:rsidP="00AF6924">
      <w:pPr>
        <w:pStyle w:val="Bulletlevel1"/>
        <w:rPr>
          <w:i/>
          <w:iCs/>
        </w:rPr>
      </w:pPr>
      <w:hyperlink r:id="rId25" w:history="1">
        <w:r w:rsidR="00F97BF9" w:rsidRPr="00AF6924">
          <w:rPr>
            <w:rStyle w:val="Hyperlink"/>
            <w:i/>
            <w:iCs/>
          </w:rPr>
          <w:t>Broadcasting Services Act 1992</w:t>
        </w:r>
      </w:hyperlink>
      <w:r w:rsidR="00F97BF9" w:rsidRPr="00AF6924">
        <w:rPr>
          <w:i/>
          <w:iCs/>
        </w:rPr>
        <w:t xml:space="preserve"> </w:t>
      </w:r>
    </w:p>
    <w:p w14:paraId="0F3F7B15" w14:textId="590DBC58" w:rsidR="00B01ACB" w:rsidRPr="00AF6924" w:rsidRDefault="008843AE" w:rsidP="00AF6924">
      <w:pPr>
        <w:pStyle w:val="Bulletlevel1"/>
        <w:rPr>
          <w:i/>
          <w:iCs/>
        </w:rPr>
      </w:pPr>
      <w:hyperlink r:id="rId26" w:history="1">
        <w:r w:rsidR="00F97BF9" w:rsidRPr="00AF6924">
          <w:rPr>
            <w:rStyle w:val="Hyperlink"/>
            <w:i/>
            <w:iCs/>
          </w:rPr>
          <w:t>Radiocommunications Act 1992</w:t>
        </w:r>
      </w:hyperlink>
    </w:p>
    <w:p w14:paraId="088092A4" w14:textId="7EADCE49" w:rsidR="00B01ACB" w:rsidRPr="003077E5" w:rsidRDefault="008843AE" w:rsidP="00AF6924">
      <w:pPr>
        <w:pStyle w:val="Bulletlevel1"/>
      </w:pPr>
      <w:hyperlink r:id="rId27" w:history="1">
        <w:r w:rsidR="00F97BF9" w:rsidRPr="003077E5">
          <w:rPr>
            <w:rStyle w:val="Hyperlink"/>
          </w:rPr>
          <w:t>Australian Communications Authority (LPON Transmitter Licences) Direction No. 2 of 2000</w:t>
        </w:r>
      </w:hyperlink>
    </w:p>
    <w:p w14:paraId="2A4C75C1" w14:textId="77777777" w:rsidR="00227B82" w:rsidRPr="003077E5" w:rsidRDefault="008843AE" w:rsidP="00227B82">
      <w:pPr>
        <w:pStyle w:val="Bulletlevel1"/>
        <w:rPr>
          <w:rStyle w:val="Hyperlink"/>
        </w:rPr>
      </w:pPr>
      <w:hyperlink r:id="rId28" w:history="1">
        <w:r w:rsidR="00227B82" w:rsidRPr="003077E5">
          <w:rPr>
            <w:rStyle w:val="Hyperlink"/>
          </w:rPr>
          <w:t>Radiocommunications Licence Conditions (Broadcasting Licence) Determination 2015</w:t>
        </w:r>
      </w:hyperlink>
    </w:p>
    <w:p w14:paraId="5E9BB059" w14:textId="27C777D2" w:rsidR="00205516" w:rsidRDefault="00205516" w:rsidP="00205516">
      <w:pPr>
        <w:pStyle w:val="Paragraph"/>
      </w:pPr>
      <w:r>
        <w:t xml:space="preserve">Other helpful links are also given in the </w:t>
      </w:r>
      <w:r w:rsidRPr="00205516">
        <w:rPr>
          <w:i/>
          <w:iCs/>
        </w:rPr>
        <w:t>More information</w:t>
      </w:r>
      <w:r>
        <w:t xml:space="preserve"> section of this paper.</w:t>
      </w:r>
    </w:p>
    <w:p w14:paraId="522F8905" w14:textId="77777777" w:rsidR="00F97BF9" w:rsidRDefault="00F97BF9" w:rsidP="00F97BF9">
      <w:pPr>
        <w:pStyle w:val="Paragraph"/>
      </w:pPr>
    </w:p>
    <w:p w14:paraId="04A862C8" w14:textId="77777777" w:rsidR="00F97BF9" w:rsidRDefault="00F97BF9" w:rsidP="00F97BF9">
      <w:pPr>
        <w:pStyle w:val="Paragraph"/>
      </w:pPr>
    </w:p>
    <w:p w14:paraId="4AE23D97" w14:textId="77777777" w:rsidR="00F97BF9" w:rsidRDefault="00F97BF9" w:rsidP="00F97BF9">
      <w:pPr>
        <w:pStyle w:val="Paragraph"/>
      </w:pPr>
    </w:p>
    <w:p w14:paraId="6461A6C4" w14:textId="77777777" w:rsidR="00F97BF9" w:rsidRDefault="00F97BF9" w:rsidP="00F97BF9">
      <w:pPr>
        <w:pStyle w:val="Paragraph"/>
      </w:pPr>
    </w:p>
    <w:p w14:paraId="11479009" w14:textId="77777777" w:rsidR="00F97BF9" w:rsidRDefault="00F97BF9" w:rsidP="00F97BF9">
      <w:pPr>
        <w:pStyle w:val="Paragraph"/>
      </w:pPr>
    </w:p>
    <w:p w14:paraId="016D7327" w14:textId="77777777" w:rsidR="00F97BF9" w:rsidRDefault="00F97BF9" w:rsidP="00F97BF9">
      <w:pPr>
        <w:pStyle w:val="Paragraph"/>
      </w:pPr>
    </w:p>
    <w:p w14:paraId="5EE75663" w14:textId="77777777" w:rsidR="00F97BF9" w:rsidRDefault="00F97BF9" w:rsidP="00F97BF9">
      <w:pPr>
        <w:pStyle w:val="Paragraph"/>
      </w:pPr>
    </w:p>
    <w:p w14:paraId="6BEA0F25" w14:textId="77777777" w:rsidR="00F97BF9" w:rsidRDefault="00F97BF9" w:rsidP="00F97BF9">
      <w:pPr>
        <w:pStyle w:val="Paragraph"/>
      </w:pPr>
    </w:p>
    <w:p w14:paraId="0D53FB6D" w14:textId="77777777" w:rsidR="00F97BF9" w:rsidRDefault="00F97BF9" w:rsidP="00F97BF9">
      <w:pPr>
        <w:pStyle w:val="Paragraph"/>
      </w:pPr>
    </w:p>
    <w:p w14:paraId="69E1372C" w14:textId="7EFF550E" w:rsidR="00F97BF9" w:rsidRDefault="00F97BF9" w:rsidP="00031CCA">
      <w:pPr>
        <w:pStyle w:val="Heading1"/>
      </w:pPr>
      <w:bookmarkStart w:id="6" w:name="_Toc51335436"/>
      <w:r>
        <w:lastRenderedPageBreak/>
        <w:t>Introduction</w:t>
      </w:r>
      <w:bookmarkEnd w:id="6"/>
    </w:p>
    <w:p w14:paraId="000E8421" w14:textId="511F05FB" w:rsidR="00F97BF9" w:rsidRDefault="00F97BF9" w:rsidP="00AF6924">
      <w:pPr>
        <w:pStyle w:val="Paragraphbeforelist"/>
      </w:pPr>
      <w:r>
        <w:t xml:space="preserve">Low Power Open Narrowcast </w:t>
      </w:r>
      <w:r w:rsidR="00CB5799">
        <w:t xml:space="preserve">(LPON) </w:t>
      </w:r>
      <w:r>
        <w:t xml:space="preserve">services are subject to a range of </w:t>
      </w:r>
      <w:hyperlink r:id="rId29" w:history="1">
        <w:r w:rsidRPr="00F97BF9">
          <w:rPr>
            <w:rStyle w:val="Hyperlink"/>
          </w:rPr>
          <w:t>licence conditions</w:t>
        </w:r>
      </w:hyperlink>
      <w:r w:rsidR="001A0E3B">
        <w:t>,</w:t>
      </w:r>
      <w:r>
        <w:t xml:space="preserve"> including:</w:t>
      </w:r>
    </w:p>
    <w:p w14:paraId="47EFA41B" w14:textId="4EAB4DBF" w:rsidR="00F97BF9" w:rsidRDefault="00AD7000" w:rsidP="00AF6924">
      <w:pPr>
        <w:pStyle w:val="Bulletlevel1"/>
      </w:pPr>
      <w:r>
        <w:t>e</w:t>
      </w:r>
      <w:r w:rsidR="00F97BF9">
        <w:t>xclusion zones</w:t>
      </w:r>
    </w:p>
    <w:p w14:paraId="4F77698A" w14:textId="502A301B" w:rsidR="00F97BF9" w:rsidRDefault="00AD7000" w:rsidP="00AF6924">
      <w:pPr>
        <w:pStyle w:val="Bulletlevel1"/>
      </w:pPr>
      <w:r>
        <w:t>p</w:t>
      </w:r>
      <w:r w:rsidR="00F97BF9">
        <w:t xml:space="preserve">ower and coverage limitations </w:t>
      </w:r>
    </w:p>
    <w:p w14:paraId="3318B06B" w14:textId="5794A176" w:rsidR="00F97BF9" w:rsidRDefault="00AD7000" w:rsidP="00AF6924">
      <w:pPr>
        <w:pStyle w:val="Bulletlevel1"/>
      </w:pPr>
      <w:r>
        <w:t>l</w:t>
      </w:r>
      <w:r w:rsidR="00F97BF9">
        <w:t>imited protection from interference</w:t>
      </w:r>
    </w:p>
    <w:p w14:paraId="5534D82E" w14:textId="7C03069A" w:rsidR="00F97BF9" w:rsidRDefault="00CB5799" w:rsidP="00AF6924">
      <w:pPr>
        <w:pStyle w:val="Bulletlevel1"/>
      </w:pPr>
      <w:r>
        <w:t>n</w:t>
      </w:r>
      <w:r w:rsidR="00F97BF9">
        <w:t>o security of tenure</w:t>
      </w:r>
    </w:p>
    <w:p w14:paraId="67563859" w14:textId="65C29FD3" w:rsidR="00F97BF9" w:rsidRDefault="00CB5799" w:rsidP="00AF6924">
      <w:pPr>
        <w:pStyle w:val="Bulletlevel1"/>
      </w:pPr>
      <w:r>
        <w:t>m</w:t>
      </w:r>
      <w:r w:rsidR="00F97BF9">
        <w:t xml:space="preserve">inimum separation distance requirements </w:t>
      </w:r>
    </w:p>
    <w:p w14:paraId="71BC8DCA" w14:textId="4B4EB6AD" w:rsidR="00F97BF9" w:rsidRDefault="00F97BF9" w:rsidP="00AF6924">
      <w:pPr>
        <w:pStyle w:val="Bulletlevel1"/>
      </w:pPr>
      <w:r>
        <w:t xml:space="preserve">not </w:t>
      </w:r>
      <w:r w:rsidR="00CB5799">
        <w:t xml:space="preserve">being </w:t>
      </w:r>
      <w:r>
        <w:t>operate</w:t>
      </w:r>
      <w:r w:rsidR="00CB5799">
        <w:t>d</w:t>
      </w:r>
      <w:r>
        <w:t xml:space="preserve"> as a community or commercial radio broadcasting service </w:t>
      </w:r>
    </w:p>
    <w:p w14:paraId="699867F4" w14:textId="25C2ECEE" w:rsidR="00F97BF9" w:rsidRDefault="00F97BF9" w:rsidP="00F97BF9">
      <w:pPr>
        <w:pStyle w:val="Paragraph"/>
      </w:pPr>
      <w:r>
        <w:t>&gt;</w:t>
      </w:r>
      <w:r>
        <w:tab/>
      </w:r>
      <w:r w:rsidR="003A34FF">
        <w:t>u</w:t>
      </w:r>
      <w:r>
        <w:t>se it or lose it requirements</w:t>
      </w:r>
      <w:r w:rsidR="003A34FF">
        <w:t>.</w:t>
      </w:r>
      <w:r>
        <w:t xml:space="preserve"> </w:t>
      </w:r>
    </w:p>
    <w:p w14:paraId="16D8F94C" w14:textId="50418B09" w:rsidR="00F97BF9" w:rsidRDefault="00F97BF9" w:rsidP="00F97BF9">
      <w:pPr>
        <w:pStyle w:val="Paragraph"/>
      </w:pPr>
      <w:r>
        <w:t xml:space="preserve">This paper focuses on the </w:t>
      </w:r>
      <w:r w:rsidR="003A34FF" w:rsidRPr="00AF6924">
        <w:rPr>
          <w:i/>
          <w:iCs/>
        </w:rPr>
        <w:t>u</w:t>
      </w:r>
      <w:r w:rsidRPr="00AF6924">
        <w:rPr>
          <w:i/>
          <w:iCs/>
        </w:rPr>
        <w:t>se it or lose it</w:t>
      </w:r>
      <w:r>
        <w:t xml:space="preserve"> </w:t>
      </w:r>
      <w:r w:rsidR="003A34FF">
        <w:t xml:space="preserve">(UIOLI) </w:t>
      </w:r>
      <w:r>
        <w:t xml:space="preserve">requirements </w:t>
      </w:r>
      <w:r w:rsidR="003A34FF">
        <w:t>in</w:t>
      </w:r>
      <w:r>
        <w:t xml:space="preserve"> </w:t>
      </w:r>
      <w:bookmarkStart w:id="7" w:name="_Hlk51666697"/>
      <w:r>
        <w:t xml:space="preserve">paragraph 4.11 of </w:t>
      </w:r>
      <w:bookmarkEnd w:id="7"/>
      <w:r>
        <w:t xml:space="preserve">the </w:t>
      </w:r>
      <w:hyperlink r:id="rId30" w:history="1">
        <w:r w:rsidRPr="00F97BF9">
          <w:rPr>
            <w:rStyle w:val="Hyperlink"/>
          </w:rPr>
          <w:t>Radiocommunications Licence Conditions (Broadcasting Licence) Determination 2015</w:t>
        </w:r>
      </w:hyperlink>
      <w:r>
        <w:t xml:space="preserve"> and the </w:t>
      </w:r>
      <w:hyperlink r:id="rId31" w:history="1">
        <w:r w:rsidRPr="00F97BF9">
          <w:rPr>
            <w:rStyle w:val="Hyperlink"/>
          </w:rPr>
          <w:t>Australian Communications Authority (LPON Transmitter Licences) Direction No. 2 of 2000</w:t>
        </w:r>
      </w:hyperlink>
      <w:r>
        <w:t xml:space="preserve">. </w:t>
      </w:r>
    </w:p>
    <w:p w14:paraId="1D18E85A" w14:textId="561F7D67" w:rsidR="001A63CA" w:rsidRDefault="00F97BF9" w:rsidP="00F97BF9">
      <w:pPr>
        <w:pStyle w:val="Paragraph"/>
      </w:pPr>
      <w:r>
        <w:t xml:space="preserve">The </w:t>
      </w:r>
      <w:r w:rsidR="003A34FF">
        <w:t>Administrative Appeals Tribunal (AAT)</w:t>
      </w:r>
      <w:r>
        <w:t xml:space="preserve"> has recently decided on two matters</w:t>
      </w:r>
      <w:r w:rsidR="003A34FF">
        <w:t>,</w:t>
      </w:r>
      <w:r>
        <w:t xml:space="preserve"> which provide guidance on how it interprets the application of UIOLI </w:t>
      </w:r>
      <w:r w:rsidR="003A6295">
        <w:t>conditions</w:t>
      </w:r>
      <w:r>
        <w:t xml:space="preserve">. </w:t>
      </w:r>
      <w:r w:rsidR="001A63CA">
        <w:t xml:space="preserve">Given these decisions, it’s important that licensees are aware of the </w:t>
      </w:r>
      <w:r w:rsidR="00803E01">
        <w:t xml:space="preserve">UIOLI </w:t>
      </w:r>
      <w:r w:rsidR="001A63CA">
        <w:t xml:space="preserve">conditions and </w:t>
      </w:r>
      <w:r w:rsidR="00803E01">
        <w:t xml:space="preserve">how to </w:t>
      </w:r>
      <w:r w:rsidR="001A63CA">
        <w:t>put them into practice.</w:t>
      </w:r>
    </w:p>
    <w:p w14:paraId="1CE0A38A" w14:textId="37FEF5FC" w:rsidR="00F97BF9" w:rsidRDefault="00F97BF9" w:rsidP="00F97BF9">
      <w:pPr>
        <w:pStyle w:val="Paragraph"/>
      </w:pPr>
      <w:r>
        <w:t xml:space="preserve">The key purpose of these requirements is to ensure that services are provided to the public under LPON licences and that licences are not hoarded </w:t>
      </w:r>
      <w:r w:rsidR="00803E01">
        <w:t>or remain</w:t>
      </w:r>
      <w:r>
        <w:t xml:space="preserve"> unused. </w:t>
      </w:r>
    </w:p>
    <w:p w14:paraId="70EEB12F" w14:textId="4E81F746" w:rsidR="00F97BF9" w:rsidRDefault="00F97BF9" w:rsidP="00F97BF9">
      <w:pPr>
        <w:pStyle w:val="Paragraph"/>
      </w:pPr>
      <w:r>
        <w:t xml:space="preserve">This supports the primary objects of the </w:t>
      </w:r>
      <w:hyperlink r:id="rId32" w:history="1">
        <w:r w:rsidRPr="00F97BF9">
          <w:rPr>
            <w:rStyle w:val="Hyperlink"/>
            <w:i/>
            <w:iCs/>
          </w:rPr>
          <w:t>Broadcasting Services Act 1992</w:t>
        </w:r>
      </w:hyperlink>
      <w:r w:rsidR="003A34FF">
        <w:rPr>
          <w:i/>
          <w:iCs/>
        </w:rPr>
        <w:t>,</w:t>
      </w:r>
      <w:r>
        <w:t xml:space="preserve"> one of which is to maximise the overall public benefit derived from using the radiofrequency spectrum</w:t>
      </w:r>
      <w:r w:rsidR="003A34FF">
        <w:t xml:space="preserve"> by ensuring the efficient allocation and use of the spectrum</w:t>
      </w:r>
      <w:r>
        <w:t>.</w:t>
      </w:r>
    </w:p>
    <w:p w14:paraId="10103FEE" w14:textId="420001B7" w:rsidR="00F97BF9" w:rsidRDefault="00F97BF9" w:rsidP="00F97BF9">
      <w:pPr>
        <w:pStyle w:val="Paragraph"/>
      </w:pPr>
      <w:r>
        <w:t xml:space="preserve">This paper </w:t>
      </w:r>
      <w:r w:rsidR="003A34FF">
        <w:t>focuses on</w:t>
      </w:r>
      <w:r>
        <w:t xml:space="preserve"> the </w:t>
      </w:r>
      <w:r w:rsidR="003A34FF">
        <w:t xml:space="preserve">UIOLI conditions, specifically the </w:t>
      </w:r>
      <w:r>
        <w:t xml:space="preserve">concepts of </w:t>
      </w:r>
      <w:r w:rsidRPr="00F97BF9">
        <w:rPr>
          <w:i/>
          <w:iCs/>
        </w:rPr>
        <w:t xml:space="preserve">commencement of service, reasonable regularity </w:t>
      </w:r>
      <w:r w:rsidRPr="00F97BF9">
        <w:t>and</w:t>
      </w:r>
      <w:r w:rsidRPr="00F97BF9">
        <w:rPr>
          <w:i/>
          <w:iCs/>
        </w:rPr>
        <w:t xml:space="preserve"> record keeping</w:t>
      </w:r>
      <w:r>
        <w:t xml:space="preserve">. </w:t>
      </w:r>
    </w:p>
    <w:p w14:paraId="4452EEFE" w14:textId="732A4881" w:rsidR="00F97BF9" w:rsidRDefault="00F97BF9" w:rsidP="00F97BF9">
      <w:pPr>
        <w:pStyle w:val="Paragraph"/>
      </w:pPr>
      <w:r>
        <w:t xml:space="preserve">The relevant provisions in the Radiocommunications Licence Conditions (Broadcasting Licence) Determination 2015 </w:t>
      </w:r>
      <w:r w:rsidR="003A6295">
        <w:t xml:space="preserve">and the </w:t>
      </w:r>
      <w:r w:rsidR="003A6295" w:rsidRPr="003A6295">
        <w:rPr>
          <w:u w:color="0000FF"/>
        </w:rPr>
        <w:t>Australian Communications Authority (LPON Transmitter Licences) Direction No. 2 of 2000</w:t>
      </w:r>
      <w:r w:rsidR="003A34FF">
        <w:t>can be found in</w:t>
      </w:r>
      <w:r>
        <w:t xml:space="preserve"> Appendix A.</w:t>
      </w:r>
    </w:p>
    <w:p w14:paraId="178D81E2" w14:textId="01E5749B" w:rsidR="00F97BF9" w:rsidRPr="00F97BF9" w:rsidRDefault="00F97BF9" w:rsidP="00F97BF9">
      <w:pPr>
        <w:pStyle w:val="Heading2"/>
      </w:pPr>
      <w:bookmarkStart w:id="8" w:name="_Toc51266048"/>
      <w:bookmarkStart w:id="9" w:name="_Toc51335437"/>
      <w:r w:rsidRPr="00F97BF9">
        <w:t xml:space="preserve">LPON </w:t>
      </w:r>
      <w:r w:rsidR="001A63CA">
        <w:t>c</w:t>
      </w:r>
      <w:r w:rsidRPr="00F97BF9">
        <w:t>ompliance</w:t>
      </w:r>
      <w:bookmarkEnd w:id="8"/>
      <w:bookmarkEnd w:id="9"/>
    </w:p>
    <w:p w14:paraId="2ABC8C2D" w14:textId="77777777" w:rsidR="00F97BF9" w:rsidRPr="00EC2282" w:rsidRDefault="00F97BF9" w:rsidP="00F97BF9">
      <w:pPr>
        <w:pStyle w:val="Paragraphbeforelist"/>
      </w:pPr>
      <w:r w:rsidRPr="00EC2282">
        <w:t xml:space="preserve">The ACMA may investigate when: </w:t>
      </w:r>
    </w:p>
    <w:p w14:paraId="1E5A625B" w14:textId="3E31C6AD" w:rsidR="00F97BF9" w:rsidRPr="00EC2282" w:rsidRDefault="001A63CA" w:rsidP="00F97BF9">
      <w:pPr>
        <w:pStyle w:val="Bulletlevel1"/>
      </w:pPr>
      <w:r>
        <w:t xml:space="preserve">we </w:t>
      </w:r>
      <w:r w:rsidR="00F97BF9">
        <w:t>become aware a licensee may be in breach of a licence condition; and/or</w:t>
      </w:r>
    </w:p>
    <w:p w14:paraId="0C7C05E4" w14:textId="77777777" w:rsidR="00F97BF9" w:rsidRDefault="00F97BF9" w:rsidP="00F97BF9">
      <w:pPr>
        <w:pStyle w:val="Bulletlevel1last"/>
      </w:pPr>
      <w:r w:rsidRPr="00EC2282">
        <w:t>a valid complaint is made to the ACMA.</w:t>
      </w:r>
    </w:p>
    <w:p w14:paraId="14BE45C0" w14:textId="0289C345" w:rsidR="00F97BF9" w:rsidRDefault="001A63CA" w:rsidP="00F97BF9">
      <w:pPr>
        <w:pStyle w:val="Paragraph"/>
      </w:pPr>
      <w:r>
        <w:t>We</w:t>
      </w:r>
      <w:r w:rsidR="00F97BF9" w:rsidRPr="007438C9">
        <w:t xml:space="preserve"> </w:t>
      </w:r>
      <w:r w:rsidR="00F97BF9">
        <w:t xml:space="preserve">generally only </w:t>
      </w:r>
      <w:r w:rsidR="00F97BF9" w:rsidRPr="007438C9">
        <w:t xml:space="preserve">investigate the </w:t>
      </w:r>
      <w:r w:rsidR="00F97BF9">
        <w:t>operation</w:t>
      </w:r>
      <w:r w:rsidR="00F97BF9" w:rsidRPr="007438C9">
        <w:t xml:space="preserve"> of an LPON service when a formal complaint is made about the service. </w:t>
      </w:r>
      <w:r w:rsidR="00F97BF9" w:rsidRPr="00262C14">
        <w:t xml:space="preserve">However, if </w:t>
      </w:r>
      <w:r>
        <w:t xml:space="preserve">we </w:t>
      </w:r>
      <w:r w:rsidR="00F97BF9" w:rsidRPr="00262C14">
        <w:t xml:space="preserve">discover that a licence for an LPON service is not being used, </w:t>
      </w:r>
      <w:r>
        <w:t>we</w:t>
      </w:r>
      <w:r w:rsidR="00F97BF9" w:rsidRPr="00262C14">
        <w:t xml:space="preserve"> may initiate an investigation. </w:t>
      </w:r>
    </w:p>
    <w:p w14:paraId="0CFAC496" w14:textId="7A14E7D5" w:rsidR="00F97BF9" w:rsidRPr="00262C14" w:rsidRDefault="00F97BF9" w:rsidP="000D3C7E">
      <w:pPr>
        <w:pStyle w:val="Paragraphbeforelist"/>
        <w:keepNext/>
        <w:keepLines/>
      </w:pPr>
      <w:r w:rsidRPr="00262C14">
        <w:lastRenderedPageBreak/>
        <w:t>In considering whether a licensee has failed to continue to provide a service,</w:t>
      </w:r>
      <w:r>
        <w:t xml:space="preserve"> or whether a service was provided at all</w:t>
      </w:r>
      <w:r w:rsidR="001A63CA">
        <w:t>, we look at:</w:t>
      </w:r>
    </w:p>
    <w:p w14:paraId="0B547048" w14:textId="423BB495" w:rsidR="00F97BF9" w:rsidRPr="00262C14" w:rsidRDefault="00F97BF9" w:rsidP="000D3C7E">
      <w:pPr>
        <w:pStyle w:val="Bulletlevel1"/>
        <w:keepNext/>
        <w:keepLines/>
      </w:pPr>
      <w:r w:rsidRPr="00262C14">
        <w:t>the period for which a service has not been provided</w:t>
      </w:r>
      <w:r w:rsidR="001A63CA">
        <w:t>,</w:t>
      </w:r>
      <w:r w:rsidRPr="00262C14">
        <w:t xml:space="preserve"> in relation to the period in which it could have been provided</w:t>
      </w:r>
    </w:p>
    <w:p w14:paraId="41644011" w14:textId="478D17E7" w:rsidR="00F97BF9" w:rsidRPr="00262C14" w:rsidRDefault="00F97BF9" w:rsidP="000D3C7E">
      <w:pPr>
        <w:pStyle w:val="Bulletlevel1"/>
        <w:keepNext/>
        <w:keepLines/>
      </w:pPr>
      <w:r w:rsidRPr="00262C14">
        <w:t xml:space="preserve">whether any circumstances existed </w:t>
      </w:r>
      <w:r w:rsidR="001A63CA" w:rsidRPr="00262C14">
        <w:t>that were beyond the reasonable control of the licensee</w:t>
      </w:r>
      <w:r w:rsidR="001A63CA">
        <w:t>,</w:t>
      </w:r>
      <w:r w:rsidR="001A63CA" w:rsidRPr="00262C14">
        <w:t xml:space="preserve"> </w:t>
      </w:r>
      <w:r w:rsidRPr="00262C14">
        <w:t xml:space="preserve">which </w:t>
      </w:r>
      <w:r w:rsidR="001A63CA">
        <w:t>resulted in</w:t>
      </w:r>
      <w:r w:rsidRPr="00262C14">
        <w:t xml:space="preserve"> a failure to continue to provide a service </w:t>
      </w:r>
    </w:p>
    <w:p w14:paraId="3DFA91B6" w14:textId="77777777" w:rsidR="00F97BF9" w:rsidRDefault="00F97BF9" w:rsidP="000D3C7E">
      <w:pPr>
        <w:pStyle w:val="Bulletlevel1"/>
        <w:keepNext/>
        <w:keepLines/>
      </w:pPr>
      <w:r w:rsidRPr="00262C14">
        <w:t>the number of other apparatus licences for LPONs held by the licensee and the level of services provided under those licences</w:t>
      </w:r>
    </w:p>
    <w:p w14:paraId="50B4BC2C" w14:textId="0ADAE485" w:rsidR="00F97BF9" w:rsidRDefault="00F97BF9" w:rsidP="00F97BF9">
      <w:pPr>
        <w:pStyle w:val="Bulletlevel1last"/>
      </w:pPr>
      <w:r w:rsidRPr="00FC5DA9">
        <w:t xml:space="preserve">other matters that </w:t>
      </w:r>
      <w:r w:rsidR="00205516">
        <w:t>we</w:t>
      </w:r>
      <w:r w:rsidRPr="00FC5DA9">
        <w:t xml:space="preserve"> consider relevant</w:t>
      </w:r>
      <w:r w:rsidR="001A63CA">
        <w:t>.</w:t>
      </w:r>
      <w:r>
        <w:rPr>
          <w:rStyle w:val="FootnoteReference"/>
          <w:sz w:val="24"/>
        </w:rPr>
        <w:footnoteReference w:id="1"/>
      </w:r>
    </w:p>
    <w:p w14:paraId="40A3C1A5" w14:textId="0A7D6F80" w:rsidR="00F97BF9" w:rsidRDefault="00F97BF9" w:rsidP="00F97BF9">
      <w:pPr>
        <w:pStyle w:val="Paragraph"/>
      </w:pPr>
      <w:r w:rsidRPr="00F16DE4">
        <w:t xml:space="preserve">The outcome of any ACMA investigation of non-compliance will depend on the facts and circumstances of the case. </w:t>
      </w:r>
    </w:p>
    <w:p w14:paraId="5477B416" w14:textId="092B4949" w:rsidR="00031CCA" w:rsidRPr="00FC5DA9" w:rsidRDefault="00031CCA" w:rsidP="00AF6924">
      <w:pPr>
        <w:pStyle w:val="Heading1"/>
      </w:pPr>
      <w:bookmarkStart w:id="10" w:name="_Toc51266049"/>
      <w:bookmarkStart w:id="11" w:name="_Toc51335438"/>
      <w:r>
        <w:lastRenderedPageBreak/>
        <w:t>U</w:t>
      </w:r>
      <w:r w:rsidR="001A63CA">
        <w:t xml:space="preserve">IOLI </w:t>
      </w:r>
      <w:r>
        <w:t>conditions</w:t>
      </w:r>
      <w:bookmarkEnd w:id="10"/>
      <w:bookmarkEnd w:id="11"/>
    </w:p>
    <w:p w14:paraId="0F449DFD" w14:textId="7932F7CB" w:rsidR="00031CCA" w:rsidRPr="00AF6924" w:rsidRDefault="00031CCA" w:rsidP="001A63CA">
      <w:pPr>
        <w:pStyle w:val="Paragraph"/>
      </w:pPr>
      <w:bookmarkStart w:id="12" w:name="_Hlk51665837"/>
      <w:r w:rsidRPr="00AF6924">
        <w:t xml:space="preserve">The </w:t>
      </w:r>
      <w:r w:rsidR="001A63CA">
        <w:t xml:space="preserve">UIOLI </w:t>
      </w:r>
      <w:r w:rsidR="009C4925">
        <w:t>conditions</w:t>
      </w:r>
      <w:r w:rsidRPr="00AF6924">
        <w:t xml:space="preserve"> </w:t>
      </w:r>
      <w:r w:rsidR="009C4925">
        <w:t>are</w:t>
      </w:r>
      <w:r w:rsidRPr="00AF6924">
        <w:t xml:space="preserve"> very important for </w:t>
      </w:r>
      <w:r w:rsidR="00803E01">
        <w:t xml:space="preserve">the operation of an </w:t>
      </w:r>
      <w:r w:rsidRPr="00AF6924">
        <w:t>LPON licen</w:t>
      </w:r>
      <w:r w:rsidR="00803E01">
        <w:t>ce.</w:t>
      </w:r>
    </w:p>
    <w:p w14:paraId="566DBF43" w14:textId="33592740" w:rsidR="00031CCA" w:rsidRDefault="00803E01" w:rsidP="00AF6924">
      <w:pPr>
        <w:pStyle w:val="Paragraphbeforelist"/>
      </w:pPr>
      <w:r>
        <w:t>T</w:t>
      </w:r>
      <w:r w:rsidR="00031CCA">
        <w:t xml:space="preserve">here are three important criteria in the UIOLI </w:t>
      </w:r>
      <w:r w:rsidR="003A6295">
        <w:t>conditions</w:t>
      </w:r>
      <w:r w:rsidR="00031CCA">
        <w:t>:</w:t>
      </w:r>
    </w:p>
    <w:p w14:paraId="4B4F4AB3" w14:textId="317FDAEF" w:rsidR="00031CCA" w:rsidRPr="00B05897" w:rsidRDefault="001A63CA" w:rsidP="00AF6924">
      <w:pPr>
        <w:pStyle w:val="Numberlistlevel1"/>
      </w:pPr>
      <w:r>
        <w:t>y</w:t>
      </w:r>
      <w:r w:rsidR="00031CCA" w:rsidRPr="00B05897">
        <w:t xml:space="preserve">ou must start broadcasting within </w:t>
      </w:r>
      <w:r>
        <w:t>six</w:t>
      </w:r>
      <w:r w:rsidR="00031CCA" w:rsidRPr="00B05897">
        <w:t xml:space="preserve"> months of getting your licence</w:t>
      </w:r>
    </w:p>
    <w:p w14:paraId="3BF19B4E" w14:textId="10FEDACB" w:rsidR="00031CCA" w:rsidRPr="00B05897" w:rsidRDefault="001A63CA" w:rsidP="00AF6924">
      <w:pPr>
        <w:pStyle w:val="Numberlistlevel1"/>
      </w:pPr>
      <w:r>
        <w:t>y</w:t>
      </w:r>
      <w:r w:rsidR="00031CCA" w:rsidRPr="00B05897">
        <w:t xml:space="preserve">ou need to use it regularly </w:t>
      </w:r>
    </w:p>
    <w:p w14:paraId="3EDFD6DA" w14:textId="1C1C5AAA" w:rsidR="00031CCA" w:rsidRPr="00AF6924" w:rsidRDefault="001A63CA" w:rsidP="00AF6924">
      <w:pPr>
        <w:pStyle w:val="Numberlistlevel1"/>
      </w:pPr>
      <w:r>
        <w:t>y</w:t>
      </w:r>
      <w:r w:rsidR="00031CCA" w:rsidRPr="00AF6924">
        <w:t>ou must keep records</w:t>
      </w:r>
      <w:r>
        <w:t>.</w:t>
      </w:r>
    </w:p>
    <w:p w14:paraId="2C424908" w14:textId="3FB9D343" w:rsidR="00031CCA" w:rsidRDefault="00031CCA" w:rsidP="001A63CA">
      <w:pPr>
        <w:pStyle w:val="Heading2"/>
      </w:pPr>
      <w:bookmarkStart w:id="13" w:name="_Toc51266050"/>
      <w:bookmarkStart w:id="14" w:name="_Toc51335439"/>
      <w:bookmarkEnd w:id="12"/>
      <w:r>
        <w:t xml:space="preserve">You must </w:t>
      </w:r>
      <w:r w:rsidR="00BD138E">
        <w:t xml:space="preserve">start </w:t>
      </w:r>
      <w:r>
        <w:t xml:space="preserve">a service within </w:t>
      </w:r>
      <w:r w:rsidR="001A63CA">
        <w:t>six</w:t>
      </w:r>
      <w:r>
        <w:t xml:space="preserve"> months</w:t>
      </w:r>
      <w:bookmarkEnd w:id="13"/>
      <w:bookmarkEnd w:id="14"/>
    </w:p>
    <w:p w14:paraId="2810EB32" w14:textId="4A555787" w:rsidR="00031CCA" w:rsidRPr="00AF6924" w:rsidRDefault="00031CCA" w:rsidP="001A63CA">
      <w:pPr>
        <w:pStyle w:val="Paragraph"/>
      </w:pPr>
      <w:r>
        <w:t>U</w:t>
      </w:r>
      <w:r w:rsidRPr="004C7631">
        <w:t xml:space="preserve">nless </w:t>
      </w:r>
      <w:r w:rsidR="00BD138E">
        <w:t>you have</w:t>
      </w:r>
      <w:r w:rsidRPr="004C7631">
        <w:t xml:space="preserve"> a reasonable excuse for not doing so, </w:t>
      </w:r>
      <w:r w:rsidR="00BD138E">
        <w:t xml:space="preserve">the licensee </w:t>
      </w:r>
      <w:r w:rsidRPr="004C7631">
        <w:t xml:space="preserve">must commence the service within </w:t>
      </w:r>
      <w:r w:rsidR="001A63CA">
        <w:t>six</w:t>
      </w:r>
      <w:r w:rsidRPr="004C7631">
        <w:t xml:space="preserve"> months </w:t>
      </w:r>
      <w:r w:rsidR="001A63CA">
        <w:t xml:space="preserve">from </w:t>
      </w:r>
      <w:r w:rsidRPr="004C7631">
        <w:t xml:space="preserve">the day the licence </w:t>
      </w:r>
      <w:r w:rsidR="001A63CA">
        <w:t>was</w:t>
      </w:r>
      <w:r w:rsidRPr="004C7631">
        <w:t xml:space="preserve"> issued</w:t>
      </w:r>
      <w:r w:rsidR="001A63CA">
        <w:t>.</w:t>
      </w:r>
      <w:r>
        <w:rPr>
          <w:rStyle w:val="FootnoteReference"/>
          <w:sz w:val="24"/>
        </w:rPr>
        <w:footnoteReference w:id="2"/>
      </w:r>
      <w:r w:rsidR="00BD138E">
        <w:t xml:space="preserve"> </w:t>
      </w:r>
      <w:r w:rsidRPr="00AF6924">
        <w:t xml:space="preserve">This </w:t>
      </w:r>
      <w:r w:rsidR="009C4925">
        <w:t xml:space="preserve">is intended to </w:t>
      </w:r>
      <w:r w:rsidRPr="00AF6924">
        <w:t xml:space="preserve">allow enough time to set-up infrastructure for broadcasting. </w:t>
      </w:r>
    </w:p>
    <w:p w14:paraId="2C1BA300" w14:textId="508AF51E" w:rsidR="00031CCA" w:rsidRDefault="00BD138E" w:rsidP="00AF6924">
      <w:pPr>
        <w:pStyle w:val="Paragraphbeforelist"/>
      </w:pPr>
      <w:r>
        <w:t>Y</w:t>
      </w:r>
      <w:r w:rsidR="00031CCA">
        <w:t xml:space="preserve">ou must </w:t>
      </w:r>
      <w:r>
        <w:t xml:space="preserve">have </w:t>
      </w:r>
      <w:r w:rsidR="00031CCA">
        <w:t>evidence of:</w:t>
      </w:r>
    </w:p>
    <w:p w14:paraId="3B48F591" w14:textId="7DEA54F0" w:rsidR="00031CCA" w:rsidRDefault="00BD138E" w:rsidP="00AF6924">
      <w:pPr>
        <w:pStyle w:val="Bulletlevel1"/>
      </w:pPr>
      <w:r>
        <w:t>t</w:t>
      </w:r>
      <w:r w:rsidR="00031CCA">
        <w:t>ransmitter set-up at the specified location</w:t>
      </w:r>
    </w:p>
    <w:p w14:paraId="790188D9" w14:textId="11A8D463" w:rsidR="00031CCA" w:rsidRPr="00AF6924" w:rsidRDefault="00BD138E" w:rsidP="00BD138E">
      <w:pPr>
        <w:pStyle w:val="Bulletlevel1last"/>
      </w:pPr>
      <w:r w:rsidRPr="00AF6924">
        <w:t>t</w:t>
      </w:r>
      <w:r w:rsidR="00031CCA" w:rsidRPr="00AF6924">
        <w:t xml:space="preserve">echnical details of the frequency </w:t>
      </w:r>
      <w:r w:rsidR="009C4925">
        <w:t>the service is being provided on</w:t>
      </w:r>
      <w:r>
        <w:t>.</w:t>
      </w:r>
    </w:p>
    <w:p w14:paraId="4AEBF07B" w14:textId="76CFB0F6" w:rsidR="00031CCA" w:rsidRDefault="00031CCA" w:rsidP="00031CCA">
      <w:pPr>
        <w:pStyle w:val="Heading2"/>
      </w:pPr>
      <w:bookmarkStart w:id="15" w:name="_Toc51266051"/>
      <w:bookmarkStart w:id="16" w:name="_Toc51335440"/>
      <w:r>
        <w:t xml:space="preserve">You must </w:t>
      </w:r>
      <w:r w:rsidR="00BD138E">
        <w:t xml:space="preserve">use </w:t>
      </w:r>
      <w:r>
        <w:t>the service with reasonable regularity</w:t>
      </w:r>
      <w:bookmarkEnd w:id="15"/>
      <w:bookmarkEnd w:id="16"/>
    </w:p>
    <w:p w14:paraId="58757E11" w14:textId="4E5D1897" w:rsidR="00031CCA" w:rsidRPr="00043601" w:rsidRDefault="00031CCA" w:rsidP="00AF6924">
      <w:pPr>
        <w:pStyle w:val="Paragraph"/>
      </w:pPr>
      <w:r>
        <w:t>A</w:t>
      </w:r>
      <w:r w:rsidRPr="00B12871">
        <w:t xml:space="preserve"> licensee must </w:t>
      </w:r>
      <w:r w:rsidR="009C4925">
        <w:t>provide</w:t>
      </w:r>
      <w:r w:rsidR="00BD138E" w:rsidRPr="00B12871">
        <w:t xml:space="preserve"> </w:t>
      </w:r>
      <w:r w:rsidRPr="00B12871">
        <w:t xml:space="preserve">the service with </w:t>
      </w:r>
      <w:r w:rsidRPr="00043601">
        <w:t>reasonable regularity for the duration of the licence</w:t>
      </w:r>
      <w:r w:rsidR="006D6108">
        <w:t>.</w:t>
      </w:r>
      <w:r>
        <w:rPr>
          <w:rStyle w:val="FootnoteReference"/>
          <w:sz w:val="24"/>
        </w:rPr>
        <w:footnoteReference w:id="3"/>
      </w:r>
    </w:p>
    <w:p w14:paraId="2E7234C8" w14:textId="0F1EDCA8" w:rsidR="00031CCA" w:rsidRPr="00D5612F" w:rsidRDefault="00031CCA" w:rsidP="00BD138E">
      <w:pPr>
        <w:pStyle w:val="Paragraph"/>
      </w:pPr>
      <w:r w:rsidRPr="00D5612F">
        <w:t xml:space="preserve">To meet the </w:t>
      </w:r>
      <w:r w:rsidR="00BD138E">
        <w:t>‘</w:t>
      </w:r>
      <w:r w:rsidRPr="00D5612F">
        <w:t>reasonable regularity</w:t>
      </w:r>
      <w:r w:rsidR="00BD138E">
        <w:t>’</w:t>
      </w:r>
      <w:r w:rsidRPr="00D5612F">
        <w:t xml:space="preserve"> requirement</w:t>
      </w:r>
      <w:r w:rsidR="00BD138E">
        <w:t>,</w:t>
      </w:r>
      <w:r w:rsidRPr="00D5612F">
        <w:t xml:space="preserve"> there are couple of key factors you should consider:</w:t>
      </w:r>
    </w:p>
    <w:p w14:paraId="6E5FB7FE" w14:textId="75A3C568" w:rsidR="00031CCA" w:rsidRPr="00AF6924" w:rsidRDefault="00031CCA" w:rsidP="00AF6924">
      <w:pPr>
        <w:pStyle w:val="Heading3"/>
        <w:rPr>
          <w:rStyle w:val="Heading3Char"/>
          <w:b/>
          <w:bCs/>
        </w:rPr>
      </w:pPr>
      <w:bookmarkStart w:id="17" w:name="_Toc51335441"/>
      <w:r w:rsidRPr="00AF6924">
        <w:rPr>
          <w:rStyle w:val="Heading3Char"/>
          <w:b/>
          <w:bCs/>
        </w:rPr>
        <w:t>Services should be happening on a frequent or habitual basis</w:t>
      </w:r>
      <w:bookmarkEnd w:id="17"/>
    </w:p>
    <w:p w14:paraId="5CF6D867" w14:textId="04D8D2DE" w:rsidR="009C4925" w:rsidRDefault="00031CCA" w:rsidP="009C4925">
      <w:pPr>
        <w:pStyle w:val="Paragraph"/>
        <w:spacing w:after="120"/>
        <w:rPr>
          <w:szCs w:val="20"/>
        </w:rPr>
      </w:pPr>
      <w:r w:rsidRPr="006D6108">
        <w:rPr>
          <w:szCs w:val="20"/>
        </w:rPr>
        <w:t>In the decision by the Administrative Appeals Tribunal (AAT)</w:t>
      </w:r>
      <w:r w:rsidR="006D6108">
        <w:rPr>
          <w:szCs w:val="20"/>
        </w:rPr>
        <w:t>,</w:t>
      </w:r>
      <w:r w:rsidRPr="006D6108">
        <w:rPr>
          <w:szCs w:val="20"/>
        </w:rPr>
        <w:t xml:space="preserve"> </w:t>
      </w:r>
      <w:hyperlink r:id="rId33" w:history="1">
        <w:r w:rsidRPr="00AF6924">
          <w:rPr>
            <w:rStyle w:val="Hyperlink"/>
            <w:i/>
            <w:iCs/>
            <w:szCs w:val="20"/>
          </w:rPr>
          <w:t>Futrends Pty Ltd and Australian Communications and Media Authority</w:t>
        </w:r>
      </w:hyperlink>
      <w:r w:rsidRPr="006D6108">
        <w:rPr>
          <w:i/>
          <w:iCs/>
          <w:szCs w:val="20"/>
        </w:rPr>
        <w:t xml:space="preserve"> </w:t>
      </w:r>
      <w:r w:rsidRPr="006D6108">
        <w:rPr>
          <w:szCs w:val="20"/>
        </w:rPr>
        <w:t xml:space="preserve">in April 2020 the ACMA’s application of </w:t>
      </w:r>
      <w:r w:rsidRPr="006D6108">
        <w:rPr>
          <w:i/>
          <w:iCs/>
          <w:szCs w:val="20"/>
        </w:rPr>
        <w:t>‘with reasonable regularity for the duration of the licence’</w:t>
      </w:r>
      <w:r w:rsidRPr="006D6108">
        <w:rPr>
          <w:szCs w:val="20"/>
        </w:rPr>
        <w:t xml:space="preserve"> in cancelling LPON licences was considered and upheld. The decision noted the ordinary meanings of the word regular but concluded that the context </w:t>
      </w:r>
      <w:r w:rsidR="009C4925" w:rsidRPr="009C4925">
        <w:rPr>
          <w:szCs w:val="20"/>
        </w:rPr>
        <w:t xml:space="preserve">in which regularity is used in subsection paragraph 4.11(1)(b) of the Direction. </w:t>
      </w:r>
    </w:p>
    <w:p w14:paraId="69F7DF8D" w14:textId="429EB0F1" w:rsidR="00031CCA" w:rsidRPr="00AF6924" w:rsidRDefault="00031CCA" w:rsidP="009C4925">
      <w:pPr>
        <w:pStyle w:val="Paragraph"/>
        <w:spacing w:after="120"/>
        <w:ind w:firstLine="284"/>
        <w:rPr>
          <w:i/>
          <w:iCs/>
          <w:szCs w:val="20"/>
        </w:rPr>
      </w:pPr>
      <w:r w:rsidRPr="00AF6924">
        <w:rPr>
          <w:i/>
          <w:iCs/>
          <w:szCs w:val="20"/>
        </w:rPr>
        <w:t>Used, done, or happening on a frequent or habitual basis</w:t>
      </w:r>
      <w:r w:rsidR="006D6108">
        <w:rPr>
          <w:i/>
          <w:iCs/>
          <w:szCs w:val="20"/>
        </w:rPr>
        <w:t>.</w:t>
      </w:r>
      <w:r w:rsidRPr="00AF6924">
        <w:rPr>
          <w:rStyle w:val="FootnoteReference"/>
          <w:i/>
          <w:iCs/>
          <w:szCs w:val="20"/>
        </w:rPr>
        <w:footnoteReference w:id="4"/>
      </w:r>
    </w:p>
    <w:p w14:paraId="654807E0" w14:textId="77777777" w:rsidR="00031CCA" w:rsidRPr="00AF6924" w:rsidRDefault="00031CCA" w:rsidP="00AF6924">
      <w:pPr>
        <w:pStyle w:val="Paragraph"/>
      </w:pPr>
      <w:r w:rsidRPr="00AF6924">
        <w:t>This reflects the purpose of the UIOLI conditions in ensuring LPON services are not hoarded or unused.</w:t>
      </w:r>
    </w:p>
    <w:p w14:paraId="17630C8C" w14:textId="2544FAE3" w:rsidR="00031CCA" w:rsidRDefault="00031CCA" w:rsidP="00AF6924">
      <w:pPr>
        <w:pStyle w:val="Paragraph"/>
      </w:pPr>
      <w:r w:rsidRPr="00AF6924">
        <w:t xml:space="preserve">This meaning of reasonable regularity was further supported by the AAT’s decision in July 2020 of this year in the case of </w:t>
      </w:r>
      <w:hyperlink r:id="rId34" w:history="1">
        <w:r w:rsidRPr="00AF6924">
          <w:rPr>
            <w:rStyle w:val="Hyperlink"/>
            <w:i/>
            <w:iCs/>
            <w:szCs w:val="20"/>
          </w:rPr>
          <w:t>W&amp;A Wi</w:t>
        </w:r>
        <w:r w:rsidR="009C4925">
          <w:rPr>
            <w:rStyle w:val="Hyperlink"/>
            <w:i/>
            <w:iCs/>
            <w:szCs w:val="20"/>
          </w:rPr>
          <w:t>l</w:t>
        </w:r>
        <w:r w:rsidRPr="00AF6924">
          <w:rPr>
            <w:rStyle w:val="Hyperlink"/>
            <w:i/>
            <w:iCs/>
            <w:szCs w:val="20"/>
          </w:rPr>
          <w:t>lmington and Australian Communications and Media Authority</w:t>
        </w:r>
      </w:hyperlink>
      <w:r w:rsidRPr="00AF6924">
        <w:rPr>
          <w:i/>
          <w:iCs/>
        </w:rPr>
        <w:t xml:space="preserve">, </w:t>
      </w:r>
      <w:r w:rsidRPr="00AF6924">
        <w:t xml:space="preserve">which again agreed with the ACMA’s cancellation of LPON </w:t>
      </w:r>
      <w:r>
        <w:t>licenc</w:t>
      </w:r>
      <w:r w:rsidRPr="00205516">
        <w:t xml:space="preserve">es as they were not being used with reasonable regularity and defined </w:t>
      </w:r>
      <w:r w:rsidR="009C4925">
        <w:t xml:space="preserve">reasonable regularity </w:t>
      </w:r>
      <w:r w:rsidRPr="00205516">
        <w:t xml:space="preserve"> as </w:t>
      </w:r>
      <w:r w:rsidRPr="00205516">
        <w:rPr>
          <w:i/>
          <w:iCs/>
        </w:rPr>
        <w:t>a frequent or habitual service</w:t>
      </w:r>
      <w:r w:rsidRPr="00205516">
        <w:t>.</w:t>
      </w:r>
      <w:r>
        <w:rPr>
          <w:i/>
          <w:iCs/>
        </w:rPr>
        <w:t xml:space="preserve"> </w:t>
      </w:r>
    </w:p>
    <w:p w14:paraId="4DE5071D" w14:textId="073BF08A" w:rsidR="00031CCA" w:rsidRPr="0029135A" w:rsidRDefault="00031CCA" w:rsidP="000D3C7E">
      <w:pPr>
        <w:pStyle w:val="Paragraph"/>
        <w:keepNext/>
        <w:keepLines/>
      </w:pPr>
      <w:r w:rsidRPr="0029135A">
        <w:lastRenderedPageBreak/>
        <w:t xml:space="preserve">We note that there is no fixed minimum number of hours as to what </w:t>
      </w:r>
      <w:r w:rsidR="00205516">
        <w:t>makes up</w:t>
      </w:r>
      <w:r w:rsidRPr="0029135A">
        <w:t xml:space="preserve"> ‘reasonable regularity’. Rather, what is ‘reasonable’ will be informed by all the circumstances of the licence. However, the </w:t>
      </w:r>
      <w:r w:rsidR="00205516">
        <w:t>‘</w:t>
      </w:r>
      <w:r w:rsidRPr="0029135A">
        <w:t>reasonable</w:t>
      </w:r>
      <w:r w:rsidR="00205516">
        <w:t>’</w:t>
      </w:r>
      <w:r w:rsidRPr="0029135A">
        <w:t xml:space="preserve"> requirement should be informed by the purpose of the condition, which is to ensure that people are </w:t>
      </w:r>
      <w:r w:rsidR="00DB1D9F">
        <w:t>making</w:t>
      </w:r>
      <w:r w:rsidRPr="0029135A">
        <w:t xml:space="preserve"> meaningful use of the licence.</w:t>
      </w:r>
    </w:p>
    <w:p w14:paraId="664EBC79" w14:textId="6259A8A9" w:rsidR="00031CCA" w:rsidRPr="00650E16" w:rsidRDefault="00031CCA" w:rsidP="00AF6924">
      <w:pPr>
        <w:pStyle w:val="Heading3"/>
      </w:pPr>
      <w:bookmarkStart w:id="18" w:name="_Toc51335442"/>
      <w:r w:rsidRPr="00650E16">
        <w:t>Services need to be occurring more than once a year</w:t>
      </w:r>
      <w:bookmarkEnd w:id="18"/>
    </w:p>
    <w:p w14:paraId="75A15F19" w14:textId="5D428F7E" w:rsidR="00031CCA" w:rsidRPr="00667E97" w:rsidRDefault="00031CCA" w:rsidP="00AF6924">
      <w:pPr>
        <w:pStyle w:val="Paragraph"/>
      </w:pPr>
      <w:r>
        <w:t xml:space="preserve">The decision in the case of </w:t>
      </w:r>
      <w:r w:rsidRPr="003D332E">
        <w:rPr>
          <w:i/>
          <w:iCs/>
        </w:rPr>
        <w:t>Futrends Pty Ltd and Australian Communications and Media Authority</w:t>
      </w:r>
      <w:r>
        <w:rPr>
          <w:i/>
          <w:iCs/>
        </w:rPr>
        <w:t xml:space="preserve"> </w:t>
      </w:r>
      <w:r w:rsidR="009C4925" w:rsidRPr="009C4925">
        <w:t>notes that the provision in paragraph 4.11(1)(a) of the Direction requiring commencement of a service within six months of the issue of the licence, strongly suggests</w:t>
      </w:r>
      <w:r w:rsidRPr="00DB24D4">
        <w:t xml:space="preserve">, that </w:t>
      </w:r>
      <w:r>
        <w:t>serv</w:t>
      </w:r>
      <w:r w:rsidRPr="00667E97">
        <w:t xml:space="preserve">ices provided at intervals of longer than six months would not meet the </w:t>
      </w:r>
      <w:r w:rsidR="0029135A" w:rsidRPr="00667E97">
        <w:t>‘</w:t>
      </w:r>
      <w:r w:rsidRPr="00667E97">
        <w:t>reasonable regularity</w:t>
      </w:r>
      <w:r w:rsidR="0029135A" w:rsidRPr="00667E97">
        <w:t>’</w:t>
      </w:r>
      <w:r w:rsidRPr="00667E97">
        <w:t xml:space="preserve"> requirement</w:t>
      </w:r>
      <w:r w:rsidR="00667E97" w:rsidRPr="00667E97">
        <w:t>.</w:t>
      </w:r>
      <w:r w:rsidRPr="00AF6924">
        <w:rPr>
          <w:vertAlign w:val="superscript"/>
        </w:rPr>
        <w:footnoteReference w:id="5"/>
      </w:r>
    </w:p>
    <w:p w14:paraId="4ACA268F" w14:textId="7E438981" w:rsidR="00031CCA" w:rsidRPr="00AF6924" w:rsidRDefault="00031CCA" w:rsidP="00AF6924">
      <w:pPr>
        <w:spacing w:before="240"/>
        <w:rPr>
          <w:szCs w:val="20"/>
        </w:rPr>
      </w:pPr>
      <w:r w:rsidRPr="00AF6924">
        <w:rPr>
          <w:szCs w:val="20"/>
        </w:rPr>
        <w:t xml:space="preserve">The decision by the AAT in </w:t>
      </w:r>
      <w:hyperlink r:id="rId35" w:history="1">
        <w:r w:rsidRPr="00AF6924">
          <w:rPr>
            <w:rStyle w:val="Hyperlink"/>
            <w:i/>
            <w:iCs/>
            <w:szCs w:val="20"/>
          </w:rPr>
          <w:t>W&amp;A Wil</w:t>
        </w:r>
        <w:r w:rsidR="00725094">
          <w:rPr>
            <w:rStyle w:val="Hyperlink"/>
            <w:i/>
            <w:iCs/>
            <w:szCs w:val="20"/>
          </w:rPr>
          <w:t>l</w:t>
        </w:r>
        <w:r w:rsidRPr="00AF6924">
          <w:rPr>
            <w:rStyle w:val="Hyperlink"/>
            <w:i/>
            <w:iCs/>
            <w:szCs w:val="20"/>
          </w:rPr>
          <w:t>mington and Australian Communications and Media Authority</w:t>
        </w:r>
      </w:hyperlink>
      <w:r w:rsidRPr="00AF6924">
        <w:rPr>
          <w:i/>
          <w:iCs/>
          <w:szCs w:val="20"/>
        </w:rPr>
        <w:t xml:space="preserve"> </w:t>
      </w:r>
      <w:r w:rsidRPr="00AF6924">
        <w:rPr>
          <w:szCs w:val="20"/>
        </w:rPr>
        <w:t xml:space="preserve">notes that transmissions a year apart </w:t>
      </w:r>
      <w:r w:rsidRPr="00AF6924">
        <w:rPr>
          <w:i/>
          <w:iCs/>
          <w:szCs w:val="20"/>
        </w:rPr>
        <w:t>cannot be considered to have been provided with reasonable regularity</w:t>
      </w:r>
      <w:r w:rsidR="00667E97">
        <w:rPr>
          <w:i/>
          <w:iCs/>
          <w:szCs w:val="20"/>
        </w:rPr>
        <w:t>.</w:t>
      </w:r>
      <w:r w:rsidRPr="00AF6924">
        <w:rPr>
          <w:rStyle w:val="FootnoteReference"/>
          <w:i/>
          <w:iCs/>
          <w:szCs w:val="20"/>
        </w:rPr>
        <w:footnoteReference w:id="6"/>
      </w:r>
    </w:p>
    <w:p w14:paraId="48362C1E" w14:textId="168CF6CF" w:rsidR="00031CCA" w:rsidRPr="00AF6924" w:rsidRDefault="00031CCA" w:rsidP="00AF6924">
      <w:pPr>
        <w:pStyle w:val="Heading3"/>
        <w:rPr>
          <w:rStyle w:val="Heading3Char"/>
        </w:rPr>
      </w:pPr>
      <w:bookmarkStart w:id="19" w:name="_Toc51335443"/>
      <w:r w:rsidRPr="00AF6924">
        <w:t>Services must be provided for listeners</w:t>
      </w:r>
      <w:bookmarkEnd w:id="19"/>
    </w:p>
    <w:p w14:paraId="080F0DE6" w14:textId="30B13CC0" w:rsidR="00031CCA" w:rsidRDefault="00031CCA">
      <w:pPr>
        <w:pStyle w:val="Paragraph"/>
      </w:pPr>
      <w:r>
        <w:t xml:space="preserve">The recent decisions by the AAT </w:t>
      </w:r>
      <w:r w:rsidRPr="00B45E8D">
        <w:t xml:space="preserve">also </w:t>
      </w:r>
      <w:r w:rsidR="00803E01">
        <w:t xml:space="preserve">demonstrate that </w:t>
      </w:r>
      <w:r>
        <w:t xml:space="preserve">transmissions for short periods </w:t>
      </w:r>
      <w:r w:rsidRPr="00AF6924">
        <w:t>may</w:t>
      </w:r>
      <w:r w:rsidRPr="00AF6924">
        <w:rPr>
          <w:b/>
          <w:bCs/>
          <w:i/>
          <w:iCs/>
        </w:rPr>
        <w:t xml:space="preserve"> not</w:t>
      </w:r>
      <w:r>
        <w:t xml:space="preserve"> satisfy the requirement of ‘reasonable regularity’</w:t>
      </w:r>
      <w:r>
        <w:rPr>
          <w:rStyle w:val="FootnoteReference"/>
          <w:sz w:val="24"/>
        </w:rPr>
        <w:footnoteReference w:id="7"/>
      </w:r>
      <w:r w:rsidR="00667E97">
        <w:t>, a</w:t>
      </w:r>
      <w:r>
        <w:t xml:space="preserve">s transmitting for short periods or </w:t>
      </w:r>
      <w:r w:rsidR="00667E97">
        <w:t xml:space="preserve">making </w:t>
      </w:r>
      <w:r>
        <w:t xml:space="preserve">test transmissions to meet licence conditions is not a provision of a service to listeners. </w:t>
      </w:r>
    </w:p>
    <w:p w14:paraId="4494D4F8" w14:textId="69912D4C" w:rsidR="00031CCA" w:rsidRDefault="00031CCA" w:rsidP="00AF6924">
      <w:pPr>
        <w:pStyle w:val="Paragraph"/>
      </w:pPr>
      <w:r>
        <w:t>The requirement is for the licensee to provide the service to which the licence relates</w:t>
      </w:r>
      <w:r w:rsidR="00667E97">
        <w:t>.</w:t>
      </w:r>
      <w:r>
        <w:rPr>
          <w:rStyle w:val="FootnoteReference"/>
          <w:sz w:val="24"/>
        </w:rPr>
        <w:footnoteReference w:id="8"/>
      </w:r>
    </w:p>
    <w:p w14:paraId="1CBB1293" w14:textId="5578BF1B" w:rsidR="00031CCA" w:rsidRDefault="00031CCA" w:rsidP="00707CBE">
      <w:pPr>
        <w:pStyle w:val="Heading2"/>
      </w:pPr>
      <w:bookmarkStart w:id="22" w:name="_Toc51266052"/>
      <w:bookmarkStart w:id="23" w:name="_Toc51335444"/>
      <w:r>
        <w:t>You must keep service records</w:t>
      </w:r>
      <w:bookmarkEnd w:id="22"/>
      <w:bookmarkEnd w:id="23"/>
      <w:r>
        <w:t xml:space="preserve"> </w:t>
      </w:r>
    </w:p>
    <w:p w14:paraId="4FC45B22" w14:textId="14485E01" w:rsidR="00031CCA" w:rsidRDefault="00031CCA" w:rsidP="00AF6924">
      <w:pPr>
        <w:pStyle w:val="Paragraph"/>
      </w:pPr>
      <w:r>
        <w:t>The</w:t>
      </w:r>
      <w:r w:rsidRPr="00E352CD">
        <w:t xml:space="preserve"> licensee must maintain records of the commencement, hours of operation and provision of the service</w:t>
      </w:r>
      <w:r w:rsidR="00667E97">
        <w:t>.</w:t>
      </w:r>
      <w:r>
        <w:rPr>
          <w:rStyle w:val="FootnoteReference"/>
          <w:sz w:val="24"/>
        </w:rPr>
        <w:footnoteReference w:id="9"/>
      </w:r>
    </w:p>
    <w:p w14:paraId="3AE8F700" w14:textId="77777777" w:rsidR="00031CCA" w:rsidRDefault="00031CCA" w:rsidP="00AF6924">
      <w:pPr>
        <w:pStyle w:val="Paragraphbeforelist"/>
      </w:pPr>
      <w:r>
        <w:t>This means that you must:</w:t>
      </w:r>
    </w:p>
    <w:p w14:paraId="16589810" w14:textId="5676080C" w:rsidR="00031CCA" w:rsidRPr="00B05897" w:rsidRDefault="00667E97" w:rsidP="00AF6924">
      <w:pPr>
        <w:pStyle w:val="Bulletlevel1"/>
      </w:pPr>
      <w:r>
        <w:t>k</w:t>
      </w:r>
      <w:r w:rsidR="00031CCA" w:rsidRPr="00B05897">
        <w:t>eep a logbook of the hours/events of operation</w:t>
      </w:r>
    </w:p>
    <w:p w14:paraId="5FCE6837" w14:textId="1D622C63" w:rsidR="00031CCA" w:rsidRPr="00B05897" w:rsidRDefault="00667E97" w:rsidP="00AF6924">
      <w:pPr>
        <w:pStyle w:val="Bulletlevel1"/>
      </w:pPr>
      <w:r>
        <w:t>k</w:t>
      </w:r>
      <w:r w:rsidR="00031CCA" w:rsidRPr="00B05897">
        <w:t xml:space="preserve">eep visual and audio broadcast recordings </w:t>
      </w:r>
    </w:p>
    <w:p w14:paraId="0C80EDFC" w14:textId="5A4D9B05" w:rsidR="00031CCA" w:rsidRPr="00AF6924" w:rsidRDefault="00667E97" w:rsidP="00667E97">
      <w:pPr>
        <w:pStyle w:val="Bulletlevel1last"/>
      </w:pPr>
      <w:r>
        <w:t>d</w:t>
      </w:r>
      <w:r w:rsidR="00031CCA" w:rsidRPr="00AF6924">
        <w:t>ocument the nature of the service being provided, whether daily or for special</w:t>
      </w:r>
      <w:r w:rsidR="00F4166A">
        <w:t> </w:t>
      </w:r>
      <w:r w:rsidR="00031CCA" w:rsidRPr="00AF6924">
        <w:t>events.</w:t>
      </w:r>
    </w:p>
    <w:p w14:paraId="49369485" w14:textId="6485475F" w:rsidR="00031CCA" w:rsidRPr="00AF6924" w:rsidRDefault="00031CCA" w:rsidP="00667E97">
      <w:pPr>
        <w:pStyle w:val="Paragraph"/>
        <w:rPr>
          <w:rFonts w:cs="Times New Roman"/>
          <w:szCs w:val="20"/>
        </w:rPr>
      </w:pPr>
      <w:r w:rsidRPr="00AF6924">
        <w:rPr>
          <w:rFonts w:cs="Times New Roman"/>
          <w:szCs w:val="20"/>
        </w:rPr>
        <w:t xml:space="preserve">The recent decisions by the AAT in the cases of </w:t>
      </w:r>
      <w:hyperlink r:id="rId36" w:history="1">
        <w:r w:rsidRPr="00AF6924">
          <w:rPr>
            <w:rStyle w:val="Hyperlink"/>
            <w:i/>
            <w:iCs/>
            <w:szCs w:val="20"/>
          </w:rPr>
          <w:t>Futrends Pty Ltd and Australian Communications and Media Authority</w:t>
        </w:r>
      </w:hyperlink>
      <w:r w:rsidRPr="00AF6924">
        <w:rPr>
          <w:i/>
          <w:iCs/>
          <w:szCs w:val="20"/>
        </w:rPr>
        <w:t xml:space="preserve"> </w:t>
      </w:r>
      <w:r w:rsidRPr="00AF6924">
        <w:rPr>
          <w:szCs w:val="20"/>
        </w:rPr>
        <w:t xml:space="preserve">and </w:t>
      </w:r>
      <w:hyperlink r:id="rId37" w:history="1">
        <w:r w:rsidRPr="00AF6924">
          <w:rPr>
            <w:rStyle w:val="Hyperlink"/>
            <w:i/>
            <w:iCs/>
            <w:szCs w:val="20"/>
          </w:rPr>
          <w:t>W&amp;A Wi</w:t>
        </w:r>
        <w:r w:rsidR="00725094">
          <w:rPr>
            <w:rStyle w:val="Hyperlink"/>
            <w:i/>
            <w:iCs/>
            <w:szCs w:val="20"/>
          </w:rPr>
          <w:t>l</w:t>
        </w:r>
        <w:r w:rsidRPr="00AF6924">
          <w:rPr>
            <w:rStyle w:val="Hyperlink"/>
            <w:i/>
            <w:iCs/>
            <w:szCs w:val="20"/>
          </w:rPr>
          <w:t>lmington and Australian Communications and Media Authority</w:t>
        </w:r>
      </w:hyperlink>
      <w:r w:rsidRPr="00AF6924">
        <w:rPr>
          <w:i/>
          <w:iCs/>
          <w:szCs w:val="20"/>
        </w:rPr>
        <w:t xml:space="preserve"> </w:t>
      </w:r>
      <w:r w:rsidRPr="00AF6924">
        <w:rPr>
          <w:szCs w:val="20"/>
        </w:rPr>
        <w:t xml:space="preserve">demonstrate the importance of record keeping in providing evidence of </w:t>
      </w:r>
      <w:r w:rsidRPr="00AF6924">
        <w:rPr>
          <w:rFonts w:cs="Times New Roman"/>
          <w:szCs w:val="20"/>
        </w:rPr>
        <w:t>when the service commenced, its hours of operation and what types of services are being provided for LPON licensees.</w:t>
      </w:r>
    </w:p>
    <w:p w14:paraId="4DEC8017" w14:textId="6E40EC79" w:rsidR="00031CCA" w:rsidRPr="0070242D" w:rsidRDefault="00031CCA" w:rsidP="000D3C7E">
      <w:pPr>
        <w:pStyle w:val="Heading2"/>
        <w:keepLines/>
      </w:pPr>
      <w:bookmarkStart w:id="24" w:name="_Toc51266053"/>
      <w:bookmarkStart w:id="25" w:name="_Toc51335445"/>
      <w:r w:rsidRPr="007D320A">
        <w:lastRenderedPageBreak/>
        <w:t>Conclusion</w:t>
      </w:r>
      <w:bookmarkEnd w:id="24"/>
      <w:bookmarkEnd w:id="25"/>
    </w:p>
    <w:p w14:paraId="04FAE107" w14:textId="1A0C1C8E" w:rsidR="00031CCA" w:rsidRDefault="00031CCA" w:rsidP="000D3C7E">
      <w:pPr>
        <w:pStyle w:val="Paragraph"/>
        <w:keepNext/>
        <w:keepLines/>
      </w:pPr>
      <w:r>
        <w:t xml:space="preserve">The recent AAT decisions </w:t>
      </w:r>
      <w:r w:rsidR="00EA42AC">
        <w:t>should help guide</w:t>
      </w:r>
      <w:r w:rsidR="00725094">
        <w:t xml:space="preserve"> the ACMA and </w:t>
      </w:r>
      <w:r w:rsidR="00725094" w:rsidRPr="00981CF9">
        <w:t>LPON</w:t>
      </w:r>
      <w:r>
        <w:t xml:space="preserve"> licensees </w:t>
      </w:r>
      <w:r w:rsidRPr="00631490">
        <w:t>to better understand</w:t>
      </w:r>
      <w:r>
        <w:t xml:space="preserve"> </w:t>
      </w:r>
      <w:r w:rsidR="00EA42AC">
        <w:t xml:space="preserve">the meaning of </w:t>
      </w:r>
      <w:r>
        <w:t>reasonable regularity, commencement of service and record keeping</w:t>
      </w:r>
      <w:r w:rsidR="00EA42AC">
        <w:t xml:space="preserve"> </w:t>
      </w:r>
      <w:r>
        <w:t xml:space="preserve">in the context of the UIOLI </w:t>
      </w:r>
      <w:r w:rsidR="00725094">
        <w:t>conditions</w:t>
      </w:r>
      <w:r>
        <w:t xml:space="preserve">. </w:t>
      </w:r>
    </w:p>
    <w:p w14:paraId="279787E3" w14:textId="7B9BAA9A" w:rsidR="00031CCA" w:rsidRPr="00AF6924" w:rsidRDefault="00031CCA" w:rsidP="000D3C7E">
      <w:pPr>
        <w:pStyle w:val="Paragraphbeforelist"/>
        <w:keepNext/>
        <w:keepLines/>
      </w:pPr>
      <w:r w:rsidRPr="00AF6924">
        <w:t xml:space="preserve">It is clear from the AAT </w:t>
      </w:r>
      <w:r w:rsidR="00725094">
        <w:t>decisions</w:t>
      </w:r>
      <w:r w:rsidRPr="00AF6924">
        <w:t xml:space="preserve"> that the intention of the UIOLI </w:t>
      </w:r>
      <w:r w:rsidR="00725094">
        <w:t>conditions</w:t>
      </w:r>
      <w:r w:rsidRPr="00AF6924">
        <w:t xml:space="preserve"> are that:</w:t>
      </w:r>
    </w:p>
    <w:p w14:paraId="7B44C7BC" w14:textId="532A7128" w:rsidR="00031CCA" w:rsidRPr="00B05897" w:rsidRDefault="00EA42AC" w:rsidP="000D3C7E">
      <w:pPr>
        <w:pStyle w:val="Bulletlevel1"/>
        <w:keepNext/>
        <w:keepLines/>
      </w:pPr>
      <w:r w:rsidRPr="00B05897">
        <w:t>LPON</w:t>
      </w:r>
      <w:r>
        <w:t xml:space="preserve"> services </w:t>
      </w:r>
      <w:r w:rsidR="00707CBE">
        <w:t>must be</w:t>
      </w:r>
      <w:r w:rsidR="00031CCA" w:rsidRPr="00B05897">
        <w:t xml:space="preserve"> turned on within </w:t>
      </w:r>
      <w:r>
        <w:t>six</w:t>
      </w:r>
      <w:r w:rsidR="00031CCA" w:rsidRPr="00B05897">
        <w:t xml:space="preserve"> months of acquisition</w:t>
      </w:r>
    </w:p>
    <w:p w14:paraId="18AF60F3" w14:textId="2DB4DFD5" w:rsidR="00031CCA" w:rsidRPr="00B05897" w:rsidRDefault="00031CCA" w:rsidP="000D3C7E">
      <w:pPr>
        <w:pStyle w:val="Bulletlevel1"/>
        <w:keepNext/>
        <w:keepLines/>
      </w:pPr>
      <w:r w:rsidRPr="00B05897">
        <w:t xml:space="preserve">a service </w:t>
      </w:r>
      <w:r w:rsidR="00707CBE">
        <w:t>must be</w:t>
      </w:r>
      <w:r w:rsidRPr="00B05897">
        <w:t xml:space="preserve"> provided to listeners regularly </w:t>
      </w:r>
    </w:p>
    <w:p w14:paraId="1B270240" w14:textId="0EFBB604" w:rsidR="00031CCA" w:rsidRPr="00AF6924" w:rsidRDefault="00031CCA" w:rsidP="00EA42AC">
      <w:pPr>
        <w:pStyle w:val="Bulletlevel1last"/>
      </w:pPr>
      <w:r w:rsidRPr="00AF6924">
        <w:t xml:space="preserve">records of transmission </w:t>
      </w:r>
      <w:r w:rsidR="00707CBE">
        <w:t>must be</w:t>
      </w:r>
      <w:r w:rsidRPr="00AF6924">
        <w:t xml:space="preserve"> kept.  </w:t>
      </w:r>
    </w:p>
    <w:p w14:paraId="428E1F07" w14:textId="65D6946C" w:rsidR="00031CCA" w:rsidRDefault="00031CCA" w:rsidP="00AF6924">
      <w:pPr>
        <w:pStyle w:val="Paragraph"/>
      </w:pPr>
      <w:r>
        <w:t xml:space="preserve">The </w:t>
      </w:r>
      <w:r w:rsidRPr="00580E16">
        <w:t>ACMA</w:t>
      </w:r>
      <w:r w:rsidRPr="007D320A">
        <w:t xml:space="preserve"> </w:t>
      </w:r>
      <w:r w:rsidR="00725094">
        <w:t>is bound</w:t>
      </w:r>
      <w:r w:rsidRPr="007D320A">
        <w:t xml:space="preserve"> by the AAT </w:t>
      </w:r>
      <w:r>
        <w:t>decisions</w:t>
      </w:r>
      <w:r w:rsidRPr="007D320A">
        <w:t xml:space="preserve"> </w:t>
      </w:r>
      <w:r w:rsidR="00725094">
        <w:t>in considering</w:t>
      </w:r>
      <w:r w:rsidRPr="007D320A">
        <w:t xml:space="preserve"> UIOLI matters, </w:t>
      </w:r>
      <w:r>
        <w:t>and we encourage LPON</w:t>
      </w:r>
      <w:r w:rsidRPr="007D320A">
        <w:t xml:space="preserve"> licensees </w:t>
      </w:r>
      <w:r>
        <w:t xml:space="preserve">to </w:t>
      </w:r>
      <w:r w:rsidR="00707CBE">
        <w:t>reflect</w:t>
      </w:r>
      <w:r w:rsidRPr="007D320A">
        <w:t xml:space="preserve"> this in the operation of </w:t>
      </w:r>
      <w:r w:rsidR="00EA42AC">
        <w:t>your</w:t>
      </w:r>
      <w:r w:rsidR="00EA42AC" w:rsidRPr="007D320A">
        <w:t xml:space="preserve"> </w:t>
      </w:r>
      <w:r w:rsidRPr="007D320A">
        <w:t xml:space="preserve">services.  </w:t>
      </w:r>
    </w:p>
    <w:p w14:paraId="614917D9" w14:textId="6110EEFD" w:rsidR="00031CCA" w:rsidRPr="00AF6924" w:rsidRDefault="00031CCA" w:rsidP="00031CCA">
      <w:pPr>
        <w:pStyle w:val="CommentText"/>
      </w:pPr>
      <w:r w:rsidRPr="00AF6924">
        <w:t xml:space="preserve">The ACMA provides a range of information to LPON licensees, including this paper, to make it easy to understand and comply with the licence conditions. </w:t>
      </w:r>
    </w:p>
    <w:p w14:paraId="4C24C489" w14:textId="77777777" w:rsidR="00031CCA" w:rsidRDefault="00031CCA" w:rsidP="00031CCA">
      <w:pPr>
        <w:pStyle w:val="Bulletlevel1last"/>
        <w:numPr>
          <w:ilvl w:val="0"/>
          <w:numId w:val="0"/>
        </w:numPr>
        <w:rPr>
          <w:sz w:val="24"/>
        </w:rPr>
      </w:pPr>
    </w:p>
    <w:p w14:paraId="39949A68" w14:textId="77777777" w:rsidR="00031CCA" w:rsidRDefault="00031CCA" w:rsidP="00031CCA">
      <w:pPr>
        <w:spacing w:before="240" w:after="120"/>
      </w:pPr>
    </w:p>
    <w:p w14:paraId="14F44B12" w14:textId="77777777" w:rsidR="00031CCA" w:rsidRPr="00921E6E" w:rsidRDefault="00031CCA" w:rsidP="00031CCA">
      <w:pPr>
        <w:spacing w:line="240" w:lineRule="auto"/>
        <w:rPr>
          <w:rFonts w:cs="Arial"/>
        </w:rPr>
      </w:pPr>
    </w:p>
    <w:p w14:paraId="7AF0A95B" w14:textId="590CCBB1" w:rsidR="00031CCA" w:rsidRDefault="00031CCA" w:rsidP="008D1FBF">
      <w:pPr>
        <w:pStyle w:val="Heading1"/>
        <w:spacing w:after="240"/>
      </w:pPr>
      <w:bookmarkStart w:id="26" w:name="_Toc51266054"/>
      <w:bookmarkStart w:id="27" w:name="_Toc51335446"/>
      <w:r>
        <w:lastRenderedPageBreak/>
        <w:t>Your narrowcasting licence</w:t>
      </w:r>
      <w:r w:rsidR="00707CBE">
        <w:t>—</w:t>
      </w:r>
      <w:r>
        <w:t>at a glance</w:t>
      </w:r>
      <w:bookmarkEnd w:id="26"/>
      <w:bookmarkEnd w:id="27"/>
    </w:p>
    <w:p w14:paraId="5AEF32D8" w14:textId="7FC45D61" w:rsidR="00F4166A" w:rsidRPr="008D1FBF" w:rsidRDefault="00F4166A" w:rsidP="00F4166A">
      <w:pPr>
        <w:rPr>
          <w14:shadow w14:blurRad="50800" w14:dist="63500" w14:dir="5400000" w14:sx="3000" w14:sy="3000" w14:kx="0" w14:ky="0" w14:algn="ctr">
            <w14:schemeClr w14:val="tx1"/>
          </w14:shadow>
        </w:rPr>
      </w:pPr>
      <w:r>
        <w:rPr>
          <w:noProof/>
        </w:rPr>
        <w:drawing>
          <wp:inline distT="0" distB="0" distL="0" distR="0" wp14:anchorId="2B3F5CA2" wp14:editId="6164A154">
            <wp:extent cx="5475384" cy="7743054"/>
            <wp:effectExtent l="38100" t="38100" r="87630" b="8699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pic:nvPicPr>
                  <pic:blipFill>
                    <a:blip r:embed="rId38"/>
                    <a:stretch>
                      <a:fillRect/>
                    </a:stretch>
                  </pic:blipFill>
                  <pic:spPr>
                    <a:xfrm>
                      <a:off x="0" y="0"/>
                      <a:ext cx="5483407" cy="7754399"/>
                    </a:xfrm>
                    <a:prstGeom prst="rect">
                      <a:avLst/>
                    </a:prstGeom>
                    <a:effectLst>
                      <a:outerShdw blurRad="50800" dist="38100" dir="2700000" algn="tl" rotWithShape="0">
                        <a:prstClr val="black">
                          <a:alpha val="40000"/>
                        </a:prstClr>
                      </a:outerShdw>
                    </a:effectLst>
                  </pic:spPr>
                </pic:pic>
              </a:graphicData>
            </a:graphic>
          </wp:inline>
        </w:drawing>
      </w:r>
    </w:p>
    <w:p w14:paraId="348A0EAD" w14:textId="77777777" w:rsidR="00031CCA" w:rsidRPr="00921E6E" w:rsidRDefault="00031CCA" w:rsidP="00707CBE">
      <w:pPr>
        <w:pStyle w:val="Heading1"/>
      </w:pPr>
      <w:bookmarkStart w:id="28" w:name="_Toc51266055"/>
      <w:bookmarkStart w:id="29" w:name="_Toc51335447"/>
      <w:r w:rsidRPr="00921E6E">
        <w:lastRenderedPageBreak/>
        <w:t>More information</w:t>
      </w:r>
      <w:bookmarkEnd w:id="28"/>
      <w:bookmarkEnd w:id="29"/>
    </w:p>
    <w:p w14:paraId="2F61C084" w14:textId="61AD3F4B" w:rsidR="00031CCA" w:rsidRPr="00707CBE" w:rsidRDefault="00EA42AC" w:rsidP="00AF6924">
      <w:pPr>
        <w:pStyle w:val="Bodysubheader0"/>
        <w:spacing w:after="80"/>
        <w:rPr>
          <w:i w:val="0"/>
          <w:iCs/>
        </w:rPr>
      </w:pPr>
      <w:r w:rsidRPr="00707CBE">
        <w:rPr>
          <w:i w:val="0"/>
          <w:iCs/>
        </w:rPr>
        <w:t>LPON</w:t>
      </w:r>
      <w:r w:rsidR="00031CCA" w:rsidRPr="00707CBE">
        <w:rPr>
          <w:i w:val="0"/>
          <w:iCs/>
        </w:rPr>
        <w:t xml:space="preserve"> licence information</w:t>
      </w:r>
    </w:p>
    <w:p w14:paraId="54234E3C" w14:textId="21144089" w:rsidR="00031CCA" w:rsidRDefault="00031CCA" w:rsidP="00031CCA">
      <w:pPr>
        <w:pStyle w:val="ListBullet"/>
        <w:spacing w:after="240"/>
      </w:pPr>
      <w:r>
        <w:rPr>
          <w:rFonts w:cs="Arial"/>
          <w:szCs w:val="20"/>
        </w:rPr>
        <w:t xml:space="preserve">Go to </w:t>
      </w:r>
      <w:r w:rsidRPr="0039030C">
        <w:rPr>
          <w:rFonts w:cs="Arial"/>
          <w:szCs w:val="20"/>
        </w:rPr>
        <w:t xml:space="preserve"> </w:t>
      </w:r>
      <w:hyperlink r:id="rId39" w:history="1">
        <w:r w:rsidR="00EA42AC">
          <w:rPr>
            <w:rStyle w:val="Hyperlink"/>
          </w:rPr>
          <w:t>www.acma.gov.au/low-power-open-narrowcasting-licences</w:t>
        </w:r>
      </w:hyperlink>
    </w:p>
    <w:p w14:paraId="697D3C2B" w14:textId="77777777" w:rsidR="00031CCA" w:rsidRPr="00707CBE" w:rsidRDefault="00031CCA" w:rsidP="00AF6924">
      <w:pPr>
        <w:pStyle w:val="Bodysubheader0"/>
        <w:spacing w:after="80"/>
        <w:rPr>
          <w:i w:val="0"/>
          <w:iCs/>
        </w:rPr>
      </w:pPr>
      <w:r w:rsidRPr="00707CBE">
        <w:rPr>
          <w:i w:val="0"/>
          <w:iCs/>
        </w:rPr>
        <w:t xml:space="preserve">The Administrative Appeals decision reports </w:t>
      </w:r>
    </w:p>
    <w:p w14:paraId="047A3ECD" w14:textId="20FC8B5B" w:rsidR="00031CCA" w:rsidRPr="00AA10CF" w:rsidRDefault="008843AE" w:rsidP="00AF6924">
      <w:pPr>
        <w:pStyle w:val="FootnoteText"/>
        <w:numPr>
          <w:ilvl w:val="0"/>
          <w:numId w:val="15"/>
        </w:numPr>
        <w:spacing w:after="80"/>
        <w:rPr>
          <w:sz w:val="20"/>
          <w:szCs w:val="20"/>
        </w:rPr>
      </w:pPr>
      <w:hyperlink r:id="rId40" w:history="1">
        <w:r w:rsidR="00031CCA" w:rsidRPr="00AA10CF">
          <w:rPr>
            <w:rStyle w:val="Hyperlink"/>
            <w:i/>
            <w:iCs/>
            <w:sz w:val="20"/>
            <w:szCs w:val="20"/>
          </w:rPr>
          <w:t>W&amp;A Wi</w:t>
        </w:r>
        <w:r w:rsidR="00725094">
          <w:rPr>
            <w:rStyle w:val="Hyperlink"/>
            <w:i/>
            <w:iCs/>
            <w:sz w:val="20"/>
            <w:szCs w:val="20"/>
          </w:rPr>
          <w:t>l</w:t>
        </w:r>
        <w:r w:rsidR="00031CCA" w:rsidRPr="00AA10CF">
          <w:rPr>
            <w:rStyle w:val="Hyperlink"/>
            <w:i/>
            <w:iCs/>
            <w:sz w:val="20"/>
            <w:szCs w:val="20"/>
          </w:rPr>
          <w:t>lmington and Australian Communications and Media Authority</w:t>
        </w:r>
      </w:hyperlink>
    </w:p>
    <w:p w14:paraId="60C7F7A4" w14:textId="77777777" w:rsidR="00031CCA" w:rsidRPr="00AF6924" w:rsidRDefault="008843AE" w:rsidP="00AF6924">
      <w:pPr>
        <w:pStyle w:val="Bodysubheader0"/>
        <w:numPr>
          <w:ilvl w:val="0"/>
          <w:numId w:val="15"/>
        </w:numPr>
        <w:spacing w:after="240"/>
        <w:rPr>
          <w:b w:val="0"/>
          <w:bCs/>
          <w:i w:val="0"/>
          <w:iCs/>
          <w:szCs w:val="20"/>
        </w:rPr>
      </w:pPr>
      <w:hyperlink r:id="rId41" w:history="1">
        <w:r w:rsidR="00031CCA" w:rsidRPr="00AF6924">
          <w:rPr>
            <w:rStyle w:val="Hyperlink"/>
            <w:b w:val="0"/>
            <w:bCs/>
            <w:iCs/>
            <w:szCs w:val="20"/>
          </w:rPr>
          <w:t>Futrends Pty Ltd and Australian Communications and Media Authority</w:t>
        </w:r>
      </w:hyperlink>
    </w:p>
    <w:p w14:paraId="390B9CD5" w14:textId="137AF5C2" w:rsidR="00031CCA" w:rsidRPr="00707CBE" w:rsidRDefault="00EA42AC" w:rsidP="00AF6924">
      <w:pPr>
        <w:pStyle w:val="Bodysubheader0"/>
        <w:spacing w:after="80"/>
        <w:rPr>
          <w:i w:val="0"/>
          <w:iCs/>
        </w:rPr>
      </w:pPr>
      <w:r w:rsidRPr="00AF6924">
        <w:rPr>
          <w:i w:val="0"/>
          <w:iCs/>
        </w:rPr>
        <w:t>Keep up-to-date</w:t>
      </w:r>
    </w:p>
    <w:p w14:paraId="0B9BBD26" w14:textId="77777777" w:rsidR="00EA42AC" w:rsidRDefault="00EA42AC" w:rsidP="00031CCA">
      <w:pPr>
        <w:pStyle w:val="ListBullet"/>
        <w:numPr>
          <w:ilvl w:val="0"/>
          <w:numId w:val="14"/>
        </w:numPr>
        <w:rPr>
          <w:rFonts w:cs="Arial"/>
          <w:szCs w:val="20"/>
        </w:rPr>
      </w:pPr>
      <w:r>
        <w:rPr>
          <w:rFonts w:cs="Arial"/>
          <w:szCs w:val="20"/>
        </w:rPr>
        <w:t xml:space="preserve">Subscribe to an ACMA newsletter at </w:t>
      </w:r>
      <w:hyperlink r:id="rId42" w:history="1">
        <w:r w:rsidRPr="00EA42AC">
          <w:rPr>
            <w:rStyle w:val="Hyperlink"/>
            <w:rFonts w:cs="Arial"/>
            <w:szCs w:val="20"/>
          </w:rPr>
          <w:t>www.acma.gov.au/subscribe-our-newsletters</w:t>
        </w:r>
      </w:hyperlink>
    </w:p>
    <w:p w14:paraId="5EF48D9E" w14:textId="6F32C2D4" w:rsidR="00031CCA" w:rsidRPr="00921E6E" w:rsidRDefault="00031CCA" w:rsidP="00031CCA">
      <w:pPr>
        <w:pStyle w:val="ListBullet"/>
        <w:numPr>
          <w:ilvl w:val="0"/>
          <w:numId w:val="14"/>
        </w:numPr>
        <w:rPr>
          <w:rFonts w:cs="Arial"/>
          <w:szCs w:val="20"/>
        </w:rPr>
      </w:pPr>
      <w:r w:rsidRPr="00921E6E">
        <w:rPr>
          <w:rFonts w:cs="Arial"/>
          <w:szCs w:val="20"/>
        </w:rPr>
        <w:t xml:space="preserve">Follow us on </w:t>
      </w:r>
      <w:hyperlink r:id="rId43" w:history="1">
        <w:r w:rsidRPr="00921E6E">
          <w:rPr>
            <w:rStyle w:val="Hyperlink"/>
            <w:rFonts w:cs="Arial"/>
            <w:szCs w:val="20"/>
          </w:rPr>
          <w:t>www.twitter.com/acmadotgov</w:t>
        </w:r>
      </w:hyperlink>
    </w:p>
    <w:p w14:paraId="66E9DECE" w14:textId="0969376E" w:rsidR="00031CCA" w:rsidRPr="00921E6E" w:rsidRDefault="00031CCA" w:rsidP="00031CCA">
      <w:pPr>
        <w:pStyle w:val="ListBullet"/>
        <w:numPr>
          <w:ilvl w:val="0"/>
          <w:numId w:val="14"/>
        </w:numPr>
        <w:rPr>
          <w:rFonts w:cs="Arial"/>
          <w:szCs w:val="20"/>
        </w:rPr>
      </w:pPr>
      <w:r w:rsidRPr="00921E6E">
        <w:rPr>
          <w:rFonts w:cs="Arial"/>
          <w:szCs w:val="20"/>
        </w:rPr>
        <w:t xml:space="preserve">‘Like’ us on </w:t>
      </w:r>
      <w:hyperlink r:id="rId44" w:history="1">
        <w:r w:rsidRPr="00921E6E">
          <w:rPr>
            <w:rStyle w:val="Hyperlink"/>
            <w:rFonts w:cs="Arial"/>
            <w:szCs w:val="20"/>
          </w:rPr>
          <w:t>www.facebook.com/acmadotgov</w:t>
        </w:r>
      </w:hyperlink>
    </w:p>
    <w:p w14:paraId="35158111" w14:textId="2480268B" w:rsidR="00031CCA" w:rsidRPr="00921E6E" w:rsidRDefault="00031CCA" w:rsidP="00031CCA">
      <w:pPr>
        <w:pStyle w:val="ListBullet"/>
        <w:numPr>
          <w:ilvl w:val="0"/>
          <w:numId w:val="14"/>
        </w:numPr>
        <w:spacing w:after="240"/>
        <w:rPr>
          <w:rFonts w:cs="Arial"/>
          <w:szCs w:val="20"/>
        </w:rPr>
      </w:pPr>
      <w:r w:rsidRPr="00921E6E">
        <w:rPr>
          <w:rFonts w:cs="Arial"/>
          <w:szCs w:val="20"/>
        </w:rPr>
        <w:t xml:space="preserve">View us on </w:t>
      </w:r>
      <w:hyperlink r:id="rId45" w:history="1">
        <w:r w:rsidRPr="00921E6E">
          <w:rPr>
            <w:rStyle w:val="Hyperlink"/>
            <w:rFonts w:cs="Arial"/>
            <w:szCs w:val="20"/>
          </w:rPr>
          <w:t>www.youtube.com/user/acmadotgov</w:t>
        </w:r>
      </w:hyperlink>
    </w:p>
    <w:p w14:paraId="15054929" w14:textId="55AD6A9E" w:rsidR="00031CCA" w:rsidRPr="00707CBE" w:rsidRDefault="00031CCA" w:rsidP="00AF6924">
      <w:pPr>
        <w:pStyle w:val="Bodysubheader0"/>
        <w:spacing w:after="80"/>
        <w:rPr>
          <w:i w:val="0"/>
          <w:iCs/>
        </w:rPr>
      </w:pPr>
      <w:r w:rsidRPr="00707CBE">
        <w:rPr>
          <w:i w:val="0"/>
          <w:iCs/>
        </w:rPr>
        <w:t>Contact</w:t>
      </w:r>
      <w:r w:rsidR="00EA42AC" w:rsidRPr="00707CBE">
        <w:rPr>
          <w:i w:val="0"/>
          <w:iCs/>
        </w:rPr>
        <w:t xml:space="preserve"> ACMA</w:t>
      </w:r>
    </w:p>
    <w:p w14:paraId="1FFA0A0D" w14:textId="22EDAF1D" w:rsidR="00031CCA" w:rsidRDefault="00031CCA" w:rsidP="00EA42AC">
      <w:pPr>
        <w:pStyle w:val="ListBullet"/>
        <w:numPr>
          <w:ilvl w:val="0"/>
          <w:numId w:val="14"/>
        </w:numPr>
        <w:tabs>
          <w:tab w:val="clear" w:pos="295"/>
        </w:tabs>
      </w:pPr>
      <w:r>
        <w:t xml:space="preserve">Email: </w:t>
      </w:r>
      <w:hyperlink r:id="rId46" w:history="1">
        <w:r w:rsidRPr="00EA42AC">
          <w:rPr>
            <w:rStyle w:val="Hyperlink"/>
          </w:rPr>
          <w:t>info@acma.gov.au</w:t>
        </w:r>
      </w:hyperlink>
    </w:p>
    <w:p w14:paraId="56605B4E" w14:textId="77777777" w:rsidR="00031CCA" w:rsidRDefault="00031CCA" w:rsidP="00031CCA">
      <w:pPr>
        <w:pStyle w:val="ListBullet"/>
        <w:numPr>
          <w:ilvl w:val="0"/>
          <w:numId w:val="14"/>
        </w:numPr>
        <w:tabs>
          <w:tab w:val="clear" w:pos="295"/>
        </w:tabs>
      </w:pPr>
      <w:r>
        <w:t>Phone: 1300 850 115</w:t>
      </w:r>
    </w:p>
    <w:p w14:paraId="499B9D39" w14:textId="77777777" w:rsidR="00031CCA" w:rsidRDefault="00031CCA" w:rsidP="00031CCA">
      <w:pPr>
        <w:pStyle w:val="Heading1"/>
      </w:pPr>
      <w:bookmarkStart w:id="30" w:name="_Toc51266056"/>
      <w:bookmarkStart w:id="31" w:name="_Toc51335448"/>
      <w:r>
        <w:lastRenderedPageBreak/>
        <w:t>Appendix A</w:t>
      </w:r>
      <w:bookmarkEnd w:id="30"/>
      <w:bookmarkEnd w:id="31"/>
    </w:p>
    <w:p w14:paraId="71EB5E08" w14:textId="77777777" w:rsidR="00031CCA" w:rsidRPr="00725094" w:rsidRDefault="008843AE" w:rsidP="00031CCA">
      <w:pPr>
        <w:rPr>
          <w:rFonts w:cs="Arial"/>
          <w:szCs w:val="20"/>
        </w:rPr>
      </w:pPr>
      <w:hyperlink r:id="rId47" w:history="1">
        <w:r w:rsidR="00031CCA" w:rsidRPr="00725094">
          <w:rPr>
            <w:rStyle w:val="Hyperlink"/>
            <w:rFonts w:cs="Arial"/>
            <w:szCs w:val="20"/>
          </w:rPr>
          <w:t>Radiocommunications Licence Conditions (Broadcasting Licence) Determination 2015</w:t>
        </w:r>
      </w:hyperlink>
      <w:r w:rsidR="00031CCA" w:rsidRPr="00725094">
        <w:rPr>
          <w:rFonts w:cs="Arial"/>
          <w:szCs w:val="20"/>
        </w:rPr>
        <w:t xml:space="preserve"> </w:t>
      </w:r>
    </w:p>
    <w:p w14:paraId="6D83604D" w14:textId="77777777" w:rsidR="00031CCA" w:rsidRPr="00725094" w:rsidRDefault="00031CCA" w:rsidP="00031CCA">
      <w:pPr>
        <w:pStyle w:val="hr"/>
        <w:keepNext/>
        <w:spacing w:before="360" w:beforeAutospacing="0" w:after="0" w:afterAutospacing="0"/>
        <w:ind w:left="964" w:hanging="964"/>
        <w:rPr>
          <w:rFonts w:ascii="Arial" w:hAnsi="Arial" w:cs="Arial"/>
          <w:b/>
          <w:bCs/>
          <w:color w:val="000000"/>
          <w:sz w:val="20"/>
          <w:szCs w:val="20"/>
        </w:rPr>
      </w:pPr>
      <w:bookmarkStart w:id="32" w:name="_Toc239837738"/>
      <w:r w:rsidRPr="00725094">
        <w:rPr>
          <w:rFonts w:ascii="Arial" w:hAnsi="Arial" w:cs="Arial"/>
          <w:b/>
          <w:bCs/>
          <w:color w:val="000000"/>
          <w:sz w:val="20"/>
          <w:szCs w:val="20"/>
        </w:rPr>
        <w:t>4.11 Certain low power open narrowcasting services — other conditions</w:t>
      </w:r>
      <w:bookmarkEnd w:id="32"/>
    </w:p>
    <w:p w14:paraId="64124C80" w14:textId="77777777" w:rsidR="00031CCA" w:rsidRPr="00725094" w:rsidRDefault="00031CCA" w:rsidP="00031CCA">
      <w:pPr>
        <w:pStyle w:val="zr1"/>
        <w:keepNext/>
        <w:spacing w:before="120" w:beforeAutospacing="0" w:after="0" w:afterAutospacing="0" w:line="260" w:lineRule="atLeast"/>
        <w:ind w:left="964" w:hanging="964"/>
        <w:jc w:val="both"/>
        <w:rPr>
          <w:rFonts w:ascii="Arial" w:hAnsi="Arial" w:cs="Arial"/>
          <w:color w:val="000000"/>
          <w:sz w:val="20"/>
          <w:szCs w:val="20"/>
        </w:rPr>
      </w:pPr>
      <w:r w:rsidRPr="00725094">
        <w:rPr>
          <w:rFonts w:ascii="Arial" w:hAnsi="Arial" w:cs="Arial"/>
          <w:color w:val="000000"/>
          <w:sz w:val="20"/>
          <w:szCs w:val="20"/>
        </w:rPr>
        <w:t>         (1)   A licence that authorises the operation of a narrowcasting service station at a carrier frequency within the range 87.5 to 88.0 MHz (inclusive) to provide a low power open narrowcasting service is subject to the following conditions:</w:t>
      </w:r>
    </w:p>
    <w:p w14:paraId="2D0DC54F" w14:textId="77777777" w:rsidR="00031CCA" w:rsidRPr="00725094" w:rsidRDefault="00031CCA" w:rsidP="00031CCA">
      <w:pPr>
        <w:pStyle w:val="zp1"/>
        <w:keepNext/>
        <w:spacing w:before="60" w:beforeAutospacing="0" w:after="0" w:afterAutospacing="0" w:line="260" w:lineRule="atLeast"/>
        <w:ind w:left="1418" w:hanging="1418"/>
        <w:jc w:val="both"/>
        <w:rPr>
          <w:rFonts w:ascii="Arial" w:hAnsi="Arial" w:cs="Arial"/>
          <w:color w:val="000000"/>
          <w:sz w:val="20"/>
          <w:szCs w:val="20"/>
        </w:rPr>
      </w:pPr>
      <w:r w:rsidRPr="00725094">
        <w:rPr>
          <w:rFonts w:ascii="Arial" w:hAnsi="Arial" w:cs="Arial"/>
          <w:color w:val="000000"/>
          <w:sz w:val="20"/>
          <w:szCs w:val="20"/>
        </w:rPr>
        <w:t>                (a)    if the licence is issued otherwise than upon renewal under section 130 of the Act – unless the licensee has a reasonable excuse for not doing so, the licensee must commence the service within 6 months beginning on the day the licence is issued;</w:t>
      </w:r>
    </w:p>
    <w:p w14:paraId="04573661" w14:textId="77777777" w:rsidR="00031CCA" w:rsidRPr="00725094" w:rsidRDefault="00031CCA" w:rsidP="00031CCA">
      <w:pPr>
        <w:pStyle w:val="p1"/>
        <w:spacing w:before="60" w:beforeAutospacing="0" w:after="0" w:afterAutospacing="0" w:line="260" w:lineRule="atLeast"/>
        <w:ind w:left="1418" w:hanging="1418"/>
        <w:jc w:val="both"/>
        <w:rPr>
          <w:rFonts w:ascii="Arial" w:hAnsi="Arial" w:cs="Arial"/>
          <w:color w:val="000000"/>
          <w:sz w:val="20"/>
          <w:szCs w:val="20"/>
        </w:rPr>
      </w:pPr>
      <w:r w:rsidRPr="00725094">
        <w:rPr>
          <w:rFonts w:ascii="Arial" w:hAnsi="Arial" w:cs="Arial"/>
          <w:color w:val="000000"/>
          <w:sz w:val="20"/>
          <w:szCs w:val="20"/>
        </w:rPr>
        <w:t>               (b)    subject to paragraph (a), the licensee must provide the service with reasonable regularity for the duration of the licence;</w:t>
      </w:r>
    </w:p>
    <w:p w14:paraId="20CDD014" w14:textId="77777777" w:rsidR="00031CCA" w:rsidRPr="00725094" w:rsidRDefault="00031CCA" w:rsidP="00031CCA">
      <w:pPr>
        <w:pStyle w:val="p1"/>
        <w:spacing w:before="60" w:beforeAutospacing="0" w:after="0" w:afterAutospacing="0" w:line="260" w:lineRule="atLeast"/>
        <w:ind w:left="1418" w:hanging="1418"/>
        <w:jc w:val="both"/>
        <w:rPr>
          <w:rFonts w:ascii="Arial" w:hAnsi="Arial" w:cs="Arial"/>
          <w:color w:val="000000"/>
          <w:sz w:val="20"/>
          <w:szCs w:val="20"/>
        </w:rPr>
      </w:pPr>
      <w:r w:rsidRPr="00725094">
        <w:rPr>
          <w:rFonts w:ascii="Arial" w:hAnsi="Arial" w:cs="Arial"/>
          <w:color w:val="000000"/>
          <w:sz w:val="20"/>
          <w:szCs w:val="20"/>
        </w:rPr>
        <w:t xml:space="preserve">                (c)    the licensee must maintain records of the commencement, hours of operation and provision of the service.  </w:t>
      </w:r>
    </w:p>
    <w:p w14:paraId="12B44285" w14:textId="77777777" w:rsidR="00031CCA" w:rsidRPr="00725094" w:rsidRDefault="00031CCA" w:rsidP="00031CCA">
      <w:pPr>
        <w:pStyle w:val="note"/>
        <w:spacing w:before="120" w:beforeAutospacing="0" w:after="0" w:afterAutospacing="0" w:line="220" w:lineRule="atLeast"/>
        <w:ind w:left="964"/>
        <w:jc w:val="both"/>
        <w:rPr>
          <w:rFonts w:ascii="Arial" w:hAnsi="Arial" w:cs="Arial"/>
          <w:color w:val="000000"/>
          <w:sz w:val="20"/>
          <w:szCs w:val="20"/>
        </w:rPr>
      </w:pPr>
      <w:r w:rsidRPr="00725094">
        <w:rPr>
          <w:rFonts w:ascii="Arial" w:hAnsi="Arial" w:cs="Arial"/>
          <w:i/>
          <w:iCs/>
          <w:color w:val="000000"/>
          <w:sz w:val="20"/>
          <w:szCs w:val="20"/>
        </w:rPr>
        <w:t>Note</w:t>
      </w:r>
      <w:r w:rsidRPr="00725094">
        <w:rPr>
          <w:rFonts w:ascii="Arial" w:hAnsi="Arial" w:cs="Arial"/>
          <w:color w:val="000000"/>
          <w:sz w:val="20"/>
          <w:szCs w:val="20"/>
        </w:rPr>
        <w:t xml:space="preserve">   See clauses 6 and 9 of the </w:t>
      </w:r>
      <w:r w:rsidRPr="00725094">
        <w:rPr>
          <w:rFonts w:ascii="Arial" w:hAnsi="Arial" w:cs="Arial"/>
          <w:i/>
          <w:iCs/>
          <w:color w:val="000000"/>
          <w:sz w:val="20"/>
          <w:szCs w:val="20"/>
        </w:rPr>
        <w:t>Australian Communications Authority (LPON Transmitter Licences) Direction No. 2 of 2000</w:t>
      </w:r>
      <w:r w:rsidRPr="00725094">
        <w:rPr>
          <w:rFonts w:ascii="Arial" w:hAnsi="Arial" w:cs="Arial"/>
          <w:color w:val="000000"/>
          <w:sz w:val="20"/>
          <w:szCs w:val="20"/>
        </w:rPr>
        <w:t>.</w:t>
      </w:r>
    </w:p>
    <w:p w14:paraId="2868A516" w14:textId="77777777" w:rsidR="00031CCA" w:rsidRPr="00725094" w:rsidRDefault="00031CCA" w:rsidP="00031CCA">
      <w:pPr>
        <w:pStyle w:val="zr1"/>
        <w:keepNext/>
        <w:spacing w:before="120" w:beforeAutospacing="0" w:after="0" w:afterAutospacing="0" w:line="260" w:lineRule="atLeast"/>
        <w:ind w:left="964" w:hanging="964"/>
        <w:jc w:val="both"/>
        <w:rPr>
          <w:rFonts w:ascii="Arial" w:hAnsi="Arial" w:cs="Arial"/>
          <w:color w:val="000000"/>
          <w:sz w:val="20"/>
          <w:szCs w:val="20"/>
        </w:rPr>
      </w:pPr>
      <w:r w:rsidRPr="00725094">
        <w:rPr>
          <w:rFonts w:ascii="Arial" w:hAnsi="Arial" w:cs="Arial"/>
          <w:color w:val="000000"/>
          <w:sz w:val="20"/>
          <w:szCs w:val="20"/>
        </w:rPr>
        <w:t>         (2)   The ACMA may extend the 6-month period referred to in paragraph 4.11(1)(a) if, in the ACMA’s opinion, there is a valid reason for a delay by a licensee in complying with that paragraph.</w:t>
      </w:r>
    </w:p>
    <w:p w14:paraId="5191FC61" w14:textId="77777777" w:rsidR="00031CCA" w:rsidRPr="00725094" w:rsidRDefault="00031CCA" w:rsidP="00031CCA">
      <w:pPr>
        <w:pStyle w:val="note"/>
        <w:spacing w:before="120" w:beforeAutospacing="0" w:after="0" w:afterAutospacing="0" w:line="220" w:lineRule="atLeast"/>
        <w:ind w:left="964"/>
        <w:jc w:val="both"/>
        <w:rPr>
          <w:rFonts w:ascii="Arial" w:hAnsi="Arial" w:cs="Arial"/>
          <w:color w:val="000000"/>
          <w:sz w:val="20"/>
          <w:szCs w:val="20"/>
        </w:rPr>
      </w:pPr>
      <w:r w:rsidRPr="00725094">
        <w:rPr>
          <w:rFonts w:ascii="Arial" w:hAnsi="Arial" w:cs="Arial"/>
          <w:i/>
          <w:iCs/>
          <w:color w:val="000000"/>
          <w:sz w:val="20"/>
          <w:szCs w:val="20"/>
        </w:rPr>
        <w:t>Note</w:t>
      </w:r>
      <w:r w:rsidRPr="00725094">
        <w:rPr>
          <w:rFonts w:ascii="Arial" w:hAnsi="Arial" w:cs="Arial"/>
          <w:color w:val="000000"/>
          <w:sz w:val="20"/>
          <w:szCs w:val="20"/>
        </w:rPr>
        <w:t xml:space="preserve">   See subclause 8(1) of the </w:t>
      </w:r>
      <w:r w:rsidRPr="00725094">
        <w:rPr>
          <w:rFonts w:ascii="Arial" w:hAnsi="Arial" w:cs="Arial"/>
          <w:i/>
          <w:iCs/>
          <w:color w:val="000000"/>
          <w:sz w:val="20"/>
          <w:szCs w:val="20"/>
        </w:rPr>
        <w:t>Australian Communications Authority (LPON Transmitter Licences) Direction No. 2 of 2000</w:t>
      </w:r>
      <w:r w:rsidRPr="00725094">
        <w:rPr>
          <w:rFonts w:ascii="Arial" w:hAnsi="Arial" w:cs="Arial"/>
          <w:color w:val="000000"/>
          <w:sz w:val="20"/>
          <w:szCs w:val="20"/>
        </w:rPr>
        <w:t xml:space="preserve">. </w:t>
      </w:r>
    </w:p>
    <w:p w14:paraId="688C08B3" w14:textId="77777777" w:rsidR="00031CCA" w:rsidRPr="00725094" w:rsidRDefault="00031CCA" w:rsidP="00031CCA">
      <w:pPr>
        <w:pStyle w:val="zr1"/>
        <w:keepNext/>
        <w:spacing w:before="120" w:beforeAutospacing="0" w:after="0" w:afterAutospacing="0" w:line="260" w:lineRule="atLeast"/>
        <w:ind w:left="964" w:hanging="964"/>
        <w:jc w:val="both"/>
        <w:rPr>
          <w:rFonts w:ascii="Arial" w:hAnsi="Arial" w:cs="Arial"/>
          <w:color w:val="000000"/>
          <w:sz w:val="20"/>
          <w:szCs w:val="20"/>
        </w:rPr>
      </w:pPr>
      <w:r w:rsidRPr="00725094">
        <w:rPr>
          <w:rFonts w:ascii="Arial" w:hAnsi="Arial" w:cs="Arial"/>
          <w:color w:val="000000"/>
          <w:sz w:val="20"/>
          <w:szCs w:val="20"/>
        </w:rPr>
        <w:t>         (3)   For the purposes of subsection (2), valid reason for a delay does not include:</w:t>
      </w:r>
    </w:p>
    <w:p w14:paraId="5F36B7B5" w14:textId="77777777" w:rsidR="00031CCA" w:rsidRPr="00725094" w:rsidRDefault="00031CCA" w:rsidP="00031CCA">
      <w:pPr>
        <w:pStyle w:val="p1"/>
        <w:spacing w:before="60" w:beforeAutospacing="0" w:after="0" w:afterAutospacing="0" w:line="260" w:lineRule="atLeast"/>
        <w:ind w:left="1418" w:hanging="1418"/>
        <w:jc w:val="both"/>
        <w:rPr>
          <w:rFonts w:ascii="Arial" w:hAnsi="Arial" w:cs="Arial"/>
          <w:color w:val="000000"/>
          <w:sz w:val="20"/>
          <w:szCs w:val="20"/>
        </w:rPr>
      </w:pPr>
      <w:r w:rsidRPr="00725094">
        <w:rPr>
          <w:rFonts w:ascii="Arial" w:hAnsi="Arial" w:cs="Arial"/>
          <w:color w:val="000000"/>
          <w:sz w:val="20"/>
          <w:szCs w:val="20"/>
        </w:rPr>
        <w:t>                (a)    that the licence was obtained within the 6-month period within which to comply with the condition, pursuant to a transfer from a relative or associate of the licensee;</w:t>
      </w:r>
    </w:p>
    <w:p w14:paraId="51327E2F" w14:textId="77777777" w:rsidR="00031CCA" w:rsidRPr="00725094" w:rsidRDefault="00031CCA" w:rsidP="00031CCA">
      <w:pPr>
        <w:pStyle w:val="p1"/>
        <w:spacing w:before="60" w:beforeAutospacing="0" w:after="0" w:afterAutospacing="0" w:line="260" w:lineRule="atLeast"/>
        <w:ind w:left="1418" w:hanging="1418"/>
        <w:jc w:val="both"/>
        <w:rPr>
          <w:rFonts w:ascii="Arial" w:hAnsi="Arial" w:cs="Arial"/>
          <w:color w:val="000000"/>
          <w:sz w:val="20"/>
          <w:szCs w:val="20"/>
        </w:rPr>
      </w:pPr>
      <w:r w:rsidRPr="00725094">
        <w:rPr>
          <w:rFonts w:ascii="Arial" w:hAnsi="Arial" w:cs="Arial"/>
          <w:color w:val="000000"/>
          <w:sz w:val="20"/>
          <w:szCs w:val="20"/>
        </w:rPr>
        <w:t>               (b)    financial reasons;</w:t>
      </w:r>
    </w:p>
    <w:p w14:paraId="191FAC57" w14:textId="423735BE" w:rsidR="00031CCA" w:rsidRPr="00725094" w:rsidRDefault="00031CCA" w:rsidP="002433B3">
      <w:pPr>
        <w:pStyle w:val="p1"/>
        <w:tabs>
          <w:tab w:val="left" w:pos="1418"/>
        </w:tabs>
        <w:spacing w:before="60" w:beforeAutospacing="0" w:after="0" w:afterAutospacing="0" w:line="260" w:lineRule="atLeast"/>
        <w:ind w:left="1418" w:hanging="1418"/>
        <w:jc w:val="both"/>
        <w:rPr>
          <w:rFonts w:ascii="Arial" w:hAnsi="Arial" w:cs="Arial"/>
          <w:color w:val="000000"/>
          <w:sz w:val="20"/>
          <w:szCs w:val="20"/>
        </w:rPr>
      </w:pPr>
      <w:r w:rsidRPr="00725094">
        <w:rPr>
          <w:rFonts w:ascii="Arial" w:hAnsi="Arial" w:cs="Arial"/>
          <w:color w:val="000000"/>
          <w:sz w:val="20"/>
          <w:szCs w:val="20"/>
        </w:rPr>
        <w:t>                (c)    that the licence is subject to an arrangement contingent on the disposal</w:t>
      </w:r>
      <w:r w:rsidR="002433B3">
        <w:rPr>
          <w:rFonts w:ascii="Arial" w:hAnsi="Arial" w:cs="Arial"/>
          <w:color w:val="000000"/>
          <w:sz w:val="20"/>
          <w:szCs w:val="20"/>
        </w:rPr>
        <w:t xml:space="preserve"> </w:t>
      </w:r>
      <w:r w:rsidRPr="00725094">
        <w:rPr>
          <w:rFonts w:ascii="Arial" w:hAnsi="Arial" w:cs="Arial"/>
          <w:color w:val="000000"/>
          <w:sz w:val="20"/>
          <w:szCs w:val="20"/>
        </w:rPr>
        <w:t xml:space="preserve">of another licence held by the licensee.  </w:t>
      </w:r>
    </w:p>
    <w:p w14:paraId="6F234238" w14:textId="77777777" w:rsidR="00031CCA" w:rsidRPr="00725094" w:rsidRDefault="00031CCA" w:rsidP="00031CCA">
      <w:pPr>
        <w:pStyle w:val="note"/>
        <w:spacing w:before="120" w:beforeAutospacing="0" w:after="0" w:afterAutospacing="0" w:line="220" w:lineRule="atLeast"/>
        <w:ind w:left="964"/>
        <w:jc w:val="both"/>
        <w:rPr>
          <w:rFonts w:ascii="Arial" w:hAnsi="Arial" w:cs="Arial"/>
          <w:color w:val="000000"/>
          <w:sz w:val="20"/>
          <w:szCs w:val="20"/>
        </w:rPr>
      </w:pPr>
      <w:r w:rsidRPr="00725094">
        <w:rPr>
          <w:rFonts w:ascii="Arial" w:hAnsi="Arial" w:cs="Arial"/>
          <w:i/>
          <w:iCs/>
          <w:color w:val="000000"/>
          <w:sz w:val="20"/>
          <w:szCs w:val="20"/>
        </w:rPr>
        <w:t>Note</w:t>
      </w:r>
      <w:r w:rsidRPr="00725094">
        <w:rPr>
          <w:rFonts w:ascii="Arial" w:hAnsi="Arial" w:cs="Arial"/>
          <w:color w:val="000000"/>
          <w:sz w:val="20"/>
          <w:szCs w:val="20"/>
        </w:rPr>
        <w:t xml:space="preserve">   See subclause 8(2) of the </w:t>
      </w:r>
      <w:r w:rsidRPr="00725094">
        <w:rPr>
          <w:rFonts w:ascii="Arial" w:hAnsi="Arial" w:cs="Arial"/>
          <w:i/>
          <w:iCs/>
          <w:color w:val="000000"/>
          <w:sz w:val="20"/>
          <w:szCs w:val="20"/>
        </w:rPr>
        <w:t>Australian Communications Authority (LPON Transmitter Licences) Direction No. 2 of 2000</w:t>
      </w:r>
      <w:r w:rsidRPr="00725094">
        <w:rPr>
          <w:rFonts w:ascii="Arial" w:hAnsi="Arial" w:cs="Arial"/>
          <w:color w:val="000000"/>
          <w:sz w:val="20"/>
          <w:szCs w:val="20"/>
        </w:rPr>
        <w:t>.  Subclause 8(3) provides that this list of matters that are not valid reasons for a delay “is not-exhaustive and there may be other reasons that do not constitute valid reasons for a delay”.</w:t>
      </w:r>
    </w:p>
    <w:p w14:paraId="36B05C86" w14:textId="77777777" w:rsidR="00031CCA" w:rsidRPr="00725094" w:rsidRDefault="00031CCA" w:rsidP="008D1FBF">
      <w:pPr>
        <w:pStyle w:val="r2"/>
        <w:keepNext/>
        <w:keepLines/>
        <w:spacing w:before="180" w:beforeAutospacing="0" w:after="0" w:afterAutospacing="0" w:line="260" w:lineRule="atLeast"/>
        <w:ind w:left="964" w:hanging="964"/>
        <w:jc w:val="both"/>
        <w:rPr>
          <w:rFonts w:ascii="Arial" w:hAnsi="Arial" w:cs="Arial"/>
          <w:color w:val="000000"/>
          <w:sz w:val="20"/>
          <w:szCs w:val="20"/>
        </w:rPr>
      </w:pPr>
      <w:r w:rsidRPr="00725094">
        <w:rPr>
          <w:rFonts w:ascii="Arial" w:hAnsi="Arial" w:cs="Arial"/>
          <w:color w:val="000000"/>
          <w:sz w:val="20"/>
          <w:szCs w:val="20"/>
        </w:rPr>
        <w:t>         (4)   In this section:</w:t>
      </w:r>
    </w:p>
    <w:p w14:paraId="26DA5606" w14:textId="77777777" w:rsidR="00031CCA" w:rsidRPr="00725094" w:rsidRDefault="00031CCA" w:rsidP="008D1FBF">
      <w:pPr>
        <w:pStyle w:val="zdefinition"/>
        <w:keepNext/>
        <w:keepLines/>
        <w:spacing w:before="80" w:beforeAutospacing="0" w:after="0" w:afterAutospacing="0" w:line="260" w:lineRule="atLeast"/>
        <w:ind w:left="964"/>
        <w:jc w:val="both"/>
        <w:rPr>
          <w:rFonts w:ascii="Arial" w:hAnsi="Arial" w:cs="Arial"/>
          <w:color w:val="000000"/>
          <w:sz w:val="20"/>
          <w:szCs w:val="20"/>
        </w:rPr>
      </w:pPr>
      <w:r w:rsidRPr="00725094">
        <w:rPr>
          <w:rFonts w:ascii="Arial" w:hAnsi="Arial" w:cs="Arial"/>
          <w:b/>
          <w:bCs/>
          <w:i/>
          <w:iCs/>
          <w:color w:val="000000"/>
          <w:sz w:val="20"/>
          <w:szCs w:val="20"/>
        </w:rPr>
        <w:t>associate</w:t>
      </w:r>
      <w:r w:rsidRPr="00725094">
        <w:rPr>
          <w:rFonts w:ascii="Arial" w:hAnsi="Arial" w:cs="Arial"/>
          <w:color w:val="000000"/>
          <w:sz w:val="20"/>
          <w:szCs w:val="20"/>
        </w:rPr>
        <w:t xml:space="preserve"> means:</w:t>
      </w:r>
    </w:p>
    <w:p w14:paraId="2122F9C0" w14:textId="77777777" w:rsidR="00031CCA" w:rsidRPr="00725094" w:rsidRDefault="00031CCA" w:rsidP="008D1FBF">
      <w:pPr>
        <w:pStyle w:val="zp1"/>
        <w:keepNext/>
        <w:keepLines/>
        <w:spacing w:before="60" w:beforeAutospacing="0" w:after="0" w:afterAutospacing="0" w:line="260" w:lineRule="atLeast"/>
        <w:ind w:left="1418" w:hanging="1418"/>
        <w:jc w:val="both"/>
        <w:rPr>
          <w:rFonts w:ascii="Arial" w:hAnsi="Arial" w:cs="Arial"/>
          <w:color w:val="000000"/>
          <w:sz w:val="20"/>
          <w:szCs w:val="20"/>
        </w:rPr>
      </w:pPr>
      <w:r w:rsidRPr="00725094">
        <w:rPr>
          <w:rFonts w:ascii="Arial" w:hAnsi="Arial" w:cs="Arial"/>
          <w:color w:val="000000"/>
          <w:sz w:val="20"/>
          <w:szCs w:val="20"/>
        </w:rPr>
        <w:t>                (a)    in relation to a body corporate:</w:t>
      </w:r>
    </w:p>
    <w:p w14:paraId="55D3FEDC" w14:textId="77777777" w:rsidR="00031CCA" w:rsidRPr="00725094" w:rsidRDefault="00031CCA" w:rsidP="008D1FBF">
      <w:pPr>
        <w:pStyle w:val="p2"/>
        <w:keepNext/>
        <w:keepLines/>
        <w:spacing w:before="60" w:beforeAutospacing="0" w:after="0" w:afterAutospacing="0" w:line="260" w:lineRule="atLeast"/>
        <w:ind w:left="1985" w:hanging="1985"/>
        <w:jc w:val="both"/>
        <w:rPr>
          <w:rFonts w:ascii="Arial" w:hAnsi="Arial" w:cs="Arial"/>
          <w:color w:val="000000"/>
          <w:sz w:val="20"/>
          <w:szCs w:val="20"/>
        </w:rPr>
      </w:pPr>
      <w:r w:rsidRPr="00725094">
        <w:rPr>
          <w:rFonts w:ascii="Arial" w:hAnsi="Arial" w:cs="Arial"/>
          <w:color w:val="000000"/>
          <w:sz w:val="20"/>
          <w:szCs w:val="20"/>
        </w:rPr>
        <w:t>                          (i)    a director or secretary of the body corporate; or</w:t>
      </w:r>
    </w:p>
    <w:p w14:paraId="40E51C08" w14:textId="77777777" w:rsidR="00031CCA" w:rsidRPr="00725094" w:rsidRDefault="00031CCA" w:rsidP="008D1FBF">
      <w:pPr>
        <w:pStyle w:val="p2"/>
        <w:keepNext/>
        <w:keepLines/>
        <w:spacing w:before="60" w:beforeAutospacing="0" w:after="0" w:afterAutospacing="0" w:line="260" w:lineRule="atLeast"/>
        <w:ind w:left="1985" w:hanging="1985"/>
        <w:jc w:val="both"/>
        <w:rPr>
          <w:rFonts w:ascii="Arial" w:hAnsi="Arial" w:cs="Arial"/>
          <w:color w:val="000000"/>
          <w:sz w:val="20"/>
          <w:szCs w:val="20"/>
        </w:rPr>
      </w:pPr>
      <w:r w:rsidRPr="00725094">
        <w:rPr>
          <w:rFonts w:ascii="Arial" w:hAnsi="Arial" w:cs="Arial"/>
          <w:color w:val="000000"/>
          <w:sz w:val="20"/>
          <w:szCs w:val="20"/>
        </w:rPr>
        <w:t>                         (ii)    a related body corporate; or</w:t>
      </w:r>
    </w:p>
    <w:p w14:paraId="30713E24" w14:textId="77777777" w:rsidR="00031CCA" w:rsidRPr="00725094" w:rsidRDefault="00031CCA" w:rsidP="008D1FBF">
      <w:pPr>
        <w:pStyle w:val="p2"/>
        <w:keepNext/>
        <w:keepLines/>
        <w:spacing w:before="60" w:beforeAutospacing="0" w:after="0" w:afterAutospacing="0" w:line="260" w:lineRule="atLeast"/>
        <w:ind w:left="1985" w:hanging="1985"/>
        <w:jc w:val="both"/>
        <w:rPr>
          <w:rFonts w:ascii="Arial" w:hAnsi="Arial" w:cs="Arial"/>
          <w:color w:val="000000"/>
          <w:sz w:val="20"/>
          <w:szCs w:val="20"/>
        </w:rPr>
      </w:pPr>
      <w:r w:rsidRPr="00725094">
        <w:rPr>
          <w:rFonts w:ascii="Arial" w:hAnsi="Arial" w:cs="Arial"/>
          <w:color w:val="000000"/>
          <w:sz w:val="20"/>
          <w:szCs w:val="20"/>
        </w:rPr>
        <w:t>                        (iii)    a director or secretary of a related body corporate; or</w:t>
      </w:r>
    </w:p>
    <w:p w14:paraId="0369BFC0" w14:textId="77777777" w:rsidR="00031CCA" w:rsidRPr="00725094" w:rsidRDefault="00031CCA" w:rsidP="00031CCA">
      <w:pPr>
        <w:pStyle w:val="p2"/>
        <w:spacing w:before="60" w:beforeAutospacing="0" w:after="0" w:afterAutospacing="0" w:line="260" w:lineRule="atLeast"/>
        <w:ind w:left="1985" w:hanging="1985"/>
        <w:jc w:val="both"/>
        <w:rPr>
          <w:rFonts w:ascii="Arial" w:hAnsi="Arial" w:cs="Arial"/>
          <w:color w:val="000000"/>
          <w:sz w:val="20"/>
          <w:szCs w:val="20"/>
        </w:rPr>
      </w:pPr>
      <w:r w:rsidRPr="00725094">
        <w:rPr>
          <w:rFonts w:ascii="Arial" w:hAnsi="Arial" w:cs="Arial"/>
          <w:color w:val="000000"/>
          <w:sz w:val="20"/>
          <w:szCs w:val="20"/>
        </w:rPr>
        <w:t>                        (iv)    a business partner of the body corporate; or</w:t>
      </w:r>
    </w:p>
    <w:p w14:paraId="0AEDE5F8" w14:textId="77777777" w:rsidR="00031CCA" w:rsidRPr="00725094" w:rsidRDefault="00031CCA" w:rsidP="00031CCA">
      <w:pPr>
        <w:pStyle w:val="p2"/>
        <w:spacing w:before="60" w:beforeAutospacing="0" w:after="0" w:afterAutospacing="0" w:line="260" w:lineRule="atLeast"/>
        <w:ind w:left="1985" w:hanging="1985"/>
        <w:jc w:val="both"/>
        <w:rPr>
          <w:rFonts w:ascii="Arial" w:hAnsi="Arial" w:cs="Arial"/>
          <w:color w:val="000000"/>
          <w:sz w:val="20"/>
          <w:szCs w:val="20"/>
        </w:rPr>
      </w:pPr>
      <w:r w:rsidRPr="00725094">
        <w:rPr>
          <w:rFonts w:ascii="Arial" w:hAnsi="Arial" w:cs="Arial"/>
          <w:color w:val="000000"/>
          <w:sz w:val="20"/>
          <w:szCs w:val="20"/>
        </w:rPr>
        <w:t>                         (v)    an individual who controls at least 15% of the voting power in, or holds at least 15% of the issued shares of, the body corporate; and</w:t>
      </w:r>
    </w:p>
    <w:p w14:paraId="639C1DEE" w14:textId="77777777" w:rsidR="00031CCA" w:rsidRPr="00725094" w:rsidRDefault="00031CCA" w:rsidP="00031CCA">
      <w:pPr>
        <w:pStyle w:val="zp1"/>
        <w:keepNext/>
        <w:spacing w:before="60" w:beforeAutospacing="0" w:after="0" w:afterAutospacing="0" w:line="260" w:lineRule="atLeast"/>
        <w:ind w:left="1418" w:hanging="1418"/>
        <w:jc w:val="both"/>
        <w:rPr>
          <w:rFonts w:ascii="Arial" w:hAnsi="Arial" w:cs="Arial"/>
          <w:color w:val="000000"/>
          <w:sz w:val="20"/>
          <w:szCs w:val="20"/>
        </w:rPr>
      </w:pPr>
      <w:r w:rsidRPr="00725094">
        <w:rPr>
          <w:rFonts w:ascii="Arial" w:hAnsi="Arial" w:cs="Arial"/>
          <w:color w:val="000000"/>
          <w:sz w:val="20"/>
          <w:szCs w:val="20"/>
        </w:rPr>
        <w:lastRenderedPageBreak/>
        <w:t>               (b)    in relation to an individual:</w:t>
      </w:r>
    </w:p>
    <w:p w14:paraId="77350E32" w14:textId="77777777" w:rsidR="00031CCA" w:rsidRPr="00725094" w:rsidRDefault="00031CCA" w:rsidP="00031CCA">
      <w:pPr>
        <w:pStyle w:val="p2"/>
        <w:spacing w:before="60" w:beforeAutospacing="0" w:after="0" w:afterAutospacing="0" w:line="260" w:lineRule="atLeast"/>
        <w:ind w:left="1985" w:hanging="1985"/>
        <w:jc w:val="both"/>
        <w:rPr>
          <w:rFonts w:ascii="Arial" w:hAnsi="Arial" w:cs="Arial"/>
          <w:color w:val="000000"/>
          <w:sz w:val="20"/>
          <w:szCs w:val="20"/>
        </w:rPr>
      </w:pPr>
      <w:r w:rsidRPr="00725094">
        <w:rPr>
          <w:rFonts w:ascii="Arial" w:hAnsi="Arial" w:cs="Arial"/>
          <w:color w:val="000000"/>
          <w:sz w:val="20"/>
          <w:szCs w:val="20"/>
        </w:rPr>
        <w:t>                          (i)    a business partner of the individual; or</w:t>
      </w:r>
    </w:p>
    <w:p w14:paraId="496E9318" w14:textId="77777777" w:rsidR="00031CCA" w:rsidRPr="00725094" w:rsidRDefault="00031CCA" w:rsidP="00031CCA">
      <w:pPr>
        <w:pStyle w:val="p2"/>
        <w:spacing w:before="60" w:beforeAutospacing="0" w:after="0" w:afterAutospacing="0" w:line="260" w:lineRule="atLeast"/>
        <w:ind w:left="1985" w:hanging="1985"/>
        <w:jc w:val="both"/>
        <w:rPr>
          <w:rFonts w:ascii="Arial" w:hAnsi="Arial" w:cs="Arial"/>
          <w:color w:val="000000"/>
          <w:sz w:val="20"/>
          <w:szCs w:val="20"/>
        </w:rPr>
      </w:pPr>
      <w:r w:rsidRPr="00725094">
        <w:rPr>
          <w:rFonts w:ascii="Arial" w:hAnsi="Arial" w:cs="Arial"/>
          <w:color w:val="000000"/>
          <w:sz w:val="20"/>
          <w:szCs w:val="20"/>
        </w:rPr>
        <w:t>                         (ii)    a body corporate in which the individual controls at least 15% of the voting power or of which the individual holds at least 15% of the issued shares; or</w:t>
      </w:r>
    </w:p>
    <w:p w14:paraId="320DCE2B" w14:textId="77777777" w:rsidR="00031CCA" w:rsidRPr="00725094" w:rsidRDefault="00031CCA" w:rsidP="00031CCA">
      <w:pPr>
        <w:pStyle w:val="p2"/>
        <w:spacing w:before="60" w:beforeAutospacing="0" w:after="0" w:afterAutospacing="0" w:line="260" w:lineRule="atLeast"/>
        <w:ind w:left="1985" w:hanging="1985"/>
        <w:jc w:val="both"/>
        <w:rPr>
          <w:rFonts w:ascii="Arial" w:hAnsi="Arial" w:cs="Arial"/>
          <w:color w:val="000000"/>
          <w:sz w:val="20"/>
          <w:szCs w:val="20"/>
        </w:rPr>
      </w:pPr>
      <w:r w:rsidRPr="00725094">
        <w:rPr>
          <w:rFonts w:ascii="Arial" w:hAnsi="Arial" w:cs="Arial"/>
          <w:color w:val="000000"/>
          <w:sz w:val="20"/>
          <w:szCs w:val="20"/>
        </w:rPr>
        <w:t>                        (iii)    a body corporate of which the individual is a director or secretary; or</w:t>
      </w:r>
    </w:p>
    <w:p w14:paraId="56AB2847" w14:textId="77777777" w:rsidR="00031CCA" w:rsidRPr="00725094" w:rsidRDefault="00031CCA" w:rsidP="00031CCA">
      <w:pPr>
        <w:pStyle w:val="p2"/>
        <w:spacing w:before="60" w:beforeAutospacing="0" w:after="0" w:afterAutospacing="0" w:line="260" w:lineRule="atLeast"/>
        <w:ind w:left="1985" w:hanging="1985"/>
        <w:jc w:val="both"/>
        <w:rPr>
          <w:rFonts w:ascii="Arial" w:hAnsi="Arial" w:cs="Arial"/>
          <w:color w:val="000000"/>
          <w:sz w:val="20"/>
          <w:szCs w:val="20"/>
        </w:rPr>
      </w:pPr>
      <w:r w:rsidRPr="00725094">
        <w:rPr>
          <w:rFonts w:ascii="Arial" w:hAnsi="Arial" w:cs="Arial"/>
          <w:color w:val="000000"/>
          <w:sz w:val="20"/>
          <w:szCs w:val="20"/>
        </w:rPr>
        <w:t xml:space="preserve">                        (iv)    a body corporate that is a related body corporate of a body corporate of which the individual is a director or secretary.  </w:t>
      </w:r>
    </w:p>
    <w:p w14:paraId="7F3511C4" w14:textId="77777777" w:rsidR="00031CCA" w:rsidRPr="00725094" w:rsidRDefault="00031CCA" w:rsidP="00031CCA">
      <w:pPr>
        <w:pStyle w:val="definition0"/>
        <w:spacing w:before="80" w:beforeAutospacing="0" w:after="0" w:afterAutospacing="0" w:line="260" w:lineRule="atLeast"/>
        <w:ind w:left="964"/>
        <w:jc w:val="both"/>
        <w:rPr>
          <w:rFonts w:ascii="Arial" w:hAnsi="Arial" w:cs="Arial"/>
          <w:color w:val="000000"/>
          <w:sz w:val="20"/>
          <w:szCs w:val="20"/>
        </w:rPr>
      </w:pPr>
      <w:r w:rsidRPr="00725094">
        <w:rPr>
          <w:rFonts w:ascii="Arial" w:hAnsi="Arial" w:cs="Arial"/>
          <w:b/>
          <w:bCs/>
          <w:i/>
          <w:iCs/>
          <w:color w:val="000000"/>
          <w:sz w:val="20"/>
          <w:szCs w:val="20"/>
        </w:rPr>
        <w:t>related body corporate</w:t>
      </w:r>
      <w:r w:rsidRPr="00725094">
        <w:rPr>
          <w:rFonts w:ascii="Arial" w:hAnsi="Arial" w:cs="Arial"/>
          <w:color w:val="000000"/>
          <w:sz w:val="20"/>
          <w:szCs w:val="20"/>
        </w:rPr>
        <w:t xml:space="preserve"> has the same meaning as in the </w:t>
      </w:r>
      <w:r w:rsidRPr="00725094">
        <w:rPr>
          <w:rFonts w:ascii="Arial" w:hAnsi="Arial" w:cs="Arial"/>
          <w:i/>
          <w:iCs/>
          <w:color w:val="000000"/>
          <w:sz w:val="20"/>
          <w:szCs w:val="20"/>
        </w:rPr>
        <w:t>Corporations Act 2001</w:t>
      </w:r>
      <w:r w:rsidRPr="00725094">
        <w:rPr>
          <w:rFonts w:ascii="Arial" w:hAnsi="Arial" w:cs="Arial"/>
          <w:color w:val="000000"/>
          <w:sz w:val="20"/>
          <w:szCs w:val="20"/>
        </w:rPr>
        <w:t>.</w:t>
      </w:r>
    </w:p>
    <w:p w14:paraId="31F79493" w14:textId="77777777" w:rsidR="00031CCA" w:rsidRPr="00725094" w:rsidRDefault="00031CCA" w:rsidP="00031CCA">
      <w:pPr>
        <w:pStyle w:val="zdefinition"/>
        <w:keepNext/>
        <w:spacing w:before="80" w:beforeAutospacing="0" w:after="0" w:afterAutospacing="0" w:line="260" w:lineRule="atLeast"/>
        <w:ind w:left="964"/>
        <w:jc w:val="both"/>
        <w:rPr>
          <w:rFonts w:ascii="Arial" w:hAnsi="Arial" w:cs="Arial"/>
          <w:color w:val="000000"/>
          <w:sz w:val="20"/>
          <w:szCs w:val="20"/>
        </w:rPr>
      </w:pPr>
      <w:r w:rsidRPr="00725094">
        <w:rPr>
          <w:rFonts w:ascii="Arial" w:hAnsi="Arial" w:cs="Arial"/>
          <w:b/>
          <w:bCs/>
          <w:i/>
          <w:iCs/>
          <w:color w:val="000000"/>
          <w:sz w:val="20"/>
          <w:szCs w:val="20"/>
        </w:rPr>
        <w:t>relative</w:t>
      </w:r>
      <w:r w:rsidRPr="00725094">
        <w:rPr>
          <w:rFonts w:ascii="Arial" w:hAnsi="Arial" w:cs="Arial"/>
          <w:color w:val="000000"/>
          <w:sz w:val="20"/>
          <w:szCs w:val="20"/>
        </w:rPr>
        <w:t>, in relation to a person, means:</w:t>
      </w:r>
    </w:p>
    <w:p w14:paraId="020B955C" w14:textId="77777777" w:rsidR="00031CCA" w:rsidRPr="00725094" w:rsidRDefault="00031CCA" w:rsidP="00031CCA">
      <w:pPr>
        <w:pStyle w:val="p1"/>
        <w:spacing w:before="60" w:beforeAutospacing="0" w:after="0" w:afterAutospacing="0" w:line="260" w:lineRule="atLeast"/>
        <w:ind w:left="1418" w:hanging="1418"/>
        <w:jc w:val="both"/>
        <w:rPr>
          <w:rFonts w:ascii="Arial" w:hAnsi="Arial" w:cs="Arial"/>
          <w:color w:val="000000"/>
          <w:sz w:val="20"/>
          <w:szCs w:val="20"/>
        </w:rPr>
      </w:pPr>
      <w:r w:rsidRPr="00725094">
        <w:rPr>
          <w:rFonts w:ascii="Arial" w:hAnsi="Arial" w:cs="Arial"/>
          <w:color w:val="000000"/>
          <w:sz w:val="20"/>
          <w:szCs w:val="20"/>
        </w:rPr>
        <w:t>                (a)    the person’s spouse; or</w:t>
      </w:r>
    </w:p>
    <w:p w14:paraId="116DA89E" w14:textId="77777777" w:rsidR="00031CCA" w:rsidRPr="00725094" w:rsidRDefault="00031CCA" w:rsidP="00031CCA">
      <w:pPr>
        <w:pStyle w:val="p1"/>
        <w:spacing w:before="60" w:beforeAutospacing="0" w:after="0" w:afterAutospacing="0" w:line="260" w:lineRule="atLeast"/>
        <w:ind w:left="1418" w:hanging="1418"/>
        <w:jc w:val="both"/>
        <w:rPr>
          <w:rFonts w:ascii="Arial" w:hAnsi="Arial" w:cs="Arial"/>
          <w:color w:val="000000"/>
          <w:sz w:val="20"/>
          <w:szCs w:val="20"/>
        </w:rPr>
      </w:pPr>
      <w:r w:rsidRPr="00725094">
        <w:rPr>
          <w:rFonts w:ascii="Arial" w:hAnsi="Arial" w:cs="Arial"/>
          <w:color w:val="000000"/>
          <w:sz w:val="20"/>
          <w:szCs w:val="20"/>
        </w:rPr>
        <w:t>               (b)    the person’s parent, grandparent, brother, sister, uncle, aunt, nephew, niece, lineal descendant or adopted child; or</w:t>
      </w:r>
    </w:p>
    <w:p w14:paraId="36EA5FBC" w14:textId="77777777" w:rsidR="00031CCA" w:rsidRPr="00725094" w:rsidRDefault="00031CCA" w:rsidP="00031CCA">
      <w:pPr>
        <w:pStyle w:val="p1"/>
        <w:spacing w:before="60" w:beforeAutospacing="0" w:after="0" w:afterAutospacing="0" w:line="260" w:lineRule="atLeast"/>
        <w:ind w:left="1418" w:hanging="1418"/>
        <w:jc w:val="both"/>
        <w:rPr>
          <w:rFonts w:ascii="Arial" w:hAnsi="Arial" w:cs="Arial"/>
          <w:color w:val="000000"/>
          <w:sz w:val="20"/>
          <w:szCs w:val="20"/>
        </w:rPr>
      </w:pPr>
      <w:r w:rsidRPr="00725094">
        <w:rPr>
          <w:rFonts w:ascii="Arial" w:hAnsi="Arial" w:cs="Arial"/>
          <w:color w:val="000000"/>
          <w:sz w:val="20"/>
          <w:szCs w:val="20"/>
        </w:rPr>
        <w:t xml:space="preserve">                (c)    the spouse of a relative mentioned in paragraph (b).  </w:t>
      </w:r>
    </w:p>
    <w:p w14:paraId="586791D4" w14:textId="77777777" w:rsidR="00031CCA" w:rsidRPr="00725094" w:rsidRDefault="00031CCA" w:rsidP="00031CCA">
      <w:pPr>
        <w:pStyle w:val="definition0"/>
        <w:spacing w:before="80" w:beforeAutospacing="0" w:after="0" w:afterAutospacing="0" w:line="260" w:lineRule="atLeast"/>
        <w:ind w:left="964"/>
        <w:jc w:val="both"/>
        <w:rPr>
          <w:rFonts w:ascii="Arial" w:hAnsi="Arial" w:cs="Arial"/>
          <w:color w:val="000000"/>
          <w:sz w:val="20"/>
          <w:szCs w:val="20"/>
        </w:rPr>
      </w:pPr>
      <w:r w:rsidRPr="00725094">
        <w:rPr>
          <w:rFonts w:ascii="Arial" w:hAnsi="Arial" w:cs="Arial"/>
          <w:b/>
          <w:bCs/>
          <w:i/>
          <w:iCs/>
          <w:color w:val="000000"/>
          <w:sz w:val="20"/>
          <w:szCs w:val="20"/>
        </w:rPr>
        <w:t>spouse</w:t>
      </w:r>
      <w:r w:rsidRPr="00725094">
        <w:rPr>
          <w:rFonts w:ascii="Arial" w:hAnsi="Arial" w:cs="Arial"/>
          <w:color w:val="000000"/>
          <w:sz w:val="20"/>
          <w:szCs w:val="20"/>
        </w:rPr>
        <w:t xml:space="preserve">, in relation to a person, includes a de facto partner of the person, within the meaning given by section 2D of the </w:t>
      </w:r>
      <w:r w:rsidRPr="00725094">
        <w:rPr>
          <w:rFonts w:ascii="Arial" w:hAnsi="Arial" w:cs="Arial"/>
          <w:i/>
          <w:iCs/>
          <w:color w:val="000000"/>
          <w:sz w:val="20"/>
          <w:szCs w:val="20"/>
        </w:rPr>
        <w:t>Acts Interpretation Act 1901</w:t>
      </w:r>
      <w:r w:rsidRPr="00725094">
        <w:rPr>
          <w:rFonts w:ascii="Arial" w:hAnsi="Arial" w:cs="Arial"/>
          <w:color w:val="000000"/>
          <w:sz w:val="20"/>
          <w:szCs w:val="20"/>
        </w:rPr>
        <w:t xml:space="preserve">.  </w:t>
      </w:r>
    </w:p>
    <w:p w14:paraId="18524663" w14:textId="77777777" w:rsidR="00031CCA" w:rsidRPr="00725094" w:rsidRDefault="00031CCA" w:rsidP="00031CCA">
      <w:pPr>
        <w:pStyle w:val="note"/>
        <w:spacing w:before="120" w:beforeAutospacing="0" w:after="0" w:afterAutospacing="0" w:line="220" w:lineRule="atLeast"/>
        <w:ind w:left="964"/>
        <w:jc w:val="both"/>
        <w:rPr>
          <w:rFonts w:ascii="Arial" w:hAnsi="Arial" w:cs="Arial"/>
          <w:color w:val="000000"/>
          <w:sz w:val="20"/>
          <w:szCs w:val="20"/>
        </w:rPr>
      </w:pPr>
      <w:r w:rsidRPr="00725094">
        <w:rPr>
          <w:rFonts w:ascii="Arial" w:hAnsi="Arial" w:cs="Arial"/>
          <w:i/>
          <w:iCs/>
          <w:color w:val="000000"/>
          <w:sz w:val="20"/>
          <w:szCs w:val="20"/>
        </w:rPr>
        <w:t>Note </w:t>
      </w:r>
      <w:r w:rsidRPr="00725094">
        <w:rPr>
          <w:rFonts w:ascii="Arial" w:hAnsi="Arial" w:cs="Arial"/>
          <w:color w:val="000000"/>
          <w:sz w:val="20"/>
          <w:szCs w:val="20"/>
        </w:rPr>
        <w:t xml:space="preserve">  On 20 December 2000, the Minister gave to the Australian Communications Authority the </w:t>
      </w:r>
      <w:r w:rsidRPr="00725094">
        <w:rPr>
          <w:rFonts w:ascii="Arial" w:hAnsi="Arial" w:cs="Arial"/>
          <w:i/>
          <w:iCs/>
          <w:color w:val="000000"/>
          <w:sz w:val="20"/>
          <w:szCs w:val="20"/>
        </w:rPr>
        <w:t>Australian Communications Authority (LPON Transmitter Licences) Direction No. 2 of 2000</w:t>
      </w:r>
      <w:r w:rsidRPr="00725094">
        <w:rPr>
          <w:rFonts w:ascii="Arial" w:hAnsi="Arial" w:cs="Arial"/>
          <w:color w:val="000000"/>
          <w:sz w:val="20"/>
          <w:szCs w:val="20"/>
        </w:rPr>
        <w:t xml:space="preserve"> (</w:t>
      </w:r>
      <w:r w:rsidRPr="00725094">
        <w:rPr>
          <w:rFonts w:ascii="Arial" w:hAnsi="Arial" w:cs="Arial"/>
          <w:b/>
          <w:bCs/>
          <w:i/>
          <w:iCs/>
          <w:color w:val="000000"/>
          <w:sz w:val="20"/>
          <w:szCs w:val="20"/>
        </w:rPr>
        <w:t>Direction</w:t>
      </w:r>
      <w:r w:rsidRPr="00725094">
        <w:rPr>
          <w:rFonts w:ascii="Arial" w:hAnsi="Arial" w:cs="Arial"/>
          <w:color w:val="000000"/>
          <w:sz w:val="20"/>
          <w:szCs w:val="20"/>
        </w:rPr>
        <w:t xml:space="preserve">), under subsection 12 (1) of the </w:t>
      </w:r>
      <w:r w:rsidRPr="00725094">
        <w:rPr>
          <w:rFonts w:ascii="Arial" w:hAnsi="Arial" w:cs="Arial"/>
          <w:i/>
          <w:iCs/>
          <w:color w:val="000000"/>
          <w:sz w:val="20"/>
          <w:szCs w:val="20"/>
        </w:rPr>
        <w:t>Australian Communications Authority Act 1997</w:t>
      </w:r>
      <w:r w:rsidRPr="00725094">
        <w:rPr>
          <w:rFonts w:ascii="Arial" w:hAnsi="Arial" w:cs="Arial"/>
          <w:color w:val="000000"/>
          <w:sz w:val="20"/>
          <w:szCs w:val="20"/>
        </w:rPr>
        <w:t xml:space="preserve">.  The Direction is continued in force under item 8 of Schedule 4 to the </w:t>
      </w:r>
      <w:r w:rsidRPr="00725094">
        <w:rPr>
          <w:rFonts w:ascii="Arial" w:hAnsi="Arial" w:cs="Arial"/>
          <w:i/>
          <w:iCs/>
          <w:color w:val="000000"/>
          <w:sz w:val="20"/>
          <w:szCs w:val="20"/>
        </w:rPr>
        <w:t>Australian Communications and Media Authority (Consequential and Transitional Provisions) Act 2005</w:t>
      </w:r>
      <w:r w:rsidRPr="00725094">
        <w:rPr>
          <w:rFonts w:ascii="Arial" w:hAnsi="Arial" w:cs="Arial"/>
          <w:color w:val="000000"/>
          <w:sz w:val="20"/>
          <w:szCs w:val="20"/>
        </w:rPr>
        <w:t>.  The Direction makes provision for how the ACMA exercises its powers and performs its functions in relation to imposing conditions on certain licences.</w:t>
      </w:r>
    </w:p>
    <w:p w14:paraId="27630BAC" w14:textId="77777777" w:rsidR="00031CCA" w:rsidRPr="00725094" w:rsidRDefault="00031CCA" w:rsidP="00031CCA">
      <w:pPr>
        <w:pStyle w:val="pagebreak"/>
        <w:spacing w:before="0" w:beforeAutospacing="0" w:after="0" w:afterAutospacing="0"/>
        <w:rPr>
          <w:rFonts w:ascii="Arial" w:hAnsi="Arial" w:cs="Arial"/>
          <w:color w:val="000000"/>
          <w:sz w:val="20"/>
          <w:szCs w:val="20"/>
        </w:rPr>
      </w:pPr>
      <w:r w:rsidRPr="00725094">
        <w:rPr>
          <w:rFonts w:ascii="Arial" w:hAnsi="Arial" w:cs="Arial"/>
          <w:color w:val="000000"/>
          <w:sz w:val="20"/>
          <w:szCs w:val="20"/>
        </w:rPr>
        <w:t> </w:t>
      </w:r>
    </w:p>
    <w:p w14:paraId="1DC398CF" w14:textId="0CAC459D" w:rsidR="00031CCA" w:rsidRPr="00725094" w:rsidRDefault="008843AE" w:rsidP="00031CCA">
      <w:pPr>
        <w:rPr>
          <w:rFonts w:cs="Arial"/>
          <w:szCs w:val="20"/>
        </w:rPr>
      </w:pPr>
      <w:hyperlink r:id="rId48" w:history="1">
        <w:r w:rsidR="003A6295" w:rsidRPr="00F97BF9">
          <w:rPr>
            <w:rStyle w:val="Hyperlink"/>
          </w:rPr>
          <w:t>Australian Communications Authority (LPON Transmitter Licences) Direction No. 2 of 2000</w:t>
        </w:r>
      </w:hyperlink>
    </w:p>
    <w:p w14:paraId="39D33346" w14:textId="63C28EE1" w:rsidR="00725094" w:rsidRPr="00725094" w:rsidRDefault="00725094" w:rsidP="00725094">
      <w:pPr>
        <w:pStyle w:val="BodyTextIndent"/>
        <w:keepNext/>
        <w:widowControl/>
        <w:tabs>
          <w:tab w:val="clear" w:pos="691"/>
          <w:tab w:val="left" w:pos="720"/>
        </w:tabs>
        <w:spacing w:before="240" w:after="120"/>
        <w:ind w:left="0" w:firstLine="0"/>
        <w:rPr>
          <w:rFonts w:ascii="Arial" w:hAnsi="Arial" w:cs="Arial"/>
          <w:sz w:val="20"/>
        </w:rPr>
      </w:pPr>
      <w:r w:rsidRPr="00725094">
        <w:rPr>
          <w:rFonts w:ascii="Arial" w:hAnsi="Arial" w:cs="Arial"/>
          <w:sz w:val="20"/>
        </w:rPr>
        <w:t>7.</w:t>
      </w:r>
      <w:r w:rsidR="002433B3">
        <w:rPr>
          <w:rFonts w:ascii="Arial" w:hAnsi="Arial" w:cs="Arial"/>
          <w:sz w:val="20"/>
        </w:rPr>
        <w:t xml:space="preserve"> </w:t>
      </w:r>
      <w:r w:rsidRPr="00725094">
        <w:rPr>
          <w:rFonts w:ascii="Arial" w:hAnsi="Arial" w:cs="Arial"/>
          <w:sz w:val="20"/>
        </w:rPr>
        <w:t>Direction – renewal of LPON licences within 6 months</w:t>
      </w:r>
    </w:p>
    <w:p w14:paraId="7662D3C7" w14:textId="77777777" w:rsidR="00725094" w:rsidRPr="00725094" w:rsidRDefault="00725094" w:rsidP="00725094">
      <w:pPr>
        <w:spacing w:before="120" w:after="120"/>
        <w:rPr>
          <w:rFonts w:cs="Arial"/>
          <w:snapToGrid w:val="0"/>
          <w:szCs w:val="20"/>
          <w:lang w:val="en-US"/>
        </w:rPr>
      </w:pPr>
      <w:r w:rsidRPr="00725094">
        <w:rPr>
          <w:rFonts w:cs="Arial"/>
          <w:snapToGrid w:val="0"/>
          <w:szCs w:val="20"/>
          <w:lang w:val="en-US"/>
        </w:rPr>
        <w:t>The ACA must make any apparatus licence for a low power open narrowcasting service issued upon renewal within 6 months of the commencement of this Direction subject to conditions that have the effect of requiring a licensee of a low power open narrowcasting service to:</w:t>
      </w:r>
    </w:p>
    <w:p w14:paraId="486360D8" w14:textId="77777777" w:rsidR="00725094" w:rsidRPr="00725094" w:rsidRDefault="00725094" w:rsidP="00725094">
      <w:pPr>
        <w:spacing w:before="120" w:after="120"/>
        <w:ind w:left="1134" w:hanging="567"/>
        <w:rPr>
          <w:rFonts w:cs="Arial"/>
          <w:snapToGrid w:val="0"/>
          <w:szCs w:val="20"/>
          <w:lang w:val="en-US"/>
        </w:rPr>
      </w:pPr>
      <w:r w:rsidRPr="00725094">
        <w:rPr>
          <w:rFonts w:cs="Arial"/>
          <w:snapToGrid w:val="0"/>
          <w:szCs w:val="20"/>
          <w:lang w:val="en-US"/>
        </w:rPr>
        <w:t>(a)</w:t>
      </w:r>
      <w:r w:rsidRPr="00725094">
        <w:rPr>
          <w:rFonts w:cs="Arial"/>
          <w:snapToGrid w:val="0"/>
          <w:szCs w:val="20"/>
          <w:lang w:val="en-US"/>
        </w:rPr>
        <w:tab/>
        <w:t>commence to provide a service using a transmitter authorised under the licence within 6 months of the renewal of the licence unless the licensee has a reasonable excuse for not doing so; and</w:t>
      </w:r>
    </w:p>
    <w:p w14:paraId="27871982" w14:textId="77777777" w:rsidR="00725094" w:rsidRPr="00725094" w:rsidRDefault="00725094" w:rsidP="00725094">
      <w:pPr>
        <w:spacing w:before="120" w:after="120"/>
        <w:ind w:left="1134" w:hanging="567"/>
        <w:rPr>
          <w:rFonts w:cs="Arial"/>
          <w:szCs w:val="20"/>
          <w:lang w:val="en-US"/>
        </w:rPr>
      </w:pPr>
      <w:r w:rsidRPr="00725094">
        <w:rPr>
          <w:rFonts w:cs="Arial"/>
          <w:snapToGrid w:val="0"/>
          <w:szCs w:val="20"/>
          <w:lang w:val="en-US"/>
        </w:rPr>
        <w:t>(b)</w:t>
      </w:r>
      <w:r w:rsidRPr="00725094">
        <w:rPr>
          <w:rFonts w:cs="Arial"/>
          <w:snapToGrid w:val="0"/>
          <w:szCs w:val="20"/>
          <w:lang w:val="en-US"/>
        </w:rPr>
        <w:tab/>
      </w:r>
      <w:r w:rsidRPr="00725094">
        <w:rPr>
          <w:rFonts w:cs="Arial"/>
          <w:szCs w:val="20"/>
        </w:rPr>
        <w:t xml:space="preserve">continue to </w:t>
      </w:r>
      <w:r w:rsidRPr="00725094">
        <w:rPr>
          <w:rFonts w:cs="Arial"/>
          <w:snapToGrid w:val="0"/>
          <w:szCs w:val="20"/>
          <w:lang w:val="en-US"/>
        </w:rPr>
        <w:t>provide</w:t>
      </w:r>
      <w:r w:rsidRPr="00725094">
        <w:rPr>
          <w:rFonts w:cs="Arial"/>
          <w:szCs w:val="20"/>
        </w:rPr>
        <w:t xml:space="preserve"> a service </w:t>
      </w:r>
      <w:r w:rsidRPr="00725094">
        <w:rPr>
          <w:rFonts w:cs="Arial"/>
          <w:szCs w:val="20"/>
          <w:lang w:val="en-US"/>
        </w:rPr>
        <w:t>throughout the term of the licence with reasonable regularity; and</w:t>
      </w:r>
    </w:p>
    <w:p w14:paraId="04EA5E4E" w14:textId="77777777" w:rsidR="00725094" w:rsidRPr="00725094" w:rsidRDefault="00725094" w:rsidP="00725094">
      <w:pPr>
        <w:spacing w:before="120" w:after="120"/>
        <w:ind w:left="1134" w:hanging="567"/>
        <w:rPr>
          <w:rFonts w:cs="Arial"/>
          <w:snapToGrid w:val="0"/>
          <w:szCs w:val="20"/>
          <w:lang w:val="en-US"/>
        </w:rPr>
      </w:pPr>
      <w:r w:rsidRPr="00725094">
        <w:rPr>
          <w:rFonts w:cs="Arial"/>
          <w:szCs w:val="20"/>
          <w:lang w:val="en-US"/>
        </w:rPr>
        <w:t>(c)</w:t>
      </w:r>
      <w:r w:rsidRPr="00725094">
        <w:rPr>
          <w:rFonts w:cs="Arial"/>
          <w:szCs w:val="20"/>
          <w:lang w:val="en-US"/>
        </w:rPr>
        <w:tab/>
      </w:r>
      <w:r w:rsidRPr="00725094">
        <w:rPr>
          <w:rFonts w:cs="Arial"/>
          <w:szCs w:val="20"/>
        </w:rPr>
        <w:t>maintain records of the commencement, hours of operation and provision of a service under the licence.</w:t>
      </w:r>
    </w:p>
    <w:p w14:paraId="2E309427" w14:textId="521ED167" w:rsidR="00725094" w:rsidRPr="00725094" w:rsidRDefault="00725094" w:rsidP="00725094">
      <w:pPr>
        <w:spacing w:before="240" w:after="120"/>
        <w:rPr>
          <w:rFonts w:cs="Arial"/>
          <w:b/>
          <w:snapToGrid w:val="0"/>
          <w:szCs w:val="20"/>
          <w:lang w:val="en-US"/>
        </w:rPr>
      </w:pPr>
      <w:r w:rsidRPr="00725094">
        <w:rPr>
          <w:rFonts w:cs="Arial"/>
          <w:b/>
          <w:snapToGrid w:val="0"/>
          <w:szCs w:val="20"/>
          <w:lang w:val="en-US"/>
        </w:rPr>
        <w:t>8.</w:t>
      </w:r>
      <w:r w:rsidR="002433B3">
        <w:rPr>
          <w:rFonts w:cs="Arial"/>
          <w:b/>
          <w:snapToGrid w:val="0"/>
          <w:szCs w:val="20"/>
          <w:lang w:val="en-US"/>
        </w:rPr>
        <w:t xml:space="preserve"> </w:t>
      </w:r>
      <w:r w:rsidRPr="00725094">
        <w:rPr>
          <w:rFonts w:cs="Arial"/>
          <w:b/>
          <w:snapToGrid w:val="0"/>
          <w:szCs w:val="20"/>
          <w:lang w:val="en-US"/>
        </w:rPr>
        <w:t xml:space="preserve">Direction – extension of </w:t>
      </w:r>
      <w:r w:rsidR="00DB1D9F" w:rsidRPr="00725094">
        <w:rPr>
          <w:rFonts w:cs="Arial"/>
          <w:b/>
          <w:snapToGrid w:val="0"/>
          <w:szCs w:val="20"/>
          <w:lang w:val="en-US"/>
        </w:rPr>
        <w:t>6-month</w:t>
      </w:r>
      <w:r w:rsidRPr="00725094">
        <w:rPr>
          <w:rFonts w:cs="Arial"/>
          <w:b/>
          <w:snapToGrid w:val="0"/>
          <w:szCs w:val="20"/>
          <w:lang w:val="en-US"/>
        </w:rPr>
        <w:t xml:space="preserve"> start-up period</w:t>
      </w:r>
    </w:p>
    <w:p w14:paraId="18B07064" w14:textId="56CBE515" w:rsidR="00725094" w:rsidRPr="00725094" w:rsidRDefault="00725094" w:rsidP="00725094">
      <w:pPr>
        <w:spacing w:before="120" w:after="120"/>
        <w:rPr>
          <w:rFonts w:cs="Arial"/>
          <w:snapToGrid w:val="0"/>
          <w:szCs w:val="20"/>
          <w:lang w:val="en-US"/>
        </w:rPr>
      </w:pPr>
      <w:r w:rsidRPr="00725094">
        <w:rPr>
          <w:rFonts w:cs="Arial"/>
          <w:snapToGrid w:val="0"/>
          <w:szCs w:val="20"/>
          <w:lang w:val="en-US"/>
        </w:rPr>
        <w:t>(1)</w:t>
      </w:r>
      <w:r w:rsidRPr="00725094">
        <w:rPr>
          <w:rFonts w:cs="Arial"/>
          <w:snapToGrid w:val="0"/>
          <w:szCs w:val="20"/>
          <w:lang w:val="en-US"/>
        </w:rPr>
        <w:tab/>
        <w:t xml:space="preserve">The ACA may allow for an extension of the </w:t>
      </w:r>
      <w:r w:rsidR="00DB1D9F" w:rsidRPr="00725094">
        <w:rPr>
          <w:rFonts w:cs="Arial"/>
          <w:snapToGrid w:val="0"/>
          <w:szCs w:val="20"/>
          <w:lang w:val="en-US"/>
        </w:rPr>
        <w:t>6-month</w:t>
      </w:r>
      <w:r w:rsidRPr="00725094">
        <w:rPr>
          <w:rFonts w:cs="Arial"/>
          <w:snapToGrid w:val="0"/>
          <w:szCs w:val="20"/>
          <w:lang w:val="en-US"/>
        </w:rPr>
        <w:t xml:space="preserve"> period referred to in clause 5(a), 6(a) or 7(a) if in the ACA's opinion there is a valid reason for a delay by a licensee complying with those clauses.</w:t>
      </w:r>
    </w:p>
    <w:p w14:paraId="43D46619" w14:textId="77777777" w:rsidR="00725094" w:rsidRPr="00725094" w:rsidRDefault="00725094" w:rsidP="000D3C7E">
      <w:pPr>
        <w:keepNext/>
        <w:keepLines/>
        <w:spacing w:before="120" w:after="120"/>
        <w:rPr>
          <w:rFonts w:cs="Arial"/>
          <w:snapToGrid w:val="0"/>
          <w:szCs w:val="20"/>
          <w:lang w:val="en-US"/>
        </w:rPr>
      </w:pPr>
      <w:r w:rsidRPr="00725094">
        <w:rPr>
          <w:rFonts w:cs="Arial"/>
          <w:snapToGrid w:val="0"/>
          <w:szCs w:val="20"/>
          <w:lang w:val="en-US"/>
        </w:rPr>
        <w:lastRenderedPageBreak/>
        <w:t>(2)</w:t>
      </w:r>
      <w:r w:rsidRPr="00725094">
        <w:rPr>
          <w:rFonts w:cs="Arial"/>
          <w:snapToGrid w:val="0"/>
          <w:szCs w:val="20"/>
          <w:lang w:val="en-US"/>
        </w:rPr>
        <w:tab/>
        <w:t>The following, inter alia, shall not constitute valid reasons for a delay:</w:t>
      </w:r>
    </w:p>
    <w:p w14:paraId="465DA8A5" w14:textId="5D348C1F" w:rsidR="00725094" w:rsidRPr="00725094" w:rsidRDefault="00725094" w:rsidP="000D3C7E">
      <w:pPr>
        <w:keepNext/>
        <w:keepLines/>
        <w:spacing w:before="120" w:after="120"/>
        <w:ind w:left="1134" w:hanging="567"/>
        <w:rPr>
          <w:rFonts w:cs="Arial"/>
          <w:snapToGrid w:val="0"/>
          <w:szCs w:val="20"/>
          <w:lang w:val="en-US"/>
        </w:rPr>
      </w:pPr>
      <w:r w:rsidRPr="00725094">
        <w:rPr>
          <w:rFonts w:cs="Arial"/>
          <w:snapToGrid w:val="0"/>
          <w:szCs w:val="20"/>
          <w:lang w:val="en-US"/>
        </w:rPr>
        <w:t>(a)</w:t>
      </w:r>
      <w:r w:rsidRPr="00725094">
        <w:rPr>
          <w:rFonts w:cs="Arial"/>
          <w:snapToGrid w:val="0"/>
          <w:szCs w:val="20"/>
          <w:lang w:val="en-US"/>
        </w:rPr>
        <w:tab/>
        <w:t xml:space="preserve">the licence has been obtained within the </w:t>
      </w:r>
      <w:r w:rsidR="00DB1D9F" w:rsidRPr="00725094">
        <w:rPr>
          <w:rFonts w:cs="Arial"/>
          <w:snapToGrid w:val="0"/>
          <w:szCs w:val="20"/>
          <w:lang w:val="en-US"/>
        </w:rPr>
        <w:t>6-month</w:t>
      </w:r>
      <w:r w:rsidRPr="00725094">
        <w:rPr>
          <w:rFonts w:cs="Arial"/>
          <w:snapToGrid w:val="0"/>
          <w:szCs w:val="20"/>
          <w:lang w:val="en-US"/>
        </w:rPr>
        <w:t xml:space="preserve"> period pursuant to a transfer to a relative or associate; or</w:t>
      </w:r>
    </w:p>
    <w:p w14:paraId="121B9A6F" w14:textId="1C96E8DB" w:rsidR="00725094" w:rsidRPr="00725094" w:rsidRDefault="00725094" w:rsidP="000D3C7E">
      <w:pPr>
        <w:keepNext/>
        <w:keepLines/>
        <w:spacing w:before="120" w:after="120"/>
        <w:ind w:left="567"/>
        <w:rPr>
          <w:rFonts w:cs="Arial"/>
          <w:snapToGrid w:val="0"/>
          <w:szCs w:val="20"/>
          <w:lang w:val="en-US"/>
        </w:rPr>
      </w:pPr>
      <w:r w:rsidRPr="00725094">
        <w:rPr>
          <w:rFonts w:cs="Arial"/>
          <w:snapToGrid w:val="0"/>
          <w:szCs w:val="20"/>
          <w:lang w:val="en-US"/>
        </w:rPr>
        <w:t>(b)</w:t>
      </w:r>
      <w:r w:rsidRPr="00725094">
        <w:rPr>
          <w:rFonts w:cs="Arial"/>
          <w:snapToGrid w:val="0"/>
          <w:szCs w:val="20"/>
          <w:lang w:val="en-US"/>
        </w:rPr>
        <w:tab/>
      </w:r>
      <w:r w:rsidR="002433B3">
        <w:rPr>
          <w:rFonts w:cs="Arial"/>
          <w:snapToGrid w:val="0"/>
          <w:szCs w:val="20"/>
          <w:lang w:val="en-US"/>
        </w:rPr>
        <w:tab/>
      </w:r>
      <w:r w:rsidRPr="00725094">
        <w:rPr>
          <w:rFonts w:cs="Arial"/>
          <w:snapToGrid w:val="0"/>
          <w:szCs w:val="20"/>
          <w:lang w:val="en-US"/>
        </w:rPr>
        <w:t>financial reasons; or</w:t>
      </w:r>
    </w:p>
    <w:p w14:paraId="48005BA8" w14:textId="77777777" w:rsidR="00725094" w:rsidRPr="00725094" w:rsidRDefault="00725094" w:rsidP="000D3C7E">
      <w:pPr>
        <w:keepNext/>
        <w:keepLines/>
        <w:spacing w:before="120" w:after="120"/>
        <w:ind w:left="1134" w:hanging="567"/>
        <w:rPr>
          <w:rFonts w:cs="Arial"/>
          <w:snapToGrid w:val="0"/>
          <w:szCs w:val="20"/>
          <w:lang w:val="en-US"/>
        </w:rPr>
      </w:pPr>
      <w:r w:rsidRPr="00725094">
        <w:rPr>
          <w:rFonts w:cs="Arial"/>
          <w:snapToGrid w:val="0"/>
          <w:szCs w:val="20"/>
          <w:lang w:val="en-US"/>
        </w:rPr>
        <w:t>(c)</w:t>
      </w:r>
      <w:r w:rsidRPr="00725094">
        <w:rPr>
          <w:rFonts w:cs="Arial"/>
          <w:snapToGrid w:val="0"/>
          <w:szCs w:val="20"/>
          <w:lang w:val="en-US"/>
        </w:rPr>
        <w:tab/>
        <w:t>the licence is subject to an arrangement contingent on the disposal of another licence held by the licensee.</w:t>
      </w:r>
    </w:p>
    <w:p w14:paraId="50C912DF" w14:textId="77777777" w:rsidR="00725094" w:rsidRPr="00725094" w:rsidRDefault="00725094" w:rsidP="00725094">
      <w:pPr>
        <w:spacing w:before="120" w:after="120"/>
        <w:rPr>
          <w:rFonts w:cs="Arial"/>
          <w:snapToGrid w:val="0"/>
          <w:szCs w:val="20"/>
          <w:lang w:val="en-US"/>
        </w:rPr>
      </w:pPr>
      <w:r w:rsidRPr="00725094">
        <w:rPr>
          <w:rFonts w:cs="Arial"/>
          <w:snapToGrid w:val="0"/>
          <w:szCs w:val="20"/>
          <w:lang w:val="en-US"/>
        </w:rPr>
        <w:t>(3)</w:t>
      </w:r>
      <w:r w:rsidRPr="00725094">
        <w:rPr>
          <w:rFonts w:cs="Arial"/>
          <w:snapToGrid w:val="0"/>
          <w:szCs w:val="20"/>
          <w:lang w:val="en-US"/>
        </w:rPr>
        <w:tab/>
        <w:t>To remove any doubt, subsection (2) is not exhaustive and there may be other reasons that do not constitute valid reasons for a delay in commencing to provide a service.</w:t>
      </w:r>
    </w:p>
    <w:p w14:paraId="0CD21677" w14:textId="048DB6C1" w:rsidR="003A6295" w:rsidRPr="003A6295" w:rsidRDefault="003A6295" w:rsidP="003A6295">
      <w:pPr>
        <w:keepNext/>
        <w:spacing w:before="240" w:after="120"/>
        <w:rPr>
          <w:rFonts w:ascii="Times New Roman" w:hAnsi="Times New Roman"/>
          <w:b/>
          <w:snapToGrid w:val="0"/>
          <w:szCs w:val="20"/>
          <w:lang w:val="en-US"/>
        </w:rPr>
      </w:pPr>
      <w:r w:rsidRPr="003A6295">
        <w:rPr>
          <w:b/>
          <w:snapToGrid w:val="0"/>
          <w:szCs w:val="20"/>
          <w:lang w:val="en-US"/>
        </w:rPr>
        <w:t>10.</w:t>
      </w:r>
      <w:r w:rsidR="000D3C7E">
        <w:rPr>
          <w:b/>
          <w:snapToGrid w:val="0"/>
          <w:szCs w:val="20"/>
          <w:lang w:val="en-US"/>
        </w:rPr>
        <w:t xml:space="preserve"> </w:t>
      </w:r>
      <w:r w:rsidRPr="003A6295">
        <w:rPr>
          <w:b/>
          <w:snapToGrid w:val="0"/>
          <w:szCs w:val="20"/>
          <w:lang w:val="en-US"/>
        </w:rPr>
        <w:t>Direction – cancellation of LPON licences</w:t>
      </w:r>
    </w:p>
    <w:p w14:paraId="72B48129" w14:textId="77777777" w:rsidR="003A6295" w:rsidRPr="003A6295" w:rsidRDefault="003A6295" w:rsidP="003A6295">
      <w:pPr>
        <w:spacing w:before="120" w:after="120"/>
        <w:rPr>
          <w:snapToGrid w:val="0"/>
          <w:szCs w:val="20"/>
          <w:lang w:val="en-US"/>
        </w:rPr>
      </w:pPr>
      <w:r w:rsidRPr="003A6295">
        <w:rPr>
          <w:snapToGrid w:val="0"/>
          <w:szCs w:val="20"/>
          <w:lang w:val="en-US"/>
        </w:rPr>
        <w:t>(1)</w:t>
      </w:r>
      <w:r w:rsidRPr="003A6295">
        <w:rPr>
          <w:snapToGrid w:val="0"/>
          <w:szCs w:val="20"/>
          <w:lang w:val="en-US"/>
        </w:rPr>
        <w:tab/>
        <w:t>The ACA may consider cancelling an apparatus licence for a low power open narrowcasting service for contravention of any conditions included in the licence because of section 5, 6, 7 or 9 where it has received a written statement from any person (“</w:t>
      </w:r>
      <w:r w:rsidRPr="003A6295">
        <w:rPr>
          <w:b/>
          <w:i/>
          <w:snapToGrid w:val="0"/>
          <w:szCs w:val="20"/>
          <w:lang w:val="en-US"/>
        </w:rPr>
        <w:t>the complainant</w:t>
      </w:r>
      <w:r w:rsidRPr="003A6295">
        <w:rPr>
          <w:snapToGrid w:val="0"/>
          <w:szCs w:val="20"/>
          <w:lang w:val="en-US"/>
        </w:rPr>
        <w:t>”) specifying the following details:</w:t>
      </w:r>
    </w:p>
    <w:p w14:paraId="11CBE900" w14:textId="77777777" w:rsidR="003A6295" w:rsidRPr="003A6295" w:rsidRDefault="003A6295" w:rsidP="003A6295">
      <w:pPr>
        <w:numPr>
          <w:ilvl w:val="0"/>
          <w:numId w:val="17"/>
        </w:numPr>
        <w:spacing w:before="120" w:after="120" w:line="240" w:lineRule="auto"/>
        <w:ind w:left="1134" w:hanging="567"/>
        <w:rPr>
          <w:snapToGrid w:val="0"/>
          <w:szCs w:val="20"/>
          <w:lang w:val="en-US"/>
        </w:rPr>
      </w:pPr>
      <w:r w:rsidRPr="003A6295">
        <w:rPr>
          <w:snapToGrid w:val="0"/>
          <w:szCs w:val="20"/>
          <w:lang w:val="en-US"/>
        </w:rPr>
        <w:t>the name and contact details of the complainant and their interest in the matter; and</w:t>
      </w:r>
    </w:p>
    <w:p w14:paraId="56B65614" w14:textId="77777777" w:rsidR="003A6295" w:rsidRPr="003A6295" w:rsidRDefault="003A6295" w:rsidP="003A6295">
      <w:pPr>
        <w:numPr>
          <w:ilvl w:val="0"/>
          <w:numId w:val="17"/>
        </w:numPr>
        <w:spacing w:before="120" w:after="120" w:line="240" w:lineRule="auto"/>
        <w:ind w:left="567" w:firstLine="0"/>
        <w:rPr>
          <w:snapToGrid w:val="0"/>
          <w:szCs w:val="20"/>
          <w:lang w:val="en-US"/>
        </w:rPr>
      </w:pPr>
      <w:r w:rsidRPr="003A6295">
        <w:rPr>
          <w:snapToGrid w:val="0"/>
          <w:szCs w:val="20"/>
          <w:lang w:val="en-US"/>
        </w:rPr>
        <w:t>the purported breach of condition and the supporting evidence.</w:t>
      </w:r>
    </w:p>
    <w:p w14:paraId="2C111622" w14:textId="77777777" w:rsidR="003A6295" w:rsidRPr="003A6295" w:rsidRDefault="003A6295" w:rsidP="003A6295">
      <w:pPr>
        <w:spacing w:before="120" w:after="120"/>
        <w:rPr>
          <w:snapToGrid w:val="0"/>
          <w:szCs w:val="20"/>
          <w:lang w:val="en-US"/>
        </w:rPr>
      </w:pPr>
      <w:r w:rsidRPr="003A6295">
        <w:rPr>
          <w:snapToGrid w:val="0"/>
          <w:szCs w:val="20"/>
          <w:lang w:val="en-US"/>
        </w:rPr>
        <w:t>(2)</w:t>
      </w:r>
      <w:r w:rsidRPr="003A6295">
        <w:rPr>
          <w:snapToGrid w:val="0"/>
          <w:szCs w:val="20"/>
          <w:lang w:val="en-US"/>
        </w:rPr>
        <w:tab/>
        <w:t xml:space="preserve">The statement must be made on the form approved by the ACA for this purpose </w:t>
      </w:r>
      <w:r w:rsidRPr="003A6295">
        <w:rPr>
          <w:i/>
          <w:snapToGrid w:val="0"/>
          <w:szCs w:val="20"/>
          <w:lang w:val="en-US"/>
        </w:rPr>
        <w:t>(</w:t>
      </w:r>
      <w:r w:rsidRPr="003A6295">
        <w:rPr>
          <w:b/>
          <w:i/>
          <w:snapToGrid w:val="0"/>
          <w:szCs w:val="20"/>
          <w:lang w:val="en-US"/>
        </w:rPr>
        <w:t>the complaint form</w:t>
      </w:r>
      <w:r w:rsidRPr="003A6295">
        <w:rPr>
          <w:i/>
          <w:snapToGrid w:val="0"/>
          <w:szCs w:val="20"/>
          <w:lang w:val="en-US"/>
        </w:rPr>
        <w:t>)</w:t>
      </w:r>
      <w:r w:rsidRPr="003A6295">
        <w:rPr>
          <w:snapToGrid w:val="0"/>
          <w:szCs w:val="20"/>
          <w:lang w:val="en-US"/>
        </w:rPr>
        <w:t xml:space="preserve"> and must be accompanied by a statutory declaration as to the truth of the contents of the statement.</w:t>
      </w:r>
    </w:p>
    <w:p w14:paraId="268ADA2A" w14:textId="77777777" w:rsidR="003A6295" w:rsidRPr="002433B3" w:rsidRDefault="003A6295" w:rsidP="002433B3">
      <w:pPr>
        <w:spacing w:before="120" w:after="120"/>
        <w:rPr>
          <w:snapToGrid w:val="0"/>
          <w:szCs w:val="20"/>
          <w:lang w:val="en-US"/>
        </w:rPr>
      </w:pPr>
      <w:r w:rsidRPr="002433B3">
        <w:rPr>
          <w:snapToGrid w:val="0"/>
          <w:szCs w:val="20"/>
          <w:lang w:val="en-US"/>
        </w:rPr>
        <w:t>(3)</w:t>
      </w:r>
      <w:r w:rsidRPr="002433B3">
        <w:rPr>
          <w:snapToGrid w:val="0"/>
          <w:szCs w:val="20"/>
          <w:lang w:val="en-US"/>
        </w:rPr>
        <w:tab/>
        <w:t>The ACA must give the licensee written notice that it has received a complaint and must provide details of what is contained in the complaint which gives the licensee a clear understanding of the substance of the complaint.  The licensee must be given 30 days from the date on which the licensee is advised of the complaint in which to respond.</w:t>
      </w:r>
    </w:p>
    <w:p w14:paraId="37E03F7F" w14:textId="77777777" w:rsidR="003A6295" w:rsidRPr="003A6295" w:rsidRDefault="003A6295" w:rsidP="003A6295">
      <w:pPr>
        <w:spacing w:before="120" w:after="120"/>
        <w:rPr>
          <w:szCs w:val="20"/>
        </w:rPr>
      </w:pPr>
      <w:r w:rsidRPr="003A6295">
        <w:rPr>
          <w:szCs w:val="20"/>
        </w:rPr>
        <w:t>(4)</w:t>
      </w:r>
      <w:r w:rsidRPr="003A6295">
        <w:rPr>
          <w:szCs w:val="20"/>
        </w:rPr>
        <w:tab/>
        <w:t>In considering whether or not to cancel an apparatus licence for a low power open narrowcasting service for contravention of any conditions included in the licence because of sections 5, 6, 7 and 9 of this Direction, the ACA must have regard to:</w:t>
      </w:r>
    </w:p>
    <w:p w14:paraId="30F0B47E" w14:textId="77777777" w:rsidR="003A6295" w:rsidRPr="003A6295" w:rsidRDefault="003A6295" w:rsidP="003A6295">
      <w:pPr>
        <w:numPr>
          <w:ilvl w:val="0"/>
          <w:numId w:val="18"/>
        </w:numPr>
        <w:spacing w:before="120" w:after="120" w:line="240" w:lineRule="auto"/>
        <w:ind w:left="1134" w:hanging="567"/>
        <w:rPr>
          <w:snapToGrid w:val="0"/>
          <w:szCs w:val="20"/>
          <w:lang w:val="en-US"/>
        </w:rPr>
      </w:pPr>
      <w:r w:rsidRPr="003A6295">
        <w:rPr>
          <w:snapToGrid w:val="0"/>
          <w:szCs w:val="20"/>
          <w:lang w:val="en-US"/>
        </w:rPr>
        <w:t>arrangements made by the licensee for access and use of a site for the purpose of providing the service;</w:t>
      </w:r>
    </w:p>
    <w:p w14:paraId="1D4918F2" w14:textId="77777777" w:rsidR="003A6295" w:rsidRPr="003A6295" w:rsidRDefault="003A6295" w:rsidP="003A6295">
      <w:pPr>
        <w:numPr>
          <w:ilvl w:val="0"/>
          <w:numId w:val="18"/>
        </w:numPr>
        <w:spacing w:before="120" w:after="120" w:line="240" w:lineRule="auto"/>
        <w:ind w:left="1134" w:hanging="567"/>
        <w:rPr>
          <w:snapToGrid w:val="0"/>
          <w:szCs w:val="20"/>
          <w:lang w:val="en-US"/>
        </w:rPr>
      </w:pPr>
      <w:r w:rsidRPr="003A6295">
        <w:rPr>
          <w:snapToGrid w:val="0"/>
          <w:szCs w:val="20"/>
          <w:lang w:val="en-US"/>
        </w:rPr>
        <w:t>ownership, purchase, lease or hire, or other arrangements made by the licensee for the use of a transmitter on the site for the purpose of providing the service;</w:t>
      </w:r>
    </w:p>
    <w:p w14:paraId="184EC738" w14:textId="77777777" w:rsidR="003A6295" w:rsidRPr="003A6295" w:rsidRDefault="003A6295" w:rsidP="003A6295">
      <w:pPr>
        <w:numPr>
          <w:ilvl w:val="0"/>
          <w:numId w:val="18"/>
        </w:numPr>
        <w:spacing w:before="120" w:after="120" w:line="240" w:lineRule="auto"/>
        <w:ind w:left="1134" w:hanging="567"/>
        <w:rPr>
          <w:snapToGrid w:val="0"/>
          <w:szCs w:val="20"/>
          <w:lang w:val="en-US"/>
        </w:rPr>
      </w:pPr>
      <w:r w:rsidRPr="003A6295">
        <w:rPr>
          <w:snapToGrid w:val="0"/>
          <w:szCs w:val="20"/>
          <w:lang w:val="en-US"/>
        </w:rPr>
        <w:t xml:space="preserve">arrangements made by the licensee to obtain programs for use in providing the service; </w:t>
      </w:r>
    </w:p>
    <w:p w14:paraId="213D77E0" w14:textId="77777777" w:rsidR="003A6295" w:rsidRPr="003A6295" w:rsidRDefault="003A6295" w:rsidP="003A6295">
      <w:pPr>
        <w:numPr>
          <w:ilvl w:val="0"/>
          <w:numId w:val="18"/>
        </w:numPr>
        <w:spacing w:before="120" w:after="120" w:line="240" w:lineRule="auto"/>
        <w:ind w:left="1134" w:hanging="567"/>
        <w:rPr>
          <w:snapToGrid w:val="0"/>
          <w:szCs w:val="20"/>
          <w:lang w:val="en-US"/>
        </w:rPr>
      </w:pPr>
      <w:r w:rsidRPr="003A6295">
        <w:rPr>
          <w:snapToGrid w:val="0"/>
          <w:szCs w:val="20"/>
          <w:lang w:val="en-US"/>
        </w:rPr>
        <w:t>the regularity and continuity of programs broadcast by the licensee from the site;</w:t>
      </w:r>
    </w:p>
    <w:p w14:paraId="4E2C9F9F" w14:textId="77777777" w:rsidR="003A6295" w:rsidRPr="003A6295" w:rsidRDefault="003A6295" w:rsidP="003A6295">
      <w:pPr>
        <w:numPr>
          <w:ilvl w:val="0"/>
          <w:numId w:val="18"/>
        </w:numPr>
        <w:spacing w:before="120" w:after="120" w:line="240" w:lineRule="auto"/>
        <w:ind w:left="1134" w:hanging="567"/>
        <w:rPr>
          <w:snapToGrid w:val="0"/>
          <w:szCs w:val="20"/>
          <w:lang w:val="en-US"/>
        </w:rPr>
      </w:pPr>
      <w:r w:rsidRPr="003A6295">
        <w:rPr>
          <w:snapToGrid w:val="0"/>
          <w:szCs w:val="20"/>
          <w:lang w:val="en-US"/>
        </w:rPr>
        <w:t>the nature of the service to which the licence relates and which is being provided by the licensee;</w:t>
      </w:r>
    </w:p>
    <w:p w14:paraId="20F46909" w14:textId="77777777" w:rsidR="003A6295" w:rsidRPr="003A6295" w:rsidRDefault="003A6295" w:rsidP="003A6295">
      <w:pPr>
        <w:numPr>
          <w:ilvl w:val="0"/>
          <w:numId w:val="18"/>
        </w:numPr>
        <w:spacing w:before="120" w:after="120" w:line="240" w:lineRule="auto"/>
        <w:ind w:left="1134" w:hanging="567"/>
        <w:rPr>
          <w:snapToGrid w:val="0"/>
          <w:szCs w:val="20"/>
          <w:lang w:val="en-US"/>
        </w:rPr>
      </w:pPr>
      <w:r w:rsidRPr="003A6295">
        <w:rPr>
          <w:snapToGrid w:val="0"/>
          <w:szCs w:val="20"/>
          <w:lang w:val="en-US"/>
        </w:rPr>
        <w:t>the maintenance of records of the commencement, hours of operation and provision of a service under the licence; and</w:t>
      </w:r>
    </w:p>
    <w:p w14:paraId="5B6E42AD" w14:textId="77777777" w:rsidR="003A6295" w:rsidRPr="003A6295" w:rsidRDefault="003A6295" w:rsidP="003A6295">
      <w:pPr>
        <w:numPr>
          <w:ilvl w:val="0"/>
          <w:numId w:val="18"/>
        </w:numPr>
        <w:spacing w:before="120" w:after="120" w:line="240" w:lineRule="auto"/>
        <w:ind w:left="1134" w:hanging="567"/>
        <w:rPr>
          <w:snapToGrid w:val="0"/>
          <w:szCs w:val="20"/>
          <w:lang w:val="en-US"/>
        </w:rPr>
      </w:pPr>
      <w:r w:rsidRPr="003A6295">
        <w:rPr>
          <w:snapToGrid w:val="0"/>
          <w:szCs w:val="20"/>
          <w:lang w:val="en-US"/>
        </w:rPr>
        <w:t>other such matters as the ACA considers relevant.</w:t>
      </w:r>
    </w:p>
    <w:p w14:paraId="3000E0D5" w14:textId="77777777" w:rsidR="003A6295" w:rsidRPr="003A6295" w:rsidRDefault="003A6295" w:rsidP="000D3C7E">
      <w:pPr>
        <w:keepNext/>
        <w:keepLines/>
        <w:spacing w:before="120" w:after="120"/>
        <w:rPr>
          <w:szCs w:val="20"/>
        </w:rPr>
      </w:pPr>
      <w:r w:rsidRPr="003A6295">
        <w:rPr>
          <w:szCs w:val="20"/>
        </w:rPr>
        <w:lastRenderedPageBreak/>
        <w:t>(5)</w:t>
      </w:r>
      <w:r w:rsidRPr="003A6295">
        <w:rPr>
          <w:szCs w:val="20"/>
        </w:rPr>
        <w:tab/>
        <w:t>In considering whether a condition included in an apparatus licence because of clauses 5(b), 6(b), 7(b) or 9(b) requiring continued provision of a service has been complied with, the ACA must have regard to:</w:t>
      </w:r>
    </w:p>
    <w:p w14:paraId="2CBE1A21" w14:textId="77777777" w:rsidR="003A6295" w:rsidRPr="003A6295" w:rsidRDefault="003A6295" w:rsidP="000D3C7E">
      <w:pPr>
        <w:keepNext/>
        <w:keepLines/>
        <w:numPr>
          <w:ilvl w:val="0"/>
          <w:numId w:val="19"/>
        </w:numPr>
        <w:spacing w:before="120" w:after="120" w:line="240" w:lineRule="auto"/>
        <w:ind w:left="1134" w:hanging="567"/>
        <w:rPr>
          <w:szCs w:val="20"/>
        </w:rPr>
      </w:pPr>
      <w:r w:rsidRPr="003A6295">
        <w:rPr>
          <w:szCs w:val="20"/>
        </w:rPr>
        <w:t>the period for which a service has not been provided in relation to the period in which it could have been provided;</w:t>
      </w:r>
    </w:p>
    <w:p w14:paraId="13FD3A29" w14:textId="77777777" w:rsidR="003A6295" w:rsidRPr="003A6295" w:rsidRDefault="003A6295" w:rsidP="000D3C7E">
      <w:pPr>
        <w:keepNext/>
        <w:keepLines/>
        <w:numPr>
          <w:ilvl w:val="0"/>
          <w:numId w:val="19"/>
        </w:numPr>
        <w:spacing w:before="120" w:after="120" w:line="240" w:lineRule="auto"/>
        <w:ind w:left="1134" w:hanging="567"/>
        <w:rPr>
          <w:szCs w:val="20"/>
        </w:rPr>
      </w:pPr>
      <w:r w:rsidRPr="003A6295">
        <w:rPr>
          <w:szCs w:val="20"/>
        </w:rPr>
        <w:t>whether any circumstances existed which gave rise to a failure to continue to provide a service that were beyond the reasonable control of the licensee or persons with whom arrangements existed under paragraph 10(4)(b);</w:t>
      </w:r>
    </w:p>
    <w:p w14:paraId="74ACE606" w14:textId="77777777" w:rsidR="003A6295" w:rsidRPr="003A6295" w:rsidRDefault="003A6295" w:rsidP="000D3C7E">
      <w:pPr>
        <w:keepNext/>
        <w:keepLines/>
        <w:numPr>
          <w:ilvl w:val="0"/>
          <w:numId w:val="19"/>
        </w:numPr>
        <w:spacing w:before="120" w:after="120" w:line="240" w:lineRule="auto"/>
        <w:ind w:left="1134" w:hanging="567"/>
        <w:rPr>
          <w:szCs w:val="20"/>
        </w:rPr>
      </w:pPr>
      <w:r w:rsidRPr="003A6295">
        <w:rPr>
          <w:szCs w:val="20"/>
        </w:rPr>
        <w:t>the number of other apparatus licences for low power open narrowcasting services held by the licensee and the level of services provided under those licences;</w:t>
      </w:r>
    </w:p>
    <w:p w14:paraId="280157B0" w14:textId="77777777" w:rsidR="003A6295" w:rsidRPr="003A6295" w:rsidRDefault="003A6295" w:rsidP="000D3C7E">
      <w:pPr>
        <w:keepNext/>
        <w:keepLines/>
        <w:numPr>
          <w:ilvl w:val="0"/>
          <w:numId w:val="19"/>
        </w:numPr>
        <w:spacing w:before="120" w:after="120" w:line="240" w:lineRule="auto"/>
        <w:ind w:left="1134" w:hanging="567"/>
        <w:rPr>
          <w:snapToGrid w:val="0"/>
          <w:szCs w:val="20"/>
          <w:lang w:val="en-US"/>
        </w:rPr>
      </w:pPr>
      <w:r w:rsidRPr="003A6295">
        <w:rPr>
          <w:szCs w:val="20"/>
        </w:rPr>
        <w:t>such other matters as the ACA considers relevant.</w:t>
      </w:r>
    </w:p>
    <w:p w14:paraId="568DB6CE" w14:textId="4BA8C59B" w:rsidR="003A6295" w:rsidRPr="003A6295" w:rsidRDefault="003A6295" w:rsidP="000D3C7E">
      <w:pPr>
        <w:keepNext/>
        <w:keepLines/>
        <w:spacing w:before="240" w:after="120"/>
        <w:rPr>
          <w:b/>
          <w:snapToGrid w:val="0"/>
          <w:szCs w:val="20"/>
          <w:lang w:val="en-US"/>
        </w:rPr>
      </w:pPr>
      <w:r w:rsidRPr="003A6295">
        <w:rPr>
          <w:b/>
          <w:snapToGrid w:val="0"/>
          <w:szCs w:val="20"/>
          <w:lang w:val="en-US"/>
        </w:rPr>
        <w:t>11.</w:t>
      </w:r>
      <w:r w:rsidRPr="003A6295">
        <w:rPr>
          <w:b/>
          <w:snapToGrid w:val="0"/>
          <w:szCs w:val="20"/>
          <w:lang w:val="en-US"/>
        </w:rPr>
        <w:tab/>
      </w:r>
      <w:r w:rsidR="000D3C7E">
        <w:rPr>
          <w:b/>
          <w:snapToGrid w:val="0"/>
          <w:szCs w:val="20"/>
          <w:lang w:val="en-US"/>
        </w:rPr>
        <w:t xml:space="preserve"> </w:t>
      </w:r>
      <w:r w:rsidRPr="003A6295">
        <w:rPr>
          <w:b/>
          <w:snapToGrid w:val="0"/>
          <w:szCs w:val="20"/>
          <w:lang w:val="en-US"/>
        </w:rPr>
        <w:t>Direction – no issue of a licence on similar terms</w:t>
      </w:r>
    </w:p>
    <w:p w14:paraId="15AADBB3" w14:textId="77777777" w:rsidR="003A6295" w:rsidRPr="003A6295" w:rsidRDefault="003A6295" w:rsidP="000D3C7E">
      <w:pPr>
        <w:keepNext/>
        <w:keepLines/>
        <w:spacing w:before="120" w:after="120"/>
        <w:rPr>
          <w:snapToGrid w:val="0"/>
          <w:szCs w:val="20"/>
          <w:lang w:val="en-US"/>
        </w:rPr>
      </w:pPr>
      <w:r w:rsidRPr="003A6295">
        <w:rPr>
          <w:snapToGrid w:val="0"/>
          <w:szCs w:val="20"/>
          <w:lang w:val="en-US"/>
        </w:rPr>
        <w:t xml:space="preserve">The ACA must not grant an apparatus licence for a low power open narrowcasting service on similar terms or including similar details to that of an existing licence during the period in which a complaint is being assessed in relation to the existing licence.  This applies to an application by any person.  </w:t>
      </w:r>
    </w:p>
    <w:p w14:paraId="73C9F013" w14:textId="77777777" w:rsidR="00031CCA" w:rsidRPr="003A6295" w:rsidRDefault="00031CCA" w:rsidP="00031CCA">
      <w:pPr>
        <w:pStyle w:val="Tableorfigurenote"/>
        <w:rPr>
          <w:sz w:val="20"/>
          <w:szCs w:val="20"/>
        </w:rPr>
      </w:pPr>
    </w:p>
    <w:p w14:paraId="5BF80229" w14:textId="77777777" w:rsidR="00031CCA" w:rsidRPr="003A6295" w:rsidRDefault="00031CCA" w:rsidP="00F97BF9">
      <w:pPr>
        <w:pStyle w:val="Paragraph"/>
        <w:rPr>
          <w:szCs w:val="20"/>
        </w:rPr>
      </w:pPr>
    </w:p>
    <w:sectPr w:rsidR="00031CCA" w:rsidRPr="003A6295" w:rsidSect="00C77380">
      <w:headerReference w:type="even" r:id="rId49"/>
      <w:headerReference w:type="default" r:id="rId50"/>
      <w:footerReference w:type="even" r:id="rId51"/>
      <w:footerReference w:type="default" r:id="rId52"/>
      <w:pgSz w:w="11906" w:h="16838" w:code="9"/>
      <w:pgMar w:top="1945" w:right="3101" w:bottom="1134" w:left="1134" w:header="709"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B420A" w14:textId="77777777" w:rsidR="00B411CB" w:rsidRDefault="00B411CB">
      <w:r>
        <w:separator/>
      </w:r>
    </w:p>
  </w:endnote>
  <w:endnote w:type="continuationSeparator" w:id="0">
    <w:p w14:paraId="7A8D6627" w14:textId="77777777" w:rsidR="00B411CB" w:rsidRDefault="00B4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1630" w14:textId="77777777" w:rsidR="001A63CA" w:rsidRDefault="001A63CA" w:rsidP="005E250B">
    <w:pPr>
      <w:pStyle w:val="Footer"/>
      <w:jc w:val="right"/>
    </w:pPr>
    <w:r w:rsidRPr="005E250B">
      <w:rPr>
        <w:noProof/>
        <w:vertAlign w:val="subscript"/>
      </w:rPr>
      <w:drawing>
        <wp:inline distT="0" distB="0" distL="0" distR="0" wp14:anchorId="7B9502FB" wp14:editId="1EA06254">
          <wp:extent cx="1066800" cy="277368"/>
          <wp:effectExtent l="0" t="0" r="0" b="0"/>
          <wp:docPr id="15" name="Picture 15" descr="acma.gov.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
                  </pic:cNvPr>
                  <pic:cNvPicPr/>
                </pic:nvPicPr>
                <pic:blipFill>
                  <a:blip r:embed="rId2"/>
                  <a:stretch>
                    <a:fillRect/>
                  </a:stretch>
                </pic:blipFill>
                <pic:spPr>
                  <a:xfrm>
                    <a:off x="0" y="0"/>
                    <a:ext cx="1133985" cy="29483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F893E" w14:textId="77777777" w:rsidR="001A63CA" w:rsidRDefault="001A6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9745" w14:textId="77777777" w:rsidR="001A63CA" w:rsidRDefault="001A63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70B89" w14:textId="77777777" w:rsidR="001A63CA" w:rsidRPr="00622A3B" w:rsidRDefault="001A63CA"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iv</w:t>
    </w:r>
    <w:r w:rsidRPr="002E4DDC">
      <w:rPr>
        <w:color w:val="505050"/>
      </w:rPr>
      <w:fldChar w:fldCharType="end"/>
    </w:r>
  </w:p>
  <w:p w14:paraId="1082664E" w14:textId="77777777" w:rsidR="001A63CA" w:rsidRPr="00A5474E" w:rsidRDefault="001A63CA" w:rsidP="00A547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1030C" w14:textId="77777777" w:rsidR="001A63CA" w:rsidRPr="00622A3B" w:rsidRDefault="001A63CA"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v</w:t>
    </w:r>
    <w:r w:rsidRPr="002E4DDC">
      <w:rPr>
        <w:color w:val="505050"/>
      </w:rPr>
      <w:fldChar w:fldCharType="end"/>
    </w:r>
  </w:p>
  <w:p w14:paraId="6F6ECE21" w14:textId="77777777" w:rsidR="001A63CA" w:rsidRPr="00A5474E" w:rsidRDefault="001A63CA" w:rsidP="00A547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F1C28" w14:textId="77777777" w:rsidR="001A63CA" w:rsidRPr="00622A3B" w:rsidRDefault="001A63CA"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iii</w:t>
    </w:r>
    <w:r w:rsidRPr="002E4DDC">
      <w:rPr>
        <w:color w:val="505050"/>
      </w:rPr>
      <w:fldChar w:fldCharType="end"/>
    </w:r>
  </w:p>
  <w:p w14:paraId="33D7DD2F" w14:textId="77777777" w:rsidR="001A63CA" w:rsidRPr="00A5474E" w:rsidRDefault="001A63CA" w:rsidP="00A547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74F7" w14:textId="77777777" w:rsidR="001A63CA" w:rsidRPr="00622A3B" w:rsidRDefault="001A63CA"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Pr>
        <w:noProof/>
      </w:rPr>
      <w:t>6</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3B4CF5CE" w14:textId="77777777" w:rsidR="001A63CA" w:rsidRPr="00A5474E" w:rsidRDefault="001A63CA" w:rsidP="00A547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A1AD" w14:textId="77777777" w:rsidR="001A63CA" w:rsidRPr="00622A3B" w:rsidRDefault="001A63CA"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noProof/>
        <w:color w:val="505050"/>
      </w:rPr>
      <w:t>1</w:t>
    </w:r>
    <w:r w:rsidRPr="00575AC5">
      <w:rPr>
        <w:color w:val="505050"/>
      </w:rPr>
      <w:fldChar w:fldCharType="end"/>
    </w:r>
  </w:p>
  <w:p w14:paraId="4571239E" w14:textId="77777777" w:rsidR="001A63CA" w:rsidRPr="00A5474E" w:rsidRDefault="001A63CA" w:rsidP="00A54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D0190" w14:textId="77777777" w:rsidR="00B411CB" w:rsidRDefault="00B411CB" w:rsidP="00707CBE">
      <w:pPr>
        <w:spacing w:after="0"/>
      </w:pPr>
      <w:r>
        <w:separator/>
      </w:r>
    </w:p>
  </w:footnote>
  <w:footnote w:type="continuationSeparator" w:id="0">
    <w:p w14:paraId="19872ECB" w14:textId="77777777" w:rsidR="00B411CB" w:rsidRDefault="00B411CB">
      <w:r>
        <w:continuationSeparator/>
      </w:r>
    </w:p>
  </w:footnote>
  <w:footnote w:id="1">
    <w:p w14:paraId="6548B2BA" w14:textId="62B60916" w:rsidR="001A63CA" w:rsidRPr="00024D8F" w:rsidRDefault="001A63CA" w:rsidP="00AF6924">
      <w:pPr>
        <w:spacing w:after="0"/>
        <w:rPr>
          <w:i/>
          <w:iCs/>
          <w:sz w:val="16"/>
          <w:szCs w:val="16"/>
        </w:rPr>
      </w:pPr>
      <w:r>
        <w:rPr>
          <w:rStyle w:val="FootnoteReference"/>
        </w:rPr>
        <w:footnoteRef/>
      </w:r>
      <w:r>
        <w:t xml:space="preserve"> </w:t>
      </w:r>
      <w:r w:rsidRPr="00024D8F">
        <w:rPr>
          <w:sz w:val="16"/>
          <w:szCs w:val="16"/>
        </w:rPr>
        <w:t>Refer</w:t>
      </w:r>
      <w:r>
        <w:rPr>
          <w:sz w:val="16"/>
          <w:szCs w:val="16"/>
        </w:rPr>
        <w:t xml:space="preserve"> to the</w:t>
      </w:r>
      <w:r>
        <w:t xml:space="preserve"> </w:t>
      </w:r>
      <w:hyperlink r:id="rId1" w:history="1">
        <w:r w:rsidRPr="00AF6924">
          <w:rPr>
            <w:rStyle w:val="Hyperlink"/>
            <w:sz w:val="16"/>
            <w:szCs w:val="16"/>
          </w:rPr>
          <w:t>Australian Communications Authority (LPON Transmitter Licences) Direction No. 2 of 2000</w:t>
        </w:r>
        <w:r w:rsidRPr="00AF6924">
          <w:rPr>
            <w:rStyle w:val="Hyperlink"/>
            <w:color w:val="auto"/>
            <w:sz w:val="16"/>
            <w:szCs w:val="16"/>
            <w:u w:val="none"/>
          </w:rPr>
          <w:t>.</w:t>
        </w:r>
      </w:hyperlink>
      <w:r w:rsidRPr="00AF6924">
        <w:rPr>
          <w:sz w:val="16"/>
          <w:szCs w:val="16"/>
        </w:rPr>
        <w:t xml:space="preserve"> </w:t>
      </w:r>
    </w:p>
    <w:p w14:paraId="30FD76F8" w14:textId="77777777" w:rsidR="001A63CA" w:rsidRDefault="001A63CA" w:rsidP="00F97BF9">
      <w:pPr>
        <w:pStyle w:val="FootnoteText"/>
      </w:pPr>
    </w:p>
  </w:footnote>
  <w:footnote w:id="2">
    <w:p w14:paraId="250BEF8E" w14:textId="3FB09D2A" w:rsidR="001A63CA" w:rsidRDefault="001A63CA" w:rsidP="00031CCA">
      <w:pPr>
        <w:pStyle w:val="FootnoteText"/>
      </w:pPr>
      <w:r>
        <w:rPr>
          <w:rStyle w:val="FootnoteReference"/>
        </w:rPr>
        <w:footnoteRef/>
      </w:r>
      <w:r>
        <w:t xml:space="preserve"> </w:t>
      </w:r>
      <w:r w:rsidRPr="00104303">
        <w:t xml:space="preserve">Subsection 4.11(1)a) of the </w:t>
      </w:r>
      <w:hyperlink r:id="rId2" w:history="1">
        <w:r w:rsidRPr="00AF6924">
          <w:rPr>
            <w:rStyle w:val="Hyperlink"/>
          </w:rPr>
          <w:t>Radiocommunications Licence Conditions (Broadcasting Licence) Determination 2015</w:t>
        </w:r>
      </w:hyperlink>
      <w:r w:rsidR="0029135A" w:rsidRPr="00AF6924">
        <w:rPr>
          <w:rStyle w:val="Hyperlink"/>
          <w:color w:val="auto"/>
          <w:u w:val="none"/>
        </w:rPr>
        <w:t>.</w:t>
      </w:r>
      <w:r>
        <w:rPr>
          <w:sz w:val="24"/>
        </w:rPr>
        <w:t xml:space="preserve"> </w:t>
      </w:r>
    </w:p>
  </w:footnote>
  <w:footnote w:id="3">
    <w:p w14:paraId="55F1EEBB" w14:textId="6F29873F" w:rsidR="001A63CA" w:rsidRPr="0029135A" w:rsidRDefault="001A63CA" w:rsidP="00031CCA">
      <w:pPr>
        <w:pStyle w:val="FootnoteText"/>
      </w:pPr>
      <w:r>
        <w:rPr>
          <w:rStyle w:val="FootnoteReference"/>
        </w:rPr>
        <w:footnoteRef/>
      </w:r>
      <w:r>
        <w:t xml:space="preserve"> Refer </w:t>
      </w:r>
      <w:r w:rsidRPr="00AF6924">
        <w:rPr>
          <w:rStyle w:val="Hyperlink"/>
        </w:rPr>
        <w:t xml:space="preserve">Subsection 4.11(1)b) of the </w:t>
      </w:r>
      <w:hyperlink r:id="rId3" w:history="1">
        <w:r w:rsidRPr="00AF6924">
          <w:rPr>
            <w:rStyle w:val="Hyperlink"/>
          </w:rPr>
          <w:t>Radiocommunications Licence Conditions (Broadcasting Licence) Determination 2015</w:t>
        </w:r>
      </w:hyperlink>
      <w:r w:rsidR="0029135A" w:rsidRPr="00AF6924">
        <w:rPr>
          <w:rStyle w:val="Hyperlink"/>
          <w:color w:val="auto"/>
          <w:u w:val="none"/>
        </w:rPr>
        <w:t>.</w:t>
      </w:r>
    </w:p>
  </w:footnote>
  <w:footnote w:id="4">
    <w:p w14:paraId="3D605519" w14:textId="52BD16E9" w:rsidR="001A63CA" w:rsidRDefault="001A63CA" w:rsidP="00031CCA">
      <w:pPr>
        <w:pStyle w:val="FootnoteText"/>
      </w:pPr>
      <w:r w:rsidRPr="0029135A">
        <w:rPr>
          <w:rStyle w:val="FootnoteReference"/>
        </w:rPr>
        <w:footnoteRef/>
      </w:r>
      <w:r w:rsidRPr="0029135A">
        <w:t xml:space="preserve"> </w:t>
      </w:r>
      <w:hyperlink r:id="rId4" w:history="1">
        <w:r w:rsidRPr="0029135A">
          <w:rPr>
            <w:rStyle w:val="Hyperlink"/>
            <w:i/>
            <w:iCs/>
          </w:rPr>
          <w:t>Futrends Pty Ltd and Australian Communications and Media Authority</w:t>
        </w:r>
      </w:hyperlink>
      <w:r w:rsidR="0029135A" w:rsidRPr="007B4B1A">
        <w:rPr>
          <w:rStyle w:val="Hyperlink"/>
          <w:color w:val="auto"/>
          <w:u w:val="none"/>
        </w:rPr>
        <w:t>.</w:t>
      </w:r>
    </w:p>
  </w:footnote>
  <w:footnote w:id="5">
    <w:p w14:paraId="33AD7FC4" w14:textId="77777777" w:rsidR="001A63CA" w:rsidRDefault="001A63CA" w:rsidP="00031CCA">
      <w:pPr>
        <w:pStyle w:val="FootnoteText"/>
      </w:pPr>
      <w:r w:rsidRPr="00750D67">
        <w:rPr>
          <w:rStyle w:val="FootnoteReference"/>
        </w:rPr>
        <w:footnoteRef/>
      </w:r>
      <w:r w:rsidRPr="00750D67">
        <w:t xml:space="preserve"> </w:t>
      </w:r>
      <w:hyperlink r:id="rId5" w:history="1">
        <w:r w:rsidRPr="00750D67">
          <w:rPr>
            <w:rStyle w:val="Hyperlink"/>
            <w:i/>
            <w:iCs/>
          </w:rPr>
          <w:t>Futrends Pty Ltd and Australian Communications and Media Authority</w:t>
        </w:r>
      </w:hyperlink>
    </w:p>
  </w:footnote>
  <w:footnote w:id="6">
    <w:p w14:paraId="220B5A52" w14:textId="5A87E78E" w:rsidR="001A63CA" w:rsidRDefault="001A63CA" w:rsidP="00031CCA">
      <w:pPr>
        <w:pStyle w:val="FootnoteText"/>
      </w:pPr>
      <w:r>
        <w:rPr>
          <w:rStyle w:val="FootnoteReference"/>
        </w:rPr>
        <w:footnoteRef/>
      </w:r>
      <w:r>
        <w:t xml:space="preserve"> </w:t>
      </w:r>
      <w:hyperlink r:id="rId6" w:history="1">
        <w:r w:rsidRPr="003555CC">
          <w:rPr>
            <w:rStyle w:val="Hyperlink"/>
            <w:i/>
            <w:iCs/>
          </w:rPr>
          <w:t>W&amp;A Wi</w:t>
        </w:r>
        <w:r w:rsidR="00725094">
          <w:rPr>
            <w:rStyle w:val="Hyperlink"/>
            <w:i/>
            <w:iCs/>
          </w:rPr>
          <w:t>l</w:t>
        </w:r>
        <w:r w:rsidRPr="003555CC">
          <w:rPr>
            <w:rStyle w:val="Hyperlink"/>
            <w:i/>
            <w:iCs/>
          </w:rPr>
          <w:t>lmington and Australian Communications and Media Authority</w:t>
        </w:r>
      </w:hyperlink>
    </w:p>
  </w:footnote>
  <w:footnote w:id="7">
    <w:p w14:paraId="2894C6A5" w14:textId="77777777" w:rsidR="001A63CA" w:rsidRPr="003555CC" w:rsidRDefault="001A63CA" w:rsidP="00031CCA">
      <w:pPr>
        <w:pStyle w:val="FootnoteText"/>
      </w:pPr>
      <w:r>
        <w:rPr>
          <w:rStyle w:val="FootnoteReference"/>
        </w:rPr>
        <w:footnoteRef/>
      </w:r>
      <w:r>
        <w:t xml:space="preserve"> </w:t>
      </w:r>
      <w:hyperlink r:id="rId7" w:history="1">
        <w:r w:rsidRPr="003555CC">
          <w:rPr>
            <w:rStyle w:val="Hyperlink"/>
            <w:i/>
            <w:iCs/>
          </w:rPr>
          <w:t>Futrends Pty Ltd and Australian Communications and Media Authority</w:t>
        </w:r>
      </w:hyperlink>
    </w:p>
  </w:footnote>
  <w:footnote w:id="8">
    <w:p w14:paraId="6E956D06" w14:textId="2ACB2527" w:rsidR="001A63CA" w:rsidRPr="003555CC" w:rsidRDefault="001A63CA" w:rsidP="00031CCA">
      <w:pPr>
        <w:pStyle w:val="FootnoteText"/>
      </w:pPr>
      <w:r w:rsidRPr="003555CC">
        <w:rPr>
          <w:rStyle w:val="FootnoteReference"/>
        </w:rPr>
        <w:footnoteRef/>
      </w:r>
      <w:r w:rsidRPr="003555CC">
        <w:t xml:space="preserve"> </w:t>
      </w:r>
      <w:bookmarkStart w:id="20" w:name="_Hlk51192912"/>
      <w:bookmarkStart w:id="21" w:name="_Hlk51192913"/>
      <w:r w:rsidRPr="003555CC">
        <w:rPr>
          <w:i/>
          <w:iCs/>
        </w:rPr>
        <w:fldChar w:fldCharType="begin"/>
      </w:r>
      <w:r w:rsidRPr="003555CC">
        <w:rPr>
          <w:i/>
          <w:iCs/>
        </w:rPr>
        <w:instrText xml:space="preserve"> HYPERLINK "http://www.austlii.edu.au/cgi-bin/viewdoc/au/cases/cth/AATA/2020/2102.html?context=1;query=W%20&amp;%20A%20Willmington%20Pty%20Ltd%20;mask_path=au/cases/cth/AATA" </w:instrText>
      </w:r>
      <w:r w:rsidRPr="003555CC">
        <w:rPr>
          <w:i/>
          <w:iCs/>
        </w:rPr>
        <w:fldChar w:fldCharType="separate"/>
      </w:r>
      <w:r w:rsidRPr="003555CC">
        <w:rPr>
          <w:rStyle w:val="Hyperlink"/>
          <w:i/>
          <w:iCs/>
        </w:rPr>
        <w:t>W&amp;A Wil</w:t>
      </w:r>
      <w:r w:rsidR="00725094">
        <w:rPr>
          <w:rStyle w:val="Hyperlink"/>
          <w:i/>
          <w:iCs/>
        </w:rPr>
        <w:t>l</w:t>
      </w:r>
      <w:r w:rsidRPr="003555CC">
        <w:rPr>
          <w:rStyle w:val="Hyperlink"/>
          <w:i/>
          <w:iCs/>
        </w:rPr>
        <w:t>mington and Australian Communications and Media Authority</w:t>
      </w:r>
      <w:r w:rsidRPr="003555CC">
        <w:rPr>
          <w:i/>
          <w:iCs/>
        </w:rPr>
        <w:fldChar w:fldCharType="end"/>
      </w:r>
      <w:bookmarkEnd w:id="20"/>
      <w:bookmarkEnd w:id="21"/>
    </w:p>
  </w:footnote>
  <w:footnote w:id="9">
    <w:p w14:paraId="75846B26" w14:textId="3CF9182D" w:rsidR="001A63CA" w:rsidRDefault="001A63CA" w:rsidP="00F4166A">
      <w:pPr>
        <w:pStyle w:val="FootnoteText"/>
        <w:spacing w:line="200" w:lineRule="atLeast"/>
      </w:pPr>
      <w:r>
        <w:rPr>
          <w:rStyle w:val="FootnoteReference"/>
        </w:rPr>
        <w:footnoteRef/>
      </w:r>
      <w:r>
        <w:t xml:space="preserve"> </w:t>
      </w:r>
      <w:r w:rsidRPr="00EE2F3A">
        <w:t xml:space="preserve">Subsection 4.11(1)c) of the </w:t>
      </w:r>
      <w:hyperlink r:id="rId8" w:history="1">
        <w:r w:rsidRPr="00AF6924">
          <w:rPr>
            <w:rStyle w:val="Hyperlink"/>
          </w:rPr>
          <w:t>Radiocommunications Licence Conditions (Broadcasting Licence) Determination 2015</w:t>
        </w:r>
      </w:hyperlink>
      <w:r w:rsidR="00667E97" w:rsidRPr="00AF6924">
        <w:rPr>
          <w:rStyle w:val="Hyperlink"/>
          <w:color w:val="auto"/>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4790" w14:textId="77777777" w:rsidR="001A63CA" w:rsidRPr="00A5474E" w:rsidRDefault="001A63CA" w:rsidP="00A5474E">
    <w:pPr>
      <w:pStyle w:val="Header"/>
    </w:pPr>
    <w:r>
      <w:rPr>
        <w:noProof/>
      </w:rPr>
      <w:drawing>
        <wp:inline distT="0" distB="0" distL="0" distR="0" wp14:anchorId="34BEF741" wp14:editId="1D204F75">
          <wp:extent cx="6283434" cy="578076"/>
          <wp:effectExtent l="0" t="0" r="3175" b="0"/>
          <wp:docPr id="14" name="Picture 14" descr="AC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stretch>
                    <a:fillRect/>
                  </a:stretch>
                </pic:blipFill>
                <pic:spPr>
                  <a:xfrm>
                    <a:off x="0" y="0"/>
                    <a:ext cx="6283434" cy="5780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EBA95" w14:textId="77777777" w:rsidR="001A63CA" w:rsidRPr="00A5474E" w:rsidRDefault="001A63CA" w:rsidP="00594E9C">
    <w:pPr>
      <w:pStyle w:val="TOCHeading"/>
    </w:pPr>
    <w:r w:rsidRPr="0029593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A628" w14:textId="77777777" w:rsidR="001A63CA" w:rsidRDefault="001A63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DCB84" w14:textId="77777777" w:rsidR="001A63CA" w:rsidRDefault="001A63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678" w:type="dxa"/>
      <w:tblLayout w:type="fixed"/>
      <w:tblCellMar>
        <w:left w:w="0" w:type="dxa"/>
        <w:right w:w="0" w:type="dxa"/>
      </w:tblCellMar>
      <w:tblLook w:val="01E0" w:firstRow="1" w:lastRow="1" w:firstColumn="1" w:lastColumn="1" w:noHBand="0" w:noVBand="0"/>
    </w:tblPr>
    <w:tblGrid>
      <w:gridCol w:w="7678"/>
    </w:tblGrid>
    <w:tr w:rsidR="001A63CA" w14:paraId="28B6D472" w14:textId="77777777" w:rsidTr="001A63CA">
      <w:trPr>
        <w:trHeight w:hRule="exact" w:val="988"/>
      </w:trPr>
      <w:tc>
        <w:tcPr>
          <w:tcW w:w="7678" w:type="dxa"/>
          <w:shd w:val="clear" w:color="auto" w:fill="auto"/>
        </w:tcPr>
        <w:p w14:paraId="0F8CD43D" w14:textId="77777777" w:rsidR="001A63CA" w:rsidRDefault="001A63CA" w:rsidP="00971914">
          <w:pPr>
            <w:pStyle w:val="Header"/>
          </w:pPr>
        </w:p>
      </w:tc>
    </w:tr>
    <w:tr w:rsidR="001A63CA" w14:paraId="00C3A15B" w14:textId="77777777" w:rsidTr="001A63CA">
      <w:tc>
        <w:tcPr>
          <w:tcW w:w="7678" w:type="dxa"/>
          <w:shd w:val="clear" w:color="auto" w:fill="auto"/>
        </w:tcPr>
        <w:p w14:paraId="0900DA4E" w14:textId="77777777" w:rsidR="001A63CA" w:rsidRDefault="001A63CA" w:rsidP="00971914">
          <w:pPr>
            <w:pStyle w:val="GridTable31"/>
          </w:pPr>
          <w:r>
            <w:t xml:space="preserve">Contents </w:t>
          </w:r>
          <w:r w:rsidRPr="00915B1C">
            <w:rPr>
              <w:b w:val="0"/>
              <w:spacing w:val="0"/>
              <w:sz w:val="28"/>
              <w:szCs w:val="28"/>
            </w:rPr>
            <w:t>(Continued)</w:t>
          </w:r>
        </w:p>
      </w:tc>
    </w:tr>
    <w:tr w:rsidR="001A63CA" w14:paraId="018B705B" w14:textId="77777777" w:rsidTr="001A63CA">
      <w:trPr>
        <w:trHeight w:val="1220"/>
      </w:trPr>
      <w:tc>
        <w:tcPr>
          <w:tcW w:w="7678" w:type="dxa"/>
          <w:shd w:val="clear" w:color="auto" w:fill="auto"/>
        </w:tcPr>
        <w:p w14:paraId="6C11CA51" w14:textId="77777777" w:rsidR="001A63CA" w:rsidRDefault="001A63CA" w:rsidP="00971914"/>
      </w:tc>
    </w:tr>
  </w:tbl>
  <w:p w14:paraId="5D61F380" w14:textId="77777777" w:rsidR="001A63CA" w:rsidRDefault="001A63CA" w:rsidP="009719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678" w:type="dxa"/>
      <w:tblLayout w:type="fixed"/>
      <w:tblCellMar>
        <w:left w:w="0" w:type="dxa"/>
        <w:right w:w="0" w:type="dxa"/>
      </w:tblCellMar>
      <w:tblLook w:val="01E0" w:firstRow="1" w:lastRow="1" w:firstColumn="1" w:lastColumn="1" w:noHBand="0" w:noVBand="0"/>
    </w:tblPr>
    <w:tblGrid>
      <w:gridCol w:w="7678"/>
    </w:tblGrid>
    <w:tr w:rsidR="001A63CA" w14:paraId="491D9CFC" w14:textId="77777777" w:rsidTr="001A63CA">
      <w:trPr>
        <w:trHeight w:hRule="exact" w:val="988"/>
      </w:trPr>
      <w:tc>
        <w:tcPr>
          <w:tcW w:w="7678" w:type="dxa"/>
          <w:shd w:val="clear" w:color="auto" w:fill="auto"/>
        </w:tcPr>
        <w:p w14:paraId="29F8CEAD" w14:textId="77777777" w:rsidR="001A63CA" w:rsidRDefault="001A63CA" w:rsidP="00971914">
          <w:pPr>
            <w:pStyle w:val="Header"/>
          </w:pPr>
        </w:p>
      </w:tc>
    </w:tr>
    <w:tr w:rsidR="001A63CA" w14:paraId="2B2C2AA0" w14:textId="77777777" w:rsidTr="001A63CA">
      <w:tc>
        <w:tcPr>
          <w:tcW w:w="7678" w:type="dxa"/>
          <w:shd w:val="clear" w:color="auto" w:fill="auto"/>
        </w:tcPr>
        <w:p w14:paraId="101C5D18" w14:textId="77777777" w:rsidR="001A63CA" w:rsidRDefault="001A63CA" w:rsidP="00971914">
          <w:pPr>
            <w:pStyle w:val="GridTable31"/>
          </w:pPr>
          <w:r>
            <w:t xml:space="preserve">Contents </w:t>
          </w:r>
          <w:r w:rsidRPr="00915B1C">
            <w:rPr>
              <w:b w:val="0"/>
              <w:spacing w:val="0"/>
              <w:sz w:val="28"/>
              <w:szCs w:val="28"/>
            </w:rPr>
            <w:t>(Continued)</w:t>
          </w:r>
        </w:p>
      </w:tc>
    </w:tr>
    <w:tr w:rsidR="001A63CA" w14:paraId="440F67DD" w14:textId="77777777" w:rsidTr="001A63CA">
      <w:trPr>
        <w:trHeight w:val="1220"/>
      </w:trPr>
      <w:tc>
        <w:tcPr>
          <w:tcW w:w="7678" w:type="dxa"/>
          <w:shd w:val="clear" w:color="auto" w:fill="auto"/>
        </w:tcPr>
        <w:p w14:paraId="586C0BD9" w14:textId="77777777" w:rsidR="001A63CA" w:rsidRDefault="001A63CA" w:rsidP="00971914"/>
      </w:tc>
    </w:tr>
  </w:tbl>
  <w:p w14:paraId="1E104F92" w14:textId="77777777" w:rsidR="001A63CA" w:rsidRPr="00A5474E" w:rsidRDefault="001A63CA" w:rsidP="00A547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0C9A5" w14:textId="77777777" w:rsidR="001A63CA" w:rsidRDefault="001A63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FDB03" w14:textId="77777777" w:rsidR="001A63CA" w:rsidRDefault="001A6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5F22F60"/>
    <w:lvl w:ilvl="0">
      <w:start w:val="1"/>
      <w:numFmt w:val="lowerRoman"/>
      <w:pStyle w:val="ListNumber2"/>
      <w:lvlText w:val="%1."/>
      <w:lvlJc w:val="right"/>
      <w:pPr>
        <w:ind w:left="717" w:hanging="360"/>
      </w:pPr>
      <w:rPr>
        <w:rFonts w:hint="default"/>
      </w:rPr>
    </w:lvl>
  </w:abstractNum>
  <w:abstractNum w:abstractNumId="1" w15:restartNumberingAfterBreak="0">
    <w:nsid w:val="FFFFFF83"/>
    <w:multiLevelType w:val="singleLevel"/>
    <w:tmpl w:val="909E78BC"/>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2" w15:restartNumberingAfterBreak="0">
    <w:nsid w:val="FFFFFF88"/>
    <w:multiLevelType w:val="singleLevel"/>
    <w:tmpl w:val="6EBA4AA8"/>
    <w:lvl w:ilvl="0">
      <w:start w:val="1"/>
      <w:numFmt w:val="decimal"/>
      <w:pStyle w:val="ListNumber"/>
      <w:lvlText w:val="%1."/>
      <w:lvlJc w:val="left"/>
      <w:pPr>
        <w:ind w:left="360" w:hanging="360"/>
      </w:pPr>
      <w:rPr>
        <w:rFonts w:hint="default"/>
        <w:b w:val="0"/>
        <w:bCs/>
        <w:caps/>
        <w:sz w:val="20"/>
      </w:rPr>
    </w:lvl>
  </w:abstractNum>
  <w:abstractNum w:abstractNumId="3" w15:restartNumberingAfterBreak="0">
    <w:nsid w:val="FFFFFF89"/>
    <w:multiLevelType w:val="singleLevel"/>
    <w:tmpl w:val="E552FEB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4" w15:restartNumberingAfterBreak="0">
    <w:nsid w:val="087C268C"/>
    <w:multiLevelType w:val="hybridMultilevel"/>
    <w:tmpl w:val="E0A6CA9A"/>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0745F"/>
    <w:multiLevelType w:val="singleLevel"/>
    <w:tmpl w:val="3822C58C"/>
    <w:lvl w:ilvl="0">
      <w:start w:val="1"/>
      <w:numFmt w:val="lowerLetter"/>
      <w:lvlText w:val="(%1)"/>
      <w:lvlJc w:val="left"/>
      <w:pPr>
        <w:tabs>
          <w:tab w:val="num" w:pos="360"/>
        </w:tabs>
        <w:ind w:left="360" w:hanging="360"/>
      </w:pPr>
    </w:lvl>
  </w:abstractNum>
  <w:abstractNum w:abstractNumId="6" w15:restartNumberingAfterBreak="0">
    <w:nsid w:val="250D224C"/>
    <w:multiLevelType w:val="multilevel"/>
    <w:tmpl w:val="D2E65F6E"/>
    <w:lvl w:ilvl="0">
      <w:start w:val="1"/>
      <w:numFmt w:val="decimal"/>
      <w:lvlText w:val="%1."/>
      <w:lvlJc w:val="left"/>
      <w:pPr>
        <w:ind w:left="862" w:hanging="720"/>
      </w:pPr>
      <w:rPr>
        <w:rFonts w:cs="Times New Roman" w:hint="default"/>
      </w:rPr>
    </w:lvl>
    <w:lvl w:ilvl="1">
      <w:start w:val="2"/>
      <w:numFmt w:val="decimal"/>
      <w:isLgl/>
      <w:lvlText w:val="%1.%2"/>
      <w:lvlJc w:val="left"/>
      <w:pPr>
        <w:ind w:left="2916" w:hanging="435"/>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8163" w:hanging="720"/>
      </w:pPr>
      <w:rPr>
        <w:rFonts w:hint="default"/>
      </w:rPr>
    </w:lvl>
    <w:lvl w:ilvl="4">
      <w:start w:val="1"/>
      <w:numFmt w:val="decimal"/>
      <w:isLgl/>
      <w:lvlText w:val="%1.%2.%3.%4.%5"/>
      <w:lvlJc w:val="left"/>
      <w:pPr>
        <w:ind w:left="11004" w:hanging="1080"/>
      </w:pPr>
      <w:rPr>
        <w:rFonts w:hint="default"/>
      </w:rPr>
    </w:lvl>
    <w:lvl w:ilvl="5">
      <w:start w:val="1"/>
      <w:numFmt w:val="decimal"/>
      <w:isLgl/>
      <w:lvlText w:val="%1.%2.%3.%4.%5.%6"/>
      <w:lvlJc w:val="left"/>
      <w:pPr>
        <w:ind w:left="13485" w:hanging="1080"/>
      </w:pPr>
      <w:rPr>
        <w:rFonts w:hint="default"/>
      </w:rPr>
    </w:lvl>
    <w:lvl w:ilvl="6">
      <w:start w:val="1"/>
      <w:numFmt w:val="decimal"/>
      <w:isLgl/>
      <w:lvlText w:val="%1.%2.%3.%4.%5.%6.%7"/>
      <w:lvlJc w:val="left"/>
      <w:pPr>
        <w:ind w:left="16326" w:hanging="1440"/>
      </w:pPr>
      <w:rPr>
        <w:rFonts w:hint="default"/>
      </w:rPr>
    </w:lvl>
    <w:lvl w:ilvl="7">
      <w:start w:val="1"/>
      <w:numFmt w:val="decimal"/>
      <w:isLgl/>
      <w:lvlText w:val="%1.%2.%3.%4.%5.%6.%7.%8"/>
      <w:lvlJc w:val="left"/>
      <w:pPr>
        <w:ind w:left="18807" w:hanging="1440"/>
      </w:pPr>
      <w:rPr>
        <w:rFonts w:hint="default"/>
      </w:rPr>
    </w:lvl>
    <w:lvl w:ilvl="8">
      <w:start w:val="1"/>
      <w:numFmt w:val="decimal"/>
      <w:isLgl/>
      <w:lvlText w:val="%1.%2.%3.%4.%5.%6.%7.%8.%9"/>
      <w:lvlJc w:val="left"/>
      <w:pPr>
        <w:ind w:left="21648" w:hanging="1800"/>
      </w:pPr>
      <w:rPr>
        <w:rFonts w:hint="default"/>
      </w:rPr>
    </w:lvl>
  </w:abstractNum>
  <w:abstractNum w:abstractNumId="7" w15:restartNumberingAfterBreak="0">
    <w:nsid w:val="290025F7"/>
    <w:multiLevelType w:val="singleLevel"/>
    <w:tmpl w:val="4FD032BA"/>
    <w:lvl w:ilvl="0">
      <w:start w:val="1"/>
      <w:numFmt w:val="lowerLetter"/>
      <w:lvlText w:val="(%1)"/>
      <w:lvlJc w:val="left"/>
      <w:pPr>
        <w:tabs>
          <w:tab w:val="num" w:pos="1080"/>
        </w:tabs>
        <w:ind w:left="1080" w:hanging="360"/>
      </w:pPr>
    </w:lvl>
  </w:abstractNum>
  <w:abstractNum w:abstractNumId="8" w15:restartNumberingAfterBreak="0">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39274342"/>
    <w:multiLevelType w:val="singleLevel"/>
    <w:tmpl w:val="E552FEBA"/>
    <w:lvl w:ilvl="0">
      <w:start w:val="1"/>
      <w:numFmt w:val="bullet"/>
      <w:lvlText w:val="&gt;"/>
      <w:lvlJc w:val="left"/>
      <w:pPr>
        <w:tabs>
          <w:tab w:val="num" w:pos="295"/>
        </w:tabs>
        <w:ind w:left="295" w:hanging="295"/>
      </w:pPr>
      <w:rPr>
        <w:rFonts w:ascii="HelveticaNeueLT Std Lt" w:hAnsi="HelveticaNeueLT Std Lt" w:hint="default"/>
        <w:sz w:val="20"/>
      </w:rPr>
    </w:lvl>
  </w:abstractNum>
  <w:abstractNum w:abstractNumId="10" w15:restartNumberingAfterBreak="0">
    <w:nsid w:val="3F0A2DCB"/>
    <w:multiLevelType w:val="singleLevel"/>
    <w:tmpl w:val="3822C58C"/>
    <w:lvl w:ilvl="0">
      <w:start w:val="1"/>
      <w:numFmt w:val="lowerLetter"/>
      <w:lvlText w:val="(%1)"/>
      <w:lvlJc w:val="left"/>
      <w:pPr>
        <w:tabs>
          <w:tab w:val="num" w:pos="360"/>
        </w:tabs>
        <w:ind w:left="360" w:hanging="360"/>
      </w:pPr>
    </w:lvl>
  </w:abstractNum>
  <w:abstractNum w:abstractNumId="11" w15:restartNumberingAfterBreak="0">
    <w:nsid w:val="52EC7829"/>
    <w:multiLevelType w:val="hybridMultilevel"/>
    <w:tmpl w:val="3042D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AA21F0"/>
    <w:multiLevelType w:val="hybridMultilevel"/>
    <w:tmpl w:val="9B5CB936"/>
    <w:lvl w:ilvl="0" w:tplc="CCA08FFA">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71478"/>
    <w:multiLevelType w:val="hybridMultilevel"/>
    <w:tmpl w:val="16D2B96E"/>
    <w:lvl w:ilvl="0" w:tplc="3A9CF91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97169E"/>
    <w:multiLevelType w:val="hybridMultilevel"/>
    <w:tmpl w:val="16EEFA20"/>
    <w:lvl w:ilvl="0" w:tplc="44EEC084">
      <w:start w:val="1"/>
      <w:numFmt w:val="bullet"/>
      <w:lvlText w:val="&gt;"/>
      <w:lvlJc w:val="left"/>
      <w:pPr>
        <w:ind w:left="360" w:hanging="360"/>
      </w:pPr>
      <w:rPr>
        <w:rFonts w:ascii="HelveticaNeueLT Std" w:hAnsi="HelveticaNeueLT Std"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8"/>
  </w:num>
  <w:num w:numId="6">
    <w:abstractNumId w:val="14"/>
  </w:num>
  <w:num w:numId="7">
    <w:abstractNumId w:val="12"/>
  </w:num>
  <w:num w:numId="8">
    <w:abstractNumId w:val="13"/>
  </w:num>
  <w:num w:numId="9">
    <w:abstractNumId w:val="15"/>
  </w:num>
  <w:num w:numId="10">
    <w:abstractNumId w:val="4"/>
  </w:num>
  <w:num w:numId="11">
    <w:abstractNumId w:val="2"/>
    <w:lvlOverride w:ilvl="0">
      <w:startOverride w:val="1"/>
    </w:lvlOverride>
  </w:num>
  <w:num w:numId="12">
    <w:abstractNumId w:val="11"/>
  </w:num>
  <w:num w:numId="13">
    <w:abstractNumId w:val="6"/>
  </w:num>
  <w:num w:numId="14">
    <w:abstractNumId w:val="9"/>
  </w:num>
  <w:num w:numId="15">
    <w:abstractNumId w:val="16"/>
  </w:num>
  <w:num w:numId="16">
    <w:abstractNumId w:val="3"/>
  </w:num>
  <w:num w:numId="17">
    <w:abstractNumId w:val="5"/>
    <w:lvlOverride w:ilvl="0">
      <w:startOverride w:val="1"/>
    </w:lvlOverride>
  </w:num>
  <w:num w:numId="18">
    <w:abstractNumId w:val="7"/>
    <w:lvlOverride w:ilvl="0">
      <w:startOverride w:val="1"/>
    </w:lvlOverride>
  </w:num>
  <w:num w:numId="19">
    <w:abstractNumId w:val="1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evenAndOddHeaders/>
  <w:drawingGridHorizontalSpacing w:val="100"/>
  <w:displayHorizontalDrawingGridEvery w:val="2"/>
  <w:characterSpacingControl w:val="doNotCompress"/>
  <w:hdrShapeDefaults>
    <o:shapedefaults v:ext="edit" spidmax="6145">
      <o:colormru v:ext="edit" colors="red,#4d4d4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F9"/>
    <w:rsid w:val="00010667"/>
    <w:rsid w:val="000129D5"/>
    <w:rsid w:val="00015AE7"/>
    <w:rsid w:val="00016E21"/>
    <w:rsid w:val="0001719C"/>
    <w:rsid w:val="0002224E"/>
    <w:rsid w:val="000245E5"/>
    <w:rsid w:val="00026F91"/>
    <w:rsid w:val="00031CCA"/>
    <w:rsid w:val="0004764C"/>
    <w:rsid w:val="0005011A"/>
    <w:rsid w:val="0005045A"/>
    <w:rsid w:val="00051C1E"/>
    <w:rsid w:val="000539F9"/>
    <w:rsid w:val="00054C27"/>
    <w:rsid w:val="00055EC3"/>
    <w:rsid w:val="000563CE"/>
    <w:rsid w:val="000659B6"/>
    <w:rsid w:val="0006686F"/>
    <w:rsid w:val="0006722A"/>
    <w:rsid w:val="000732CF"/>
    <w:rsid w:val="00075B96"/>
    <w:rsid w:val="0008196A"/>
    <w:rsid w:val="000915ED"/>
    <w:rsid w:val="0009209D"/>
    <w:rsid w:val="0009463C"/>
    <w:rsid w:val="000969BD"/>
    <w:rsid w:val="000969BF"/>
    <w:rsid w:val="000971BD"/>
    <w:rsid w:val="000A0C22"/>
    <w:rsid w:val="000A1400"/>
    <w:rsid w:val="000A3C43"/>
    <w:rsid w:val="000A4A51"/>
    <w:rsid w:val="000A5D2B"/>
    <w:rsid w:val="000B4664"/>
    <w:rsid w:val="000B5DE3"/>
    <w:rsid w:val="000C0A57"/>
    <w:rsid w:val="000C230C"/>
    <w:rsid w:val="000C6AB4"/>
    <w:rsid w:val="000D3C7E"/>
    <w:rsid w:val="000D71D9"/>
    <w:rsid w:val="000D76E0"/>
    <w:rsid w:val="000D7E8B"/>
    <w:rsid w:val="000E4449"/>
    <w:rsid w:val="000E6097"/>
    <w:rsid w:val="00103829"/>
    <w:rsid w:val="00111FCE"/>
    <w:rsid w:val="001229A5"/>
    <w:rsid w:val="0012489B"/>
    <w:rsid w:val="00130017"/>
    <w:rsid w:val="00130F91"/>
    <w:rsid w:val="001349ED"/>
    <w:rsid w:val="00137424"/>
    <w:rsid w:val="00140318"/>
    <w:rsid w:val="00141AD9"/>
    <w:rsid w:val="00146CE6"/>
    <w:rsid w:val="00152903"/>
    <w:rsid w:val="00153FD5"/>
    <w:rsid w:val="0015614F"/>
    <w:rsid w:val="001577C2"/>
    <w:rsid w:val="001633C4"/>
    <w:rsid w:val="001704D5"/>
    <w:rsid w:val="00171591"/>
    <w:rsid w:val="00173981"/>
    <w:rsid w:val="0017719D"/>
    <w:rsid w:val="00183FD7"/>
    <w:rsid w:val="00185CAB"/>
    <w:rsid w:val="001875B7"/>
    <w:rsid w:val="00187CB3"/>
    <w:rsid w:val="0019050A"/>
    <w:rsid w:val="001910D4"/>
    <w:rsid w:val="001976E3"/>
    <w:rsid w:val="001A0E3B"/>
    <w:rsid w:val="001A44EC"/>
    <w:rsid w:val="001A63CA"/>
    <w:rsid w:val="001B28D9"/>
    <w:rsid w:val="001B58AA"/>
    <w:rsid w:val="001B7E48"/>
    <w:rsid w:val="001C17CE"/>
    <w:rsid w:val="001C36CA"/>
    <w:rsid w:val="001C44D1"/>
    <w:rsid w:val="001C6AEE"/>
    <w:rsid w:val="001C7630"/>
    <w:rsid w:val="001D6D15"/>
    <w:rsid w:val="001F7558"/>
    <w:rsid w:val="00205516"/>
    <w:rsid w:val="00205B57"/>
    <w:rsid w:val="002157E0"/>
    <w:rsid w:val="00216A57"/>
    <w:rsid w:val="00217448"/>
    <w:rsid w:val="0022334F"/>
    <w:rsid w:val="00226819"/>
    <w:rsid w:val="00227B82"/>
    <w:rsid w:val="0023142D"/>
    <w:rsid w:val="00233101"/>
    <w:rsid w:val="00233817"/>
    <w:rsid w:val="002367FF"/>
    <w:rsid w:val="00240CE9"/>
    <w:rsid w:val="002433B3"/>
    <w:rsid w:val="002434BA"/>
    <w:rsid w:val="00246089"/>
    <w:rsid w:val="00246093"/>
    <w:rsid w:val="00246702"/>
    <w:rsid w:val="00247C59"/>
    <w:rsid w:val="00247F2E"/>
    <w:rsid w:val="00250ADC"/>
    <w:rsid w:val="00250B07"/>
    <w:rsid w:val="00257553"/>
    <w:rsid w:val="00260FB2"/>
    <w:rsid w:val="00262128"/>
    <w:rsid w:val="0027165D"/>
    <w:rsid w:val="00273CEB"/>
    <w:rsid w:val="00281C89"/>
    <w:rsid w:val="0028282F"/>
    <w:rsid w:val="0029135A"/>
    <w:rsid w:val="0029593B"/>
    <w:rsid w:val="00297FC5"/>
    <w:rsid w:val="002A0417"/>
    <w:rsid w:val="002A16D8"/>
    <w:rsid w:val="002A1BC8"/>
    <w:rsid w:val="002A3EF2"/>
    <w:rsid w:val="002B0DED"/>
    <w:rsid w:val="002B19A2"/>
    <w:rsid w:val="002B381A"/>
    <w:rsid w:val="002B4FCC"/>
    <w:rsid w:val="002B7408"/>
    <w:rsid w:val="002B7CFD"/>
    <w:rsid w:val="002C210F"/>
    <w:rsid w:val="002D3600"/>
    <w:rsid w:val="002E4DDC"/>
    <w:rsid w:val="00301F0E"/>
    <w:rsid w:val="00302480"/>
    <w:rsid w:val="00302758"/>
    <w:rsid w:val="003077E5"/>
    <w:rsid w:val="003165E6"/>
    <w:rsid w:val="003215B5"/>
    <w:rsid w:val="003221CF"/>
    <w:rsid w:val="003233ED"/>
    <w:rsid w:val="00324D9F"/>
    <w:rsid w:val="00327948"/>
    <w:rsid w:val="0033000F"/>
    <w:rsid w:val="00332011"/>
    <w:rsid w:val="00332518"/>
    <w:rsid w:val="00332925"/>
    <w:rsid w:val="003332ED"/>
    <w:rsid w:val="003368DC"/>
    <w:rsid w:val="00345927"/>
    <w:rsid w:val="00350584"/>
    <w:rsid w:val="00351857"/>
    <w:rsid w:val="003545E8"/>
    <w:rsid w:val="003610E1"/>
    <w:rsid w:val="003671BE"/>
    <w:rsid w:val="00372485"/>
    <w:rsid w:val="00373200"/>
    <w:rsid w:val="00375EF5"/>
    <w:rsid w:val="003767A5"/>
    <w:rsid w:val="00381D15"/>
    <w:rsid w:val="00385254"/>
    <w:rsid w:val="003A04DB"/>
    <w:rsid w:val="003A34FF"/>
    <w:rsid w:val="003A5F5B"/>
    <w:rsid w:val="003A6295"/>
    <w:rsid w:val="003A789A"/>
    <w:rsid w:val="003B12EC"/>
    <w:rsid w:val="003C77E0"/>
    <w:rsid w:val="003D17D7"/>
    <w:rsid w:val="003D2678"/>
    <w:rsid w:val="003D71A3"/>
    <w:rsid w:val="003E2B8A"/>
    <w:rsid w:val="003F10EE"/>
    <w:rsid w:val="003F16F6"/>
    <w:rsid w:val="003F4DC7"/>
    <w:rsid w:val="003F5235"/>
    <w:rsid w:val="004027E4"/>
    <w:rsid w:val="0041071D"/>
    <w:rsid w:val="00414AFC"/>
    <w:rsid w:val="004151A7"/>
    <w:rsid w:val="00415310"/>
    <w:rsid w:val="00421709"/>
    <w:rsid w:val="00423763"/>
    <w:rsid w:val="0042762F"/>
    <w:rsid w:val="00427DC7"/>
    <w:rsid w:val="00431613"/>
    <w:rsid w:val="00431792"/>
    <w:rsid w:val="0043297A"/>
    <w:rsid w:val="00432EB2"/>
    <w:rsid w:val="0043714F"/>
    <w:rsid w:val="004438B5"/>
    <w:rsid w:val="00447037"/>
    <w:rsid w:val="0045124D"/>
    <w:rsid w:val="00454596"/>
    <w:rsid w:val="0045605D"/>
    <w:rsid w:val="0046135B"/>
    <w:rsid w:val="00461D47"/>
    <w:rsid w:val="004718CC"/>
    <w:rsid w:val="00481695"/>
    <w:rsid w:val="00495A96"/>
    <w:rsid w:val="00495BB3"/>
    <w:rsid w:val="004A56BB"/>
    <w:rsid w:val="004A70D6"/>
    <w:rsid w:val="004B1751"/>
    <w:rsid w:val="004C0253"/>
    <w:rsid w:val="004D56FF"/>
    <w:rsid w:val="004E39D3"/>
    <w:rsid w:val="004E508A"/>
    <w:rsid w:val="004E616D"/>
    <w:rsid w:val="004F1BDE"/>
    <w:rsid w:val="004F2CEE"/>
    <w:rsid w:val="004F556E"/>
    <w:rsid w:val="004F591C"/>
    <w:rsid w:val="004F7F44"/>
    <w:rsid w:val="005037B4"/>
    <w:rsid w:val="005079BF"/>
    <w:rsid w:val="0051269A"/>
    <w:rsid w:val="005144FA"/>
    <w:rsid w:val="005219E7"/>
    <w:rsid w:val="00521ED4"/>
    <w:rsid w:val="00531B9A"/>
    <w:rsid w:val="00531D15"/>
    <w:rsid w:val="00537604"/>
    <w:rsid w:val="00542377"/>
    <w:rsid w:val="005476EB"/>
    <w:rsid w:val="00551782"/>
    <w:rsid w:val="00563EF1"/>
    <w:rsid w:val="00566AB4"/>
    <w:rsid w:val="00575AC5"/>
    <w:rsid w:val="0057605D"/>
    <w:rsid w:val="00581347"/>
    <w:rsid w:val="00581AC9"/>
    <w:rsid w:val="005849F8"/>
    <w:rsid w:val="005938DF"/>
    <w:rsid w:val="00594E9C"/>
    <w:rsid w:val="005A099B"/>
    <w:rsid w:val="005A2D9C"/>
    <w:rsid w:val="005A55FE"/>
    <w:rsid w:val="005A6A11"/>
    <w:rsid w:val="005D2502"/>
    <w:rsid w:val="005D40BB"/>
    <w:rsid w:val="005D47F3"/>
    <w:rsid w:val="005D49BF"/>
    <w:rsid w:val="005D4AA5"/>
    <w:rsid w:val="005D6F4E"/>
    <w:rsid w:val="005D7C73"/>
    <w:rsid w:val="005E250B"/>
    <w:rsid w:val="005E3ACD"/>
    <w:rsid w:val="005E7226"/>
    <w:rsid w:val="005E7A57"/>
    <w:rsid w:val="005F24B0"/>
    <w:rsid w:val="00601B57"/>
    <w:rsid w:val="00604315"/>
    <w:rsid w:val="00604E26"/>
    <w:rsid w:val="0060523F"/>
    <w:rsid w:val="006052CF"/>
    <w:rsid w:val="00607B8D"/>
    <w:rsid w:val="00611F5C"/>
    <w:rsid w:val="00616E09"/>
    <w:rsid w:val="00622A3B"/>
    <w:rsid w:val="00622EEA"/>
    <w:rsid w:val="0062396C"/>
    <w:rsid w:val="00623FF9"/>
    <w:rsid w:val="00627D4E"/>
    <w:rsid w:val="00632B89"/>
    <w:rsid w:val="0063346D"/>
    <w:rsid w:val="00634478"/>
    <w:rsid w:val="00644373"/>
    <w:rsid w:val="00645915"/>
    <w:rsid w:val="006519C3"/>
    <w:rsid w:val="00652B30"/>
    <w:rsid w:val="00656345"/>
    <w:rsid w:val="00656DC6"/>
    <w:rsid w:val="00660EC6"/>
    <w:rsid w:val="00664110"/>
    <w:rsid w:val="00664D17"/>
    <w:rsid w:val="00666520"/>
    <w:rsid w:val="00667C5B"/>
    <w:rsid w:val="00667E97"/>
    <w:rsid w:val="00691EB8"/>
    <w:rsid w:val="00692CDE"/>
    <w:rsid w:val="00693073"/>
    <w:rsid w:val="006977FF"/>
    <w:rsid w:val="006A01FA"/>
    <w:rsid w:val="006A0E9E"/>
    <w:rsid w:val="006A25C7"/>
    <w:rsid w:val="006A4AAD"/>
    <w:rsid w:val="006A6DA2"/>
    <w:rsid w:val="006A7AB2"/>
    <w:rsid w:val="006B52DE"/>
    <w:rsid w:val="006B5717"/>
    <w:rsid w:val="006B582F"/>
    <w:rsid w:val="006B5EB2"/>
    <w:rsid w:val="006C0CEB"/>
    <w:rsid w:val="006C1631"/>
    <w:rsid w:val="006C3B1E"/>
    <w:rsid w:val="006C47FD"/>
    <w:rsid w:val="006C5C19"/>
    <w:rsid w:val="006C70A0"/>
    <w:rsid w:val="006D27CB"/>
    <w:rsid w:val="006D2F08"/>
    <w:rsid w:val="006D576C"/>
    <w:rsid w:val="006D5865"/>
    <w:rsid w:val="006D6108"/>
    <w:rsid w:val="006E4B1B"/>
    <w:rsid w:val="006E5445"/>
    <w:rsid w:val="006E7D93"/>
    <w:rsid w:val="007029A3"/>
    <w:rsid w:val="00706E4E"/>
    <w:rsid w:val="0070791C"/>
    <w:rsid w:val="00707CBE"/>
    <w:rsid w:val="0071383C"/>
    <w:rsid w:val="007141A7"/>
    <w:rsid w:val="00715722"/>
    <w:rsid w:val="00721032"/>
    <w:rsid w:val="00721B55"/>
    <w:rsid w:val="00725094"/>
    <w:rsid w:val="00726CE4"/>
    <w:rsid w:val="00734143"/>
    <w:rsid w:val="00737E47"/>
    <w:rsid w:val="00740EAC"/>
    <w:rsid w:val="00744956"/>
    <w:rsid w:val="00745A5C"/>
    <w:rsid w:val="0074605F"/>
    <w:rsid w:val="00747E94"/>
    <w:rsid w:val="00754C83"/>
    <w:rsid w:val="00761E5C"/>
    <w:rsid w:val="00765DF8"/>
    <w:rsid w:val="00766749"/>
    <w:rsid w:val="00767C1B"/>
    <w:rsid w:val="007714A9"/>
    <w:rsid w:val="00774F88"/>
    <w:rsid w:val="00774FDB"/>
    <w:rsid w:val="00777BA2"/>
    <w:rsid w:val="00781408"/>
    <w:rsid w:val="00784F7F"/>
    <w:rsid w:val="007878BD"/>
    <w:rsid w:val="00796F25"/>
    <w:rsid w:val="007A2E98"/>
    <w:rsid w:val="007A3BA3"/>
    <w:rsid w:val="007A6CC0"/>
    <w:rsid w:val="007A7FEC"/>
    <w:rsid w:val="007B1499"/>
    <w:rsid w:val="007B1BBF"/>
    <w:rsid w:val="007B2960"/>
    <w:rsid w:val="007B355D"/>
    <w:rsid w:val="007B7980"/>
    <w:rsid w:val="007C0DEF"/>
    <w:rsid w:val="007C5D5A"/>
    <w:rsid w:val="007C607F"/>
    <w:rsid w:val="007C6E44"/>
    <w:rsid w:val="007C79DD"/>
    <w:rsid w:val="007D1A97"/>
    <w:rsid w:val="007D2CD6"/>
    <w:rsid w:val="007D3063"/>
    <w:rsid w:val="007D3CEB"/>
    <w:rsid w:val="007E3375"/>
    <w:rsid w:val="007E7683"/>
    <w:rsid w:val="007F49FA"/>
    <w:rsid w:val="007F54C4"/>
    <w:rsid w:val="007F6E9A"/>
    <w:rsid w:val="00800CCD"/>
    <w:rsid w:val="00803E01"/>
    <w:rsid w:val="008044D4"/>
    <w:rsid w:val="00810AB4"/>
    <w:rsid w:val="00817B56"/>
    <w:rsid w:val="00821A88"/>
    <w:rsid w:val="0082495D"/>
    <w:rsid w:val="00831AC3"/>
    <w:rsid w:val="00833ACF"/>
    <w:rsid w:val="00836FCE"/>
    <w:rsid w:val="008408FF"/>
    <w:rsid w:val="00851F3F"/>
    <w:rsid w:val="0085618F"/>
    <w:rsid w:val="00856EDC"/>
    <w:rsid w:val="008623B5"/>
    <w:rsid w:val="00870ABA"/>
    <w:rsid w:val="008710E1"/>
    <w:rsid w:val="008716E5"/>
    <w:rsid w:val="00881CA9"/>
    <w:rsid w:val="00883628"/>
    <w:rsid w:val="008843AE"/>
    <w:rsid w:val="00885544"/>
    <w:rsid w:val="0088634E"/>
    <w:rsid w:val="00893AB8"/>
    <w:rsid w:val="008A04C8"/>
    <w:rsid w:val="008A6913"/>
    <w:rsid w:val="008B70F3"/>
    <w:rsid w:val="008B71C4"/>
    <w:rsid w:val="008B76DF"/>
    <w:rsid w:val="008C10F4"/>
    <w:rsid w:val="008C65F7"/>
    <w:rsid w:val="008D1FBF"/>
    <w:rsid w:val="008E4767"/>
    <w:rsid w:val="008E7A8C"/>
    <w:rsid w:val="0090203B"/>
    <w:rsid w:val="00903285"/>
    <w:rsid w:val="00906F40"/>
    <w:rsid w:val="0090731E"/>
    <w:rsid w:val="00915B1C"/>
    <w:rsid w:val="009174F3"/>
    <w:rsid w:val="0091797D"/>
    <w:rsid w:val="00923CBA"/>
    <w:rsid w:val="009242EB"/>
    <w:rsid w:val="00926703"/>
    <w:rsid w:val="00927691"/>
    <w:rsid w:val="00927A5F"/>
    <w:rsid w:val="00930510"/>
    <w:rsid w:val="00935B63"/>
    <w:rsid w:val="0094078F"/>
    <w:rsid w:val="00940FA3"/>
    <w:rsid w:val="00941FB0"/>
    <w:rsid w:val="009426D4"/>
    <w:rsid w:val="00947F25"/>
    <w:rsid w:val="00950159"/>
    <w:rsid w:val="0095490B"/>
    <w:rsid w:val="00960A33"/>
    <w:rsid w:val="00971914"/>
    <w:rsid w:val="00974363"/>
    <w:rsid w:val="00981898"/>
    <w:rsid w:val="0099577C"/>
    <w:rsid w:val="009B24A5"/>
    <w:rsid w:val="009B2601"/>
    <w:rsid w:val="009B4E9E"/>
    <w:rsid w:val="009C1690"/>
    <w:rsid w:val="009C4925"/>
    <w:rsid w:val="009C6881"/>
    <w:rsid w:val="009C7759"/>
    <w:rsid w:val="009D043D"/>
    <w:rsid w:val="009D07C8"/>
    <w:rsid w:val="009D6C71"/>
    <w:rsid w:val="009E0631"/>
    <w:rsid w:val="009E16D0"/>
    <w:rsid w:val="009E2051"/>
    <w:rsid w:val="009E38FD"/>
    <w:rsid w:val="009F13D6"/>
    <w:rsid w:val="009F4C6B"/>
    <w:rsid w:val="009F78A8"/>
    <w:rsid w:val="00A02AD6"/>
    <w:rsid w:val="00A07096"/>
    <w:rsid w:val="00A07318"/>
    <w:rsid w:val="00A11370"/>
    <w:rsid w:val="00A224CE"/>
    <w:rsid w:val="00A22522"/>
    <w:rsid w:val="00A2440D"/>
    <w:rsid w:val="00A24AFD"/>
    <w:rsid w:val="00A24F5C"/>
    <w:rsid w:val="00A32F96"/>
    <w:rsid w:val="00A40871"/>
    <w:rsid w:val="00A412AB"/>
    <w:rsid w:val="00A4193E"/>
    <w:rsid w:val="00A440E0"/>
    <w:rsid w:val="00A442EF"/>
    <w:rsid w:val="00A51D1A"/>
    <w:rsid w:val="00A5418D"/>
    <w:rsid w:val="00A5474E"/>
    <w:rsid w:val="00A64234"/>
    <w:rsid w:val="00A70ADF"/>
    <w:rsid w:val="00A71466"/>
    <w:rsid w:val="00A74B5E"/>
    <w:rsid w:val="00A81BED"/>
    <w:rsid w:val="00A81EC4"/>
    <w:rsid w:val="00A824E8"/>
    <w:rsid w:val="00A967FD"/>
    <w:rsid w:val="00AA2DE5"/>
    <w:rsid w:val="00AB156C"/>
    <w:rsid w:val="00AB6814"/>
    <w:rsid w:val="00AC04BA"/>
    <w:rsid w:val="00AC0E39"/>
    <w:rsid w:val="00AD3082"/>
    <w:rsid w:val="00AD32B4"/>
    <w:rsid w:val="00AD4AD0"/>
    <w:rsid w:val="00AD5436"/>
    <w:rsid w:val="00AD60CD"/>
    <w:rsid w:val="00AD6C8C"/>
    <w:rsid w:val="00AD7000"/>
    <w:rsid w:val="00AE091D"/>
    <w:rsid w:val="00AE3B60"/>
    <w:rsid w:val="00AE53A1"/>
    <w:rsid w:val="00AF2484"/>
    <w:rsid w:val="00AF63E7"/>
    <w:rsid w:val="00AF6924"/>
    <w:rsid w:val="00AF6E17"/>
    <w:rsid w:val="00B0165D"/>
    <w:rsid w:val="00B01ACB"/>
    <w:rsid w:val="00B01B60"/>
    <w:rsid w:val="00B031F3"/>
    <w:rsid w:val="00B052A4"/>
    <w:rsid w:val="00B125DE"/>
    <w:rsid w:val="00B13FDD"/>
    <w:rsid w:val="00B22EB2"/>
    <w:rsid w:val="00B27442"/>
    <w:rsid w:val="00B31167"/>
    <w:rsid w:val="00B329D8"/>
    <w:rsid w:val="00B32BB9"/>
    <w:rsid w:val="00B33AE1"/>
    <w:rsid w:val="00B37C38"/>
    <w:rsid w:val="00B411CB"/>
    <w:rsid w:val="00B4288C"/>
    <w:rsid w:val="00B43262"/>
    <w:rsid w:val="00B44100"/>
    <w:rsid w:val="00B46CBA"/>
    <w:rsid w:val="00B46F94"/>
    <w:rsid w:val="00B57E47"/>
    <w:rsid w:val="00B6003C"/>
    <w:rsid w:val="00B61F03"/>
    <w:rsid w:val="00B626E4"/>
    <w:rsid w:val="00B72F4A"/>
    <w:rsid w:val="00B80F11"/>
    <w:rsid w:val="00B83C27"/>
    <w:rsid w:val="00B84BC3"/>
    <w:rsid w:val="00B84BDD"/>
    <w:rsid w:val="00B92812"/>
    <w:rsid w:val="00BB45A1"/>
    <w:rsid w:val="00BB7686"/>
    <w:rsid w:val="00BC23F9"/>
    <w:rsid w:val="00BC3421"/>
    <w:rsid w:val="00BC732C"/>
    <w:rsid w:val="00BD138E"/>
    <w:rsid w:val="00BD4421"/>
    <w:rsid w:val="00BD7249"/>
    <w:rsid w:val="00BE2580"/>
    <w:rsid w:val="00BE266D"/>
    <w:rsid w:val="00BE3938"/>
    <w:rsid w:val="00BE4C11"/>
    <w:rsid w:val="00BE6805"/>
    <w:rsid w:val="00BE71C0"/>
    <w:rsid w:val="00BF610C"/>
    <w:rsid w:val="00C0060B"/>
    <w:rsid w:val="00C01A6C"/>
    <w:rsid w:val="00C0277D"/>
    <w:rsid w:val="00C053A1"/>
    <w:rsid w:val="00C16198"/>
    <w:rsid w:val="00C2083D"/>
    <w:rsid w:val="00C24A53"/>
    <w:rsid w:val="00C34A05"/>
    <w:rsid w:val="00C35CCE"/>
    <w:rsid w:val="00C4032F"/>
    <w:rsid w:val="00C44047"/>
    <w:rsid w:val="00C45155"/>
    <w:rsid w:val="00C5498F"/>
    <w:rsid w:val="00C55235"/>
    <w:rsid w:val="00C64CD0"/>
    <w:rsid w:val="00C6684F"/>
    <w:rsid w:val="00C70E70"/>
    <w:rsid w:val="00C75F8D"/>
    <w:rsid w:val="00C77380"/>
    <w:rsid w:val="00C87E8A"/>
    <w:rsid w:val="00C97736"/>
    <w:rsid w:val="00CA345A"/>
    <w:rsid w:val="00CB1E82"/>
    <w:rsid w:val="00CB4BA8"/>
    <w:rsid w:val="00CB52D7"/>
    <w:rsid w:val="00CB5799"/>
    <w:rsid w:val="00CC6732"/>
    <w:rsid w:val="00CE3C96"/>
    <w:rsid w:val="00CE51A8"/>
    <w:rsid w:val="00CF369B"/>
    <w:rsid w:val="00D00E28"/>
    <w:rsid w:val="00D0269E"/>
    <w:rsid w:val="00D05D6C"/>
    <w:rsid w:val="00D15810"/>
    <w:rsid w:val="00D16D4E"/>
    <w:rsid w:val="00D16FE3"/>
    <w:rsid w:val="00D27F41"/>
    <w:rsid w:val="00D32CA0"/>
    <w:rsid w:val="00D36441"/>
    <w:rsid w:val="00D4064E"/>
    <w:rsid w:val="00D44E9B"/>
    <w:rsid w:val="00D45FD2"/>
    <w:rsid w:val="00D47AEB"/>
    <w:rsid w:val="00D50DB9"/>
    <w:rsid w:val="00D51302"/>
    <w:rsid w:val="00D52C43"/>
    <w:rsid w:val="00D6507F"/>
    <w:rsid w:val="00D730BC"/>
    <w:rsid w:val="00D73912"/>
    <w:rsid w:val="00D85226"/>
    <w:rsid w:val="00D87B94"/>
    <w:rsid w:val="00D92D49"/>
    <w:rsid w:val="00D92EC1"/>
    <w:rsid w:val="00D96932"/>
    <w:rsid w:val="00D96DEA"/>
    <w:rsid w:val="00DA4E41"/>
    <w:rsid w:val="00DB117A"/>
    <w:rsid w:val="00DB1D9F"/>
    <w:rsid w:val="00DB5173"/>
    <w:rsid w:val="00DB7873"/>
    <w:rsid w:val="00DC187B"/>
    <w:rsid w:val="00DC7DEF"/>
    <w:rsid w:val="00DD1A43"/>
    <w:rsid w:val="00DD73C2"/>
    <w:rsid w:val="00DE319B"/>
    <w:rsid w:val="00DF34FE"/>
    <w:rsid w:val="00DF56AA"/>
    <w:rsid w:val="00DF56AF"/>
    <w:rsid w:val="00DF78E7"/>
    <w:rsid w:val="00E110E0"/>
    <w:rsid w:val="00E15371"/>
    <w:rsid w:val="00E23372"/>
    <w:rsid w:val="00E24104"/>
    <w:rsid w:val="00E302D0"/>
    <w:rsid w:val="00E35707"/>
    <w:rsid w:val="00E36AA1"/>
    <w:rsid w:val="00E41ECB"/>
    <w:rsid w:val="00E42676"/>
    <w:rsid w:val="00E54FDB"/>
    <w:rsid w:val="00E5617D"/>
    <w:rsid w:val="00E563D7"/>
    <w:rsid w:val="00E663F4"/>
    <w:rsid w:val="00E666F2"/>
    <w:rsid w:val="00E66DD4"/>
    <w:rsid w:val="00E748CC"/>
    <w:rsid w:val="00E75415"/>
    <w:rsid w:val="00E775B1"/>
    <w:rsid w:val="00E8152A"/>
    <w:rsid w:val="00E93629"/>
    <w:rsid w:val="00E93B5C"/>
    <w:rsid w:val="00E94CEC"/>
    <w:rsid w:val="00EA04EF"/>
    <w:rsid w:val="00EA42AC"/>
    <w:rsid w:val="00EA6F19"/>
    <w:rsid w:val="00EB7090"/>
    <w:rsid w:val="00EC1BBE"/>
    <w:rsid w:val="00EC2B68"/>
    <w:rsid w:val="00EC3AEF"/>
    <w:rsid w:val="00EC5CD7"/>
    <w:rsid w:val="00EE5FB3"/>
    <w:rsid w:val="00EE7F79"/>
    <w:rsid w:val="00EF715A"/>
    <w:rsid w:val="00F01BC3"/>
    <w:rsid w:val="00F06E14"/>
    <w:rsid w:val="00F179D4"/>
    <w:rsid w:val="00F33C56"/>
    <w:rsid w:val="00F347C7"/>
    <w:rsid w:val="00F34848"/>
    <w:rsid w:val="00F4166A"/>
    <w:rsid w:val="00F42D46"/>
    <w:rsid w:val="00F4496C"/>
    <w:rsid w:val="00F44F3A"/>
    <w:rsid w:val="00F45DD5"/>
    <w:rsid w:val="00F46E25"/>
    <w:rsid w:val="00F51F10"/>
    <w:rsid w:val="00F529A5"/>
    <w:rsid w:val="00F54540"/>
    <w:rsid w:val="00F60F00"/>
    <w:rsid w:val="00F614C0"/>
    <w:rsid w:val="00F61C77"/>
    <w:rsid w:val="00F83848"/>
    <w:rsid w:val="00F975E9"/>
    <w:rsid w:val="00F97BF9"/>
    <w:rsid w:val="00FA1B7D"/>
    <w:rsid w:val="00FC07B9"/>
    <w:rsid w:val="00FC419B"/>
    <w:rsid w:val="00FC4E21"/>
    <w:rsid w:val="00FC5F6D"/>
    <w:rsid w:val="00FD0107"/>
    <w:rsid w:val="00FD2C2F"/>
    <w:rsid w:val="00FD3B31"/>
    <w:rsid w:val="00FE1823"/>
    <w:rsid w:val="00FE487A"/>
    <w:rsid w:val="00FF0569"/>
    <w:rsid w:val="00FF206E"/>
    <w:rsid w:val="00FF3C69"/>
    <w:rsid w:val="00FF6E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red,#4d4d4f"/>
    </o:shapedefaults>
    <o:shapelayout v:ext="edit">
      <o:idmap v:ext="edit" data="1"/>
    </o:shapelayout>
  </w:shapeDefaults>
  <w:decimalSymbol w:val="."/>
  <w:listSeparator w:val=","/>
  <w14:docId w14:val="554B9F99"/>
  <w15:docId w15:val="{AC93CDB0-0E88-44F9-B54C-AC5C7F67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qFormat="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7E3375"/>
    <w:pPr>
      <w:spacing w:after="240" w:line="240" w:lineRule="atLeast"/>
    </w:pPr>
    <w:rPr>
      <w:rFonts w:ascii="Arial" w:hAnsi="Arial"/>
      <w:sz w:val="20"/>
    </w:rPr>
  </w:style>
  <w:style w:type="paragraph" w:styleId="Heading1">
    <w:name w:val="heading 1"/>
    <w:basedOn w:val="Normal"/>
    <w:next w:val="Normal"/>
    <w:link w:val="Heading1Char"/>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Paragraph"/>
    <w:link w:val="Heading2Char"/>
    <w:qFormat/>
    <w:rsid w:val="00C55235"/>
    <w:pPr>
      <w:keepNext/>
      <w:spacing w:before="320" w:after="60"/>
      <w:outlineLvl w:val="1"/>
    </w:pPr>
    <w:rPr>
      <w:rFonts w:cs="Arial"/>
      <w:b/>
      <w:bCs/>
      <w:iCs/>
      <w:sz w:val="28"/>
      <w:szCs w:val="28"/>
    </w:rPr>
  </w:style>
  <w:style w:type="paragraph" w:styleId="Heading3">
    <w:name w:val="heading 3"/>
    <w:basedOn w:val="Normal"/>
    <w:next w:val="Normal"/>
    <w:link w:val="Heading3Char"/>
    <w:uiPriority w:val="2"/>
    <w:qFormat/>
    <w:rsid w:val="00C55235"/>
    <w:pPr>
      <w:keepNext/>
      <w:spacing w:before="60" w:after="60"/>
      <w:outlineLvl w:val="2"/>
    </w:pPr>
    <w:rPr>
      <w:rFonts w:cs="Arial"/>
      <w:b/>
      <w:bCs/>
      <w:szCs w:val="26"/>
    </w:rPr>
  </w:style>
  <w:style w:type="paragraph" w:styleId="Heading4">
    <w:name w:val="heading 4"/>
    <w:basedOn w:val="BodySubHeader"/>
    <w:next w:val="Normal"/>
    <w:uiPriority w:val="2"/>
    <w:qFormat/>
    <w:rsid w:val="0085618F"/>
    <w:pPr>
      <w:outlineLvl w:val="3"/>
    </w:pPr>
    <w:rPr>
      <w:rFonts w:cs="Arial"/>
    </w:rPr>
  </w:style>
  <w:style w:type="paragraph" w:styleId="Heading5">
    <w:name w:val="heading 5"/>
    <w:basedOn w:val="Normal"/>
    <w:next w:val="Normal"/>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semiHidden/>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semiHidden/>
    <w:rsid w:val="00EC2B68"/>
    <w:rPr>
      <w:rFonts w:ascii="Arial" w:hAnsi="Arial"/>
      <w:color w:val="323232"/>
      <w:sz w:val="16"/>
    </w:rPr>
  </w:style>
  <w:style w:type="paragraph" w:customStyle="1" w:styleId="Reporttitle">
    <w:name w:val="Report title"/>
    <w:basedOn w:val="Normal"/>
    <w:uiPriority w:val="19"/>
    <w:qFormat/>
    <w:rsid w:val="00A51D1A"/>
    <w:pPr>
      <w:spacing w:after="0" w:line="560" w:lineRule="exact"/>
    </w:pPr>
    <w:rPr>
      <w:b/>
      <w:spacing w:val="-28"/>
      <w:sz w:val="53"/>
    </w:rPr>
  </w:style>
  <w:style w:type="paragraph" w:customStyle="1" w:styleId="Reportsubtitle">
    <w:name w:val="Report subtitle"/>
    <w:basedOn w:val="Normal"/>
    <w:uiPriority w:val="20"/>
    <w:qFormat/>
    <w:rsid w:val="00950159"/>
    <w:pPr>
      <w:spacing w:after="200" w:line="560" w:lineRule="exact"/>
    </w:pPr>
    <w:rPr>
      <w:color w:val="323232"/>
      <w:spacing w:val="-28"/>
      <w:sz w:val="53"/>
    </w:rPr>
  </w:style>
  <w:style w:type="table" w:styleId="TableGrid">
    <w:name w:val="Table Grid"/>
    <w:basedOn w:val="TableNormal"/>
    <w:uiPriority w:val="5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date">
    <w:name w:val="Report date"/>
    <w:basedOn w:val="Reportsubtitle"/>
    <w:uiPriority w:val="21"/>
    <w:qFormat/>
    <w:rsid w:val="00950159"/>
    <w:pPr>
      <w:spacing w:after="1200" w:line="240" w:lineRule="auto"/>
    </w:pPr>
    <w:rPr>
      <w:caps/>
      <w:spacing w:val="-10"/>
      <w:sz w:val="20"/>
    </w:rPr>
  </w:style>
  <w:style w:type="paragraph" w:customStyle="1" w:styleId="Tableheaderrow">
    <w:name w:val="Table header row"/>
    <w:basedOn w:val="Normal"/>
    <w:uiPriority w:val="14"/>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semiHidden/>
    <w:qFormat/>
    <w:rsid w:val="00950159"/>
    <w:pPr>
      <w:spacing w:before="1200" w:line="240" w:lineRule="auto"/>
    </w:pPr>
    <w:rPr>
      <w:b/>
      <w:color w:val="323232"/>
      <w:spacing w:val="-28"/>
      <w:sz w:val="53"/>
    </w:rPr>
  </w:style>
  <w:style w:type="paragraph" w:styleId="Caption">
    <w:name w:val="caption"/>
    <w:aliases w:val="Caption table"/>
    <w:basedOn w:val="Normal"/>
    <w:next w:val="Normal"/>
    <w:semiHidden/>
    <w:qFormat/>
    <w:rsid w:val="00E8152A"/>
    <w:pPr>
      <w:numPr>
        <w:numId w:val="9"/>
      </w:numPr>
      <w:spacing w:after="0"/>
    </w:pPr>
    <w:rPr>
      <w:b/>
      <w:bCs/>
      <w:color w:val="323232"/>
      <w:szCs w:val="20"/>
    </w:rPr>
  </w:style>
  <w:style w:type="paragraph" w:customStyle="1" w:styleId="BodySubHeader">
    <w:name w:val="BodySubHeader"/>
    <w:basedOn w:val="Normal"/>
    <w:next w:val="Normal"/>
    <w:semiHidden/>
    <w:rsid w:val="00146CE6"/>
    <w:pPr>
      <w:spacing w:before="240" w:after="0"/>
    </w:pPr>
    <w:rPr>
      <w:b/>
      <w:i/>
    </w:rPr>
  </w:style>
  <w:style w:type="paragraph" w:styleId="ListBullet">
    <w:name w:val="List Bullet"/>
    <w:basedOn w:val="Normal"/>
    <w:qFormat/>
    <w:rsid w:val="001C6AEE"/>
    <w:pPr>
      <w:numPr>
        <w:numId w:val="1"/>
      </w:numPr>
      <w:spacing w:after="80"/>
    </w:pPr>
  </w:style>
  <w:style w:type="paragraph" w:styleId="ListBullet2">
    <w:name w:val="List Bullet 2"/>
    <w:basedOn w:val="Normal"/>
    <w:semiHidden/>
    <w:qFormat/>
    <w:rsid w:val="001C6AEE"/>
    <w:pPr>
      <w:numPr>
        <w:numId w:val="2"/>
      </w:numPr>
      <w:spacing w:after="80"/>
    </w:pPr>
  </w:style>
  <w:style w:type="paragraph" w:styleId="ListNumber">
    <w:name w:val="List Number"/>
    <w:basedOn w:val="Normal"/>
    <w:semiHidden/>
    <w:qFormat/>
    <w:rsid w:val="00C24A53"/>
    <w:pPr>
      <w:numPr>
        <w:numId w:val="3"/>
      </w:numPr>
      <w:spacing w:after="80"/>
    </w:pPr>
  </w:style>
  <w:style w:type="paragraph" w:styleId="ListNumber2">
    <w:name w:val="List Number 2"/>
    <w:basedOn w:val="Normal"/>
    <w:semiHidden/>
    <w:qFormat/>
    <w:rsid w:val="004A70D6"/>
    <w:pPr>
      <w:numPr>
        <w:numId w:val="4"/>
      </w:numPr>
      <w:spacing w:after="80"/>
      <w:ind w:left="828" w:hanging="357"/>
    </w:pPr>
  </w:style>
  <w:style w:type="paragraph" w:customStyle="1" w:styleId="URLEmail">
    <w:name w:val="URL/Email"/>
    <w:basedOn w:val="Normal"/>
    <w:semiHidden/>
    <w:rsid w:val="00302480"/>
    <w:rPr>
      <w:color w:val="4D4D4F"/>
      <w:spacing w:val="4"/>
    </w:rPr>
  </w:style>
  <w:style w:type="paragraph" w:customStyle="1" w:styleId="Execsummaryheading">
    <w:name w:val="Exec summary heading"/>
    <w:basedOn w:val="Normal"/>
    <w:uiPriority w:val="22"/>
    <w:qFormat/>
    <w:rsid w:val="006B52DE"/>
    <w:pPr>
      <w:pageBreakBefore/>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ListContinue5">
    <w:name w:val="List Continue 5"/>
    <w:basedOn w:val="Normal"/>
    <w:semiHidden/>
    <w:rsid w:val="00EC2B68"/>
    <w:pPr>
      <w:spacing w:after="120"/>
      <w:ind w:left="1415"/>
      <w:contextualSpacing/>
    </w:pPr>
  </w:style>
  <w:style w:type="paragraph" w:customStyle="1" w:styleId="Paragraphbeforelist">
    <w:name w:val="Paragraph before list"/>
    <w:basedOn w:val="Paragraph"/>
    <w:uiPriority w:val="4"/>
    <w:qFormat/>
    <w:rsid w:val="00C87E8A"/>
    <w:pPr>
      <w:spacing w:after="80"/>
    </w:p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C35CCE"/>
    <w:rPr>
      <w:color w:val="0000FF"/>
      <w:u w:val="single" w:color="0000FF"/>
    </w:rPr>
  </w:style>
  <w:style w:type="character" w:styleId="FootnoteReference">
    <w:name w:val="footnote reference"/>
    <w:aliases w:val="Appel note de bas de p,Appel note de bas de p + 11 pt,Italic,Footnote,Footnote symbol,Appel note de bas de p1,Appel note de bas de p2,Appel note de bas de p3,Footnote Reference/,Style 12,(NECG) Footnote Reference,Style 124,o,fr"/>
    <w:basedOn w:val="DefaultParagraphFont"/>
    <w:uiPriority w:val="99"/>
    <w:rsid w:val="00566AB4"/>
    <w:rPr>
      <w:rFonts w:ascii="Arial" w:hAnsi="Arial"/>
      <w:vertAlign w:val="superscript"/>
    </w:rPr>
  </w:style>
  <w:style w:type="paragraph" w:styleId="FootnoteText">
    <w:name w:val="footnote text"/>
    <w:aliases w:val="Footnote text,ACMA Footnote Text,ABA Footnote Text,footnote text,Footnote Text Char Char,Footnote Text Char1 Char Char,Footnote Text Char Char Char Char,Footnote Text Char1 Char Char Char Char,Footnote Text Char2 Char Char,f"/>
    <w:basedOn w:val="Normal"/>
    <w:link w:val="FootnoteTextChar"/>
    <w:rsid w:val="007C6E44"/>
    <w:pPr>
      <w:spacing w:after="0"/>
    </w:pPr>
    <w:rPr>
      <w:sz w:val="16"/>
      <w:szCs w:val="16"/>
    </w:rPr>
  </w:style>
  <w:style w:type="paragraph" w:customStyle="1" w:styleId="TableBody">
    <w:name w:val="Table Body"/>
    <w:basedOn w:val="Normal"/>
    <w:uiPriority w:val="15"/>
    <w:qFormat/>
    <w:rsid w:val="00774FDB"/>
    <w:pPr>
      <w:spacing w:after="0" w:line="240" w:lineRule="auto"/>
    </w:pPr>
  </w:style>
  <w:style w:type="character" w:styleId="CommentReference">
    <w:name w:val="annotation reference"/>
    <w:basedOn w:val="DefaultParagraphFont"/>
    <w:semiHidden/>
    <w:rsid w:val="00EE7F79"/>
    <w:rPr>
      <w:sz w:val="16"/>
      <w:szCs w:val="16"/>
    </w:rPr>
  </w:style>
  <w:style w:type="paragraph" w:styleId="CommentText">
    <w:name w:val="annotation text"/>
    <w:basedOn w:val="Normal"/>
    <w:link w:val="CommentTextChar"/>
    <w:semiHidden/>
    <w:rsid w:val="00EE7F79"/>
    <w:pPr>
      <w:spacing w:line="240" w:lineRule="auto"/>
    </w:pPr>
    <w:rPr>
      <w:szCs w:val="20"/>
    </w:rPr>
  </w:style>
  <w:style w:type="character" w:customStyle="1" w:styleId="CommentTextChar">
    <w:name w:val="Comment Text Char"/>
    <w:basedOn w:val="DefaultParagraphFont"/>
    <w:link w:val="CommentText"/>
    <w:semiHidden/>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semiHidden/>
    <w:unhideWhenUsed/>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paragraph" w:customStyle="1" w:styleId="Bulletlevel1">
    <w:name w:val="Bullet level 1"/>
    <w:basedOn w:val="ListBullet"/>
    <w:uiPriority w:val="5"/>
    <w:qFormat/>
    <w:rsid w:val="00A824E8"/>
    <w:rPr>
      <w:rFonts w:cs="Arial"/>
    </w:rPr>
  </w:style>
  <w:style w:type="paragraph" w:customStyle="1" w:styleId="ACMACorporateAddressHeader">
    <w:name w:val="ACMA_CorporateAddressHeader"/>
    <w:basedOn w:val="Normal"/>
    <w:next w:val="ACMACorporateAddresses"/>
    <w:semiHidden/>
    <w:unhideWhenUsed/>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semiHidden/>
    <w:unhideWhenUsed/>
    <w:qFormat/>
    <w:rsid w:val="00FC07B9"/>
    <w:pPr>
      <w:spacing w:before="0" w:after="120"/>
    </w:pPr>
    <w:rPr>
      <w:b w:val="0"/>
    </w:rPr>
  </w:style>
  <w:style w:type="paragraph" w:customStyle="1" w:styleId="ACMACopyrightHeader">
    <w:name w:val="ACMA_CopyrightHeader"/>
    <w:basedOn w:val="ACMACorporateAddressHeader"/>
    <w:semiHidden/>
    <w:unhideWhenUsed/>
    <w:qFormat/>
    <w:rsid w:val="00950159"/>
    <w:pPr>
      <w:spacing w:before="3000"/>
    </w:pPr>
  </w:style>
  <w:style w:type="paragraph" w:customStyle="1" w:styleId="ACMACClogo">
    <w:name w:val="ACMA_CClogo"/>
    <w:semiHidden/>
    <w:unhideWhenUsed/>
    <w:qFormat/>
    <w:rsid w:val="00623FF9"/>
    <w:pPr>
      <w:spacing w:before="160" w:after="120"/>
    </w:pPr>
    <w:rPr>
      <w:rFonts w:ascii="Arial" w:hAnsi="Arial"/>
      <w:b/>
      <w:sz w:val="13"/>
    </w:rPr>
  </w:style>
  <w:style w:type="paragraph" w:customStyle="1" w:styleId="ListBulletLast">
    <w:name w:val="List Bullet Last"/>
    <w:basedOn w:val="ListBullet"/>
    <w:semiHidden/>
    <w:qFormat/>
    <w:rsid w:val="00146CE6"/>
    <w:pPr>
      <w:spacing w:after="240"/>
    </w:pPr>
    <w:rPr>
      <w:rFonts w:cs="Arial"/>
    </w:rPr>
  </w:style>
  <w:style w:type="paragraph" w:customStyle="1" w:styleId="ListNumberLast">
    <w:name w:val="List Number Last"/>
    <w:basedOn w:val="ListNumber"/>
    <w:semiHidden/>
    <w:qFormat/>
    <w:rsid w:val="00C16198"/>
    <w:pPr>
      <w:spacing w:after="240"/>
      <w:ind w:left="357" w:hanging="357"/>
    </w:pPr>
    <w:rPr>
      <w:rFonts w:cs="Arial"/>
    </w:rPr>
  </w:style>
  <w:style w:type="paragraph" w:customStyle="1" w:styleId="ACMATableHeader">
    <w:name w:val="ACMA_TableHeader"/>
    <w:semiHidden/>
    <w:qFormat/>
    <w:rsid w:val="003F10EE"/>
    <w:pPr>
      <w:numPr>
        <w:numId w:val="7"/>
      </w:numPr>
      <w:spacing w:after="160"/>
    </w:pPr>
    <w:rPr>
      <w:rFonts w:ascii="Arial" w:hAnsi="Arial"/>
      <w:b/>
      <w:bCs/>
      <w:color w:val="323232"/>
      <w:sz w:val="20"/>
      <w:szCs w:val="20"/>
    </w:rPr>
  </w:style>
  <w:style w:type="paragraph" w:customStyle="1" w:styleId="ACMANotes">
    <w:name w:val="ACMA_Notes"/>
    <w:semiHidden/>
    <w:qFormat/>
    <w:rsid w:val="00FF206E"/>
    <w:pPr>
      <w:spacing w:before="80"/>
    </w:pPr>
    <w:rPr>
      <w:rFonts w:ascii="Arial" w:hAnsi="Arial" w:cs="Arial"/>
      <w:i/>
      <w:sz w:val="16"/>
    </w:rPr>
  </w:style>
  <w:style w:type="paragraph" w:customStyle="1" w:styleId="Numberlistlevel1">
    <w:name w:val="Number list level 1"/>
    <w:basedOn w:val="ListNumber"/>
    <w:uiPriority w:val="9"/>
    <w:qFormat/>
    <w:rsid w:val="004A70D6"/>
  </w:style>
  <w:style w:type="character" w:styleId="Emphasis">
    <w:name w:val="Emphasis"/>
    <w:basedOn w:val="DefaultParagraphFont"/>
    <w:semiHidden/>
    <w:qFormat/>
    <w:rsid w:val="006D576C"/>
    <w:rPr>
      <w:i/>
      <w:iCs/>
    </w:rPr>
  </w:style>
  <w:style w:type="paragraph" w:customStyle="1" w:styleId="ListNumber2Last">
    <w:name w:val="List Number 2 Last"/>
    <w:basedOn w:val="ListNumber2"/>
    <w:semiHidden/>
    <w:qFormat/>
    <w:rsid w:val="00E35707"/>
    <w:pPr>
      <w:spacing w:after="240"/>
      <w:ind w:left="907"/>
    </w:pPr>
    <w:rPr>
      <w:rFonts w:cs="Arial"/>
    </w:rPr>
  </w:style>
  <w:style w:type="paragraph" w:customStyle="1" w:styleId="Spaceaftertable">
    <w:name w:val="Space after table"/>
    <w:basedOn w:val="Normal"/>
    <w:uiPriority w:val="99"/>
    <w:qFormat/>
    <w:rsid w:val="00C2083D"/>
    <w:rPr>
      <w:rFonts w:cs="Arial"/>
    </w:rPr>
  </w:style>
  <w:style w:type="paragraph" w:customStyle="1" w:styleId="FooterLeft">
    <w:name w:val="Footer Left"/>
    <w:basedOn w:val="Footer"/>
    <w:semiHidden/>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semiHidden/>
    <w:qFormat/>
    <w:rsid w:val="003F10EE"/>
    <w:pPr>
      <w:numPr>
        <w:numId w:val="6"/>
      </w:numPr>
      <w:spacing w:after="160"/>
    </w:pPr>
    <w:rPr>
      <w:rFonts w:ascii="Arial" w:hAnsi="Arial"/>
      <w:b/>
      <w:bCs/>
      <w:color w:val="323232"/>
      <w:sz w:val="20"/>
      <w:szCs w:val="20"/>
    </w:rPr>
  </w:style>
  <w:style w:type="paragraph" w:customStyle="1" w:styleId="Captionfigure">
    <w:name w:val="Caption figure"/>
    <w:basedOn w:val="Caption"/>
    <w:semiHidden/>
    <w:qFormat/>
    <w:rsid w:val="00E8152A"/>
    <w:pPr>
      <w:keepNext/>
      <w:numPr>
        <w:numId w:val="8"/>
      </w:numPr>
    </w:pPr>
    <w:rPr>
      <w:rFonts w:cs="Arial"/>
    </w:rPr>
  </w:style>
  <w:style w:type="paragraph" w:customStyle="1" w:styleId="GridTable31">
    <w:name w:val="Grid Table 31"/>
    <w:basedOn w:val="Normal"/>
    <w:semiHidden/>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character" w:customStyle="1" w:styleId="Heading1Char">
    <w:name w:val="Heading 1 Char"/>
    <w:basedOn w:val="DefaultParagraphFont"/>
    <w:link w:val="Heading1"/>
    <w:rsid w:val="006C1631"/>
    <w:rPr>
      <w:rFonts w:ascii="Arial" w:hAnsi="Arial" w:cs="Arial"/>
      <w:bCs/>
      <w:color w:val="323232"/>
      <w:kern w:val="32"/>
      <w:sz w:val="53"/>
      <w:szCs w:val="32"/>
    </w:rPr>
  </w:style>
  <w:style w:type="character" w:customStyle="1" w:styleId="Heading2Char">
    <w:name w:val="Heading 2 Char"/>
    <w:basedOn w:val="DefaultParagraphFont"/>
    <w:link w:val="Heading2"/>
    <w:rsid w:val="00800CCD"/>
    <w:rPr>
      <w:rFonts w:ascii="Arial" w:hAnsi="Arial" w:cs="Arial"/>
      <w:b/>
      <w:bCs/>
      <w:iCs/>
      <w:sz w:val="28"/>
      <w:szCs w:val="28"/>
    </w:rPr>
  </w:style>
  <w:style w:type="character" w:styleId="UnresolvedMention">
    <w:name w:val="Unresolved Mention"/>
    <w:basedOn w:val="DefaultParagraphFont"/>
    <w:uiPriority w:val="99"/>
    <w:semiHidden/>
    <w:unhideWhenUsed/>
    <w:rsid w:val="006B52DE"/>
    <w:rPr>
      <w:color w:val="605E5C"/>
      <w:shd w:val="clear" w:color="auto" w:fill="E1DFDD"/>
    </w:rPr>
  </w:style>
  <w:style w:type="character" w:customStyle="1" w:styleId="Heading3Char">
    <w:name w:val="Heading 3 Char"/>
    <w:basedOn w:val="DefaultParagraphFont"/>
    <w:link w:val="Heading3"/>
    <w:uiPriority w:val="2"/>
    <w:rsid w:val="00800CCD"/>
    <w:rPr>
      <w:rFonts w:ascii="Arial" w:hAnsi="Arial" w:cs="Arial"/>
      <w:b/>
      <w:bCs/>
      <w:sz w:val="20"/>
      <w:szCs w:val="26"/>
    </w:rPr>
  </w:style>
  <w:style w:type="paragraph" w:customStyle="1" w:styleId="Paragraph">
    <w:name w:val="Paragraph"/>
    <w:basedOn w:val="Normal"/>
    <w:qFormat/>
    <w:rsid w:val="00A824E8"/>
    <w:rPr>
      <w:rFonts w:cs="Arial"/>
    </w:rPr>
  </w:style>
  <w:style w:type="paragraph" w:customStyle="1" w:styleId="Bulletlevel2">
    <w:name w:val="Bullet level 2"/>
    <w:basedOn w:val="ListBullet2"/>
    <w:uiPriority w:val="7"/>
    <w:qFormat/>
    <w:rsid w:val="00A824E8"/>
    <w:rPr>
      <w:rFonts w:cs="Arial"/>
    </w:rPr>
  </w:style>
  <w:style w:type="paragraph" w:customStyle="1" w:styleId="Bulletlevel1last">
    <w:name w:val="Bullet level 1 last"/>
    <w:basedOn w:val="ListBulletLast"/>
    <w:uiPriority w:val="6"/>
    <w:qFormat/>
    <w:rsid w:val="00A824E8"/>
  </w:style>
  <w:style w:type="paragraph" w:customStyle="1" w:styleId="Numberlistlevel2">
    <w:name w:val="Number list level 2"/>
    <w:basedOn w:val="ListNumber2"/>
    <w:uiPriority w:val="11"/>
    <w:qFormat/>
    <w:rsid w:val="004A70D6"/>
  </w:style>
  <w:style w:type="paragraph" w:customStyle="1" w:styleId="Numberlistlast">
    <w:name w:val="Number list last"/>
    <w:basedOn w:val="ListNumberLast"/>
    <w:uiPriority w:val="10"/>
    <w:qFormat/>
    <w:rsid w:val="004A70D6"/>
  </w:style>
  <w:style w:type="paragraph" w:customStyle="1" w:styleId="Numberlistlevel2last">
    <w:name w:val="Number list level 2 last"/>
    <w:basedOn w:val="Numberlistlevel2"/>
    <w:uiPriority w:val="12"/>
    <w:qFormat/>
    <w:rsid w:val="004A70D6"/>
    <w:pPr>
      <w:spacing w:after="240"/>
    </w:pPr>
  </w:style>
  <w:style w:type="paragraph" w:customStyle="1" w:styleId="Bulletlevel2last">
    <w:name w:val="Bullet level 2 last"/>
    <w:basedOn w:val="Bulletlevel2"/>
    <w:uiPriority w:val="8"/>
    <w:qFormat/>
    <w:rsid w:val="004A70D6"/>
    <w:pPr>
      <w:spacing w:after="240"/>
    </w:pPr>
  </w:style>
  <w:style w:type="table" w:customStyle="1" w:styleId="ACMAtablestyle">
    <w:name w:val="ACMA table style"/>
    <w:basedOn w:val="TableNormal"/>
    <w:uiPriority w:val="99"/>
    <w:rsid w:val="0063346D"/>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rFonts w:ascii="Arial" w:hAnsi="Arial"/>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paragraph" w:customStyle="1" w:styleId="Tableheading">
    <w:name w:val="Table heading"/>
    <w:basedOn w:val="ACMATableHeader"/>
    <w:uiPriority w:val="13"/>
    <w:qFormat/>
    <w:rsid w:val="0063346D"/>
    <w:pPr>
      <w:keepNext/>
      <w:spacing w:line="240" w:lineRule="atLeast"/>
    </w:pPr>
  </w:style>
  <w:style w:type="paragraph" w:customStyle="1" w:styleId="Tableorfigurenote">
    <w:name w:val="Table or figure note"/>
    <w:basedOn w:val="ACMANotes"/>
    <w:uiPriority w:val="17"/>
    <w:qFormat/>
    <w:rsid w:val="00930510"/>
    <w:pPr>
      <w:spacing w:after="240"/>
    </w:pPr>
  </w:style>
  <w:style w:type="paragraph" w:customStyle="1" w:styleId="Figureheading">
    <w:name w:val="Figure heading"/>
    <w:basedOn w:val="ACMAFigureHeader"/>
    <w:uiPriority w:val="16"/>
    <w:qFormat/>
    <w:rsid w:val="0063346D"/>
    <w:pPr>
      <w:keepNext/>
      <w:spacing w:line="240" w:lineRule="atLeast"/>
    </w:pPr>
  </w:style>
  <w:style w:type="paragraph" w:customStyle="1" w:styleId="Tableorfigurenotemultiple">
    <w:name w:val="Table or figure note multiple"/>
    <w:basedOn w:val="Tableorfigurenote"/>
    <w:uiPriority w:val="18"/>
    <w:qFormat/>
    <w:rsid w:val="00930510"/>
    <w:pPr>
      <w:spacing w:after="80"/>
    </w:pPr>
  </w:style>
  <w:style w:type="paragraph" w:customStyle="1" w:styleId="Protectivemarking">
    <w:name w:val="Protective marking"/>
    <w:basedOn w:val="Normal"/>
    <w:uiPriority w:val="99"/>
    <w:qFormat/>
    <w:rsid w:val="007E3375"/>
    <w:pPr>
      <w:tabs>
        <w:tab w:val="left" w:pos="720"/>
      </w:tabs>
      <w:spacing w:after="0" w:line="240" w:lineRule="auto"/>
      <w:jc w:val="center"/>
    </w:pPr>
    <w:rPr>
      <w:rFonts w:cs="Arial"/>
      <w:b/>
      <w:bCs/>
      <w:color w:val="FF0000"/>
      <w:sz w:val="32"/>
      <w:lang w:eastAsia="en-US"/>
    </w:rPr>
  </w:style>
  <w:style w:type="character" w:customStyle="1" w:styleId="FootnoteTextChar">
    <w:name w:val="Footnote Text Char"/>
    <w:aliases w:val="Footnote text Char,ACMA Footnote Text Char,ABA Footnote Text Char,footnote text Char,Footnote Text Char Char Char,Footnote Text Char1 Char Char Char,Footnote Text Char Char Char Char Char,Footnote Text Char1 Char Char Char Char Char"/>
    <w:basedOn w:val="DefaultParagraphFont"/>
    <w:link w:val="FootnoteText"/>
    <w:rsid w:val="00F97BF9"/>
    <w:rPr>
      <w:rFonts w:ascii="Arial" w:hAnsi="Arial"/>
      <w:sz w:val="16"/>
      <w:szCs w:val="16"/>
    </w:rPr>
  </w:style>
  <w:style w:type="paragraph" w:styleId="ListParagraph">
    <w:name w:val="List Paragraph"/>
    <w:basedOn w:val="Normal"/>
    <w:semiHidden/>
    <w:rsid w:val="00F97BF9"/>
    <w:pPr>
      <w:ind w:left="720"/>
      <w:contextualSpacing/>
    </w:pPr>
  </w:style>
  <w:style w:type="paragraph" w:customStyle="1" w:styleId="hr">
    <w:name w:val="hr"/>
    <w:basedOn w:val="Normal"/>
    <w:rsid w:val="00031CCA"/>
    <w:pPr>
      <w:spacing w:before="100" w:beforeAutospacing="1" w:after="100" w:afterAutospacing="1" w:line="240" w:lineRule="auto"/>
    </w:pPr>
    <w:rPr>
      <w:rFonts w:ascii="Times New Roman" w:hAnsi="Times New Roman"/>
      <w:sz w:val="24"/>
    </w:rPr>
  </w:style>
  <w:style w:type="paragraph" w:customStyle="1" w:styleId="p1">
    <w:name w:val="p1"/>
    <w:basedOn w:val="Normal"/>
    <w:rsid w:val="00031CCA"/>
    <w:pPr>
      <w:spacing w:before="100" w:beforeAutospacing="1" w:after="100" w:afterAutospacing="1" w:line="240" w:lineRule="auto"/>
    </w:pPr>
    <w:rPr>
      <w:rFonts w:ascii="Times New Roman" w:hAnsi="Times New Roman"/>
      <w:sz w:val="24"/>
    </w:rPr>
  </w:style>
  <w:style w:type="paragraph" w:customStyle="1" w:styleId="p2">
    <w:name w:val="p2"/>
    <w:basedOn w:val="Normal"/>
    <w:rsid w:val="00031CCA"/>
    <w:pPr>
      <w:spacing w:before="100" w:beforeAutospacing="1" w:after="100" w:afterAutospacing="1" w:line="240" w:lineRule="auto"/>
    </w:pPr>
    <w:rPr>
      <w:rFonts w:ascii="Times New Roman" w:hAnsi="Times New Roman"/>
      <w:sz w:val="24"/>
    </w:rPr>
  </w:style>
  <w:style w:type="paragraph" w:customStyle="1" w:styleId="zr1">
    <w:name w:val="zr1"/>
    <w:basedOn w:val="Normal"/>
    <w:rsid w:val="00031CCA"/>
    <w:pPr>
      <w:spacing w:before="100" w:beforeAutospacing="1" w:after="100" w:afterAutospacing="1" w:line="240" w:lineRule="auto"/>
    </w:pPr>
    <w:rPr>
      <w:rFonts w:ascii="Times New Roman" w:hAnsi="Times New Roman"/>
      <w:sz w:val="24"/>
    </w:rPr>
  </w:style>
  <w:style w:type="paragraph" w:customStyle="1" w:styleId="zp1">
    <w:name w:val="zp1"/>
    <w:basedOn w:val="Normal"/>
    <w:rsid w:val="00031CCA"/>
    <w:pPr>
      <w:spacing w:before="100" w:beforeAutospacing="1" w:after="100" w:afterAutospacing="1" w:line="240" w:lineRule="auto"/>
    </w:pPr>
    <w:rPr>
      <w:rFonts w:ascii="Times New Roman" w:hAnsi="Times New Roman"/>
      <w:sz w:val="24"/>
    </w:rPr>
  </w:style>
  <w:style w:type="paragraph" w:customStyle="1" w:styleId="note">
    <w:name w:val="note"/>
    <w:basedOn w:val="Normal"/>
    <w:rsid w:val="00031CCA"/>
    <w:pPr>
      <w:spacing w:before="100" w:beforeAutospacing="1" w:after="100" w:afterAutospacing="1" w:line="240" w:lineRule="auto"/>
    </w:pPr>
    <w:rPr>
      <w:rFonts w:ascii="Times New Roman" w:hAnsi="Times New Roman"/>
      <w:sz w:val="24"/>
    </w:rPr>
  </w:style>
  <w:style w:type="paragraph" w:customStyle="1" w:styleId="r2">
    <w:name w:val="r2"/>
    <w:basedOn w:val="Normal"/>
    <w:rsid w:val="00031CCA"/>
    <w:pPr>
      <w:spacing w:before="100" w:beforeAutospacing="1" w:after="100" w:afterAutospacing="1" w:line="240" w:lineRule="auto"/>
    </w:pPr>
    <w:rPr>
      <w:rFonts w:ascii="Times New Roman" w:hAnsi="Times New Roman"/>
      <w:sz w:val="24"/>
    </w:rPr>
  </w:style>
  <w:style w:type="paragraph" w:customStyle="1" w:styleId="zdefinition">
    <w:name w:val="zdefinition"/>
    <w:basedOn w:val="Normal"/>
    <w:rsid w:val="00031CCA"/>
    <w:pPr>
      <w:spacing w:before="100" w:beforeAutospacing="1" w:after="100" w:afterAutospacing="1" w:line="240" w:lineRule="auto"/>
    </w:pPr>
    <w:rPr>
      <w:rFonts w:ascii="Times New Roman" w:hAnsi="Times New Roman"/>
      <w:sz w:val="24"/>
    </w:rPr>
  </w:style>
  <w:style w:type="paragraph" w:customStyle="1" w:styleId="definition0">
    <w:name w:val="definition0"/>
    <w:basedOn w:val="Normal"/>
    <w:rsid w:val="00031CCA"/>
    <w:pPr>
      <w:spacing w:before="100" w:beforeAutospacing="1" w:after="100" w:afterAutospacing="1" w:line="240" w:lineRule="auto"/>
    </w:pPr>
    <w:rPr>
      <w:rFonts w:ascii="Times New Roman" w:hAnsi="Times New Roman"/>
      <w:sz w:val="24"/>
    </w:rPr>
  </w:style>
  <w:style w:type="paragraph" w:customStyle="1" w:styleId="pagebreak">
    <w:name w:val="pagebreak"/>
    <w:basedOn w:val="Normal"/>
    <w:rsid w:val="00031CCA"/>
    <w:pPr>
      <w:spacing w:before="100" w:beforeAutospacing="1" w:after="100" w:afterAutospacing="1" w:line="240" w:lineRule="auto"/>
    </w:pPr>
    <w:rPr>
      <w:rFonts w:ascii="Times New Roman" w:hAnsi="Times New Roman"/>
      <w:sz w:val="24"/>
    </w:rPr>
  </w:style>
  <w:style w:type="paragraph" w:customStyle="1" w:styleId="Bodysubheader0">
    <w:name w:val="Body sub header"/>
    <w:basedOn w:val="Normal"/>
    <w:next w:val="Normal"/>
    <w:rsid w:val="00031CCA"/>
    <w:pPr>
      <w:spacing w:after="0"/>
    </w:pPr>
    <w:rPr>
      <w:b/>
      <w:i/>
    </w:rPr>
  </w:style>
  <w:style w:type="paragraph" w:styleId="Revision">
    <w:name w:val="Revision"/>
    <w:hidden/>
    <w:semiHidden/>
    <w:rsid w:val="00D96932"/>
    <w:rPr>
      <w:rFonts w:ascii="Arial" w:hAnsi="Arial"/>
      <w:sz w:val="20"/>
    </w:rPr>
  </w:style>
  <w:style w:type="paragraph" w:styleId="BalloonText">
    <w:name w:val="Balloon Text"/>
    <w:basedOn w:val="Normal"/>
    <w:link w:val="BalloonTextChar"/>
    <w:semiHidden/>
    <w:unhideWhenUsed/>
    <w:rsid w:val="00D96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96932"/>
    <w:rPr>
      <w:rFonts w:ascii="Segoe UI" w:hAnsi="Segoe UI" w:cs="Segoe UI"/>
      <w:sz w:val="18"/>
      <w:szCs w:val="18"/>
    </w:rPr>
  </w:style>
  <w:style w:type="paragraph" w:styleId="BodyTextIndent">
    <w:name w:val="Body Text Indent"/>
    <w:basedOn w:val="Normal"/>
    <w:link w:val="BodyTextIndentChar"/>
    <w:semiHidden/>
    <w:unhideWhenUsed/>
    <w:rsid w:val="00725094"/>
    <w:pPr>
      <w:widowControl w:val="0"/>
      <w:tabs>
        <w:tab w:val="left" w:pos="691"/>
        <w:tab w:val="left" w:pos="1400"/>
      </w:tabs>
      <w:snapToGrid w:val="0"/>
      <w:spacing w:after="0" w:line="240" w:lineRule="auto"/>
      <w:ind w:left="1400" w:hanging="709"/>
    </w:pPr>
    <w:rPr>
      <w:rFonts w:ascii="Times New Roman" w:hAnsi="Times New Roman"/>
      <w:b/>
      <w:sz w:val="24"/>
      <w:szCs w:val="20"/>
      <w:lang w:val="en-US" w:eastAsia="en-US"/>
    </w:rPr>
  </w:style>
  <w:style w:type="character" w:customStyle="1" w:styleId="BodyTextIndentChar">
    <w:name w:val="Body Text Indent Char"/>
    <w:basedOn w:val="DefaultParagraphFont"/>
    <w:link w:val="BodyTextIndent"/>
    <w:semiHidden/>
    <w:rsid w:val="00725094"/>
    <w:rPr>
      <w:b/>
      <w:szCs w:val="20"/>
      <w:lang w:val="en-US" w:eastAsia="en-US"/>
    </w:rPr>
  </w:style>
  <w:style w:type="paragraph" w:styleId="BodyTextIndent2">
    <w:name w:val="Body Text Indent 2"/>
    <w:basedOn w:val="Normal"/>
    <w:link w:val="BodyTextIndent2Char"/>
    <w:semiHidden/>
    <w:unhideWhenUsed/>
    <w:rsid w:val="003A6295"/>
    <w:pPr>
      <w:spacing w:after="120" w:line="480" w:lineRule="auto"/>
      <w:ind w:left="283"/>
    </w:pPr>
  </w:style>
  <w:style w:type="character" w:customStyle="1" w:styleId="BodyTextIndent2Char">
    <w:name w:val="Body Text Indent 2 Char"/>
    <w:basedOn w:val="DefaultParagraphFont"/>
    <w:link w:val="BodyTextIndent2"/>
    <w:semiHidden/>
    <w:rsid w:val="003A629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16696">
      <w:bodyDiv w:val="1"/>
      <w:marLeft w:val="0"/>
      <w:marRight w:val="0"/>
      <w:marTop w:val="0"/>
      <w:marBottom w:val="0"/>
      <w:divBdr>
        <w:top w:val="none" w:sz="0" w:space="0" w:color="auto"/>
        <w:left w:val="none" w:sz="0" w:space="0" w:color="auto"/>
        <w:bottom w:val="none" w:sz="0" w:space="0" w:color="auto"/>
        <w:right w:val="none" w:sz="0" w:space="0" w:color="auto"/>
      </w:divBdr>
    </w:div>
    <w:div w:id="576784553">
      <w:bodyDiv w:val="1"/>
      <w:marLeft w:val="0"/>
      <w:marRight w:val="0"/>
      <w:marTop w:val="0"/>
      <w:marBottom w:val="0"/>
      <w:divBdr>
        <w:top w:val="none" w:sz="0" w:space="0" w:color="auto"/>
        <w:left w:val="none" w:sz="0" w:space="0" w:color="auto"/>
        <w:bottom w:val="none" w:sz="0" w:space="0" w:color="auto"/>
        <w:right w:val="none" w:sz="0" w:space="0" w:color="auto"/>
      </w:divBdr>
    </w:div>
    <w:div w:id="879316759">
      <w:bodyDiv w:val="1"/>
      <w:marLeft w:val="0"/>
      <w:marRight w:val="0"/>
      <w:marTop w:val="0"/>
      <w:marBottom w:val="0"/>
      <w:divBdr>
        <w:top w:val="none" w:sz="0" w:space="0" w:color="auto"/>
        <w:left w:val="none" w:sz="0" w:space="0" w:color="auto"/>
        <w:bottom w:val="none" w:sz="0" w:space="0" w:color="auto"/>
        <w:right w:val="none" w:sz="0" w:space="0" w:color="auto"/>
      </w:divBdr>
    </w:div>
    <w:div w:id="1409771268">
      <w:bodyDiv w:val="1"/>
      <w:marLeft w:val="0"/>
      <w:marRight w:val="0"/>
      <w:marTop w:val="0"/>
      <w:marBottom w:val="0"/>
      <w:divBdr>
        <w:top w:val="none" w:sz="0" w:space="0" w:color="auto"/>
        <w:left w:val="none" w:sz="0" w:space="0" w:color="auto"/>
        <w:bottom w:val="none" w:sz="0" w:space="0" w:color="auto"/>
        <w:right w:val="none" w:sz="0" w:space="0" w:color="auto"/>
      </w:divBdr>
    </w:div>
    <w:div w:id="1566910818">
      <w:bodyDiv w:val="1"/>
      <w:marLeft w:val="0"/>
      <w:marRight w:val="0"/>
      <w:marTop w:val="0"/>
      <w:marBottom w:val="0"/>
      <w:divBdr>
        <w:top w:val="none" w:sz="0" w:space="0" w:color="auto"/>
        <w:left w:val="none" w:sz="0" w:space="0" w:color="auto"/>
        <w:bottom w:val="none" w:sz="0" w:space="0" w:color="auto"/>
        <w:right w:val="none" w:sz="0" w:space="0" w:color="auto"/>
      </w:divBdr>
    </w:div>
    <w:div w:id="19259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 TargetMode="External"/><Relationship Id="rId18" Type="http://schemas.openxmlformats.org/officeDocument/2006/relationships/footer" Target="footer3.xml"/><Relationship Id="rId26" Type="http://schemas.openxmlformats.org/officeDocument/2006/relationships/hyperlink" Target="https://www.legislation.gov.au/Details/C2018C00336" TargetMode="External"/><Relationship Id="rId39" Type="http://schemas.openxmlformats.org/officeDocument/2006/relationships/hyperlink" Target="https://www.acma.gov.au/low-power-open-narrowcasting-licences"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austlii.edu.au/cgi-bin/viewdoc/au/cases/cth/AATA/2020/2102.html?context=1;query=W%20&amp;%20A%20Willmington%20Pty%20Ltd%20;mask_path=au/cases/cth/AATA" TargetMode="External"/><Relationship Id="rId42" Type="http://schemas.openxmlformats.org/officeDocument/2006/relationships/hyperlink" Target="https://www.acma.gov.au/subscribe-our-newsletters" TargetMode="External"/><Relationship Id="rId47" Type="http://schemas.openxmlformats.org/officeDocument/2006/relationships/hyperlink" Target="https://www.legislation.gov.au/Details/F2017C01145" TargetMode="External"/><Relationship Id="rId50"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s://www.legislation.gov.au/Details/C2017C00201" TargetMode="External"/><Relationship Id="rId33" Type="http://schemas.openxmlformats.org/officeDocument/2006/relationships/hyperlink" Target="http://www.austlii.edu.au/cgi-bin/viewdoc/au/cases/cth/AATA/2020/987.html" TargetMode="External"/><Relationship Id="rId38" Type="http://schemas.openxmlformats.org/officeDocument/2006/relationships/image" Target="media/image5.jpg"/><Relationship Id="rId46" Type="http://schemas.openxmlformats.org/officeDocument/2006/relationships/hyperlink" Target="mailto:info@acma.gov.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www.acma.gov.au/low-power-open-narrowcasting-licences" TargetMode="External"/><Relationship Id="rId41" Type="http://schemas.openxmlformats.org/officeDocument/2006/relationships/hyperlink" Target="http://www.austlii.edu.au/cgi-bin/viewdoc/au/cases/cth/AATA/2020/987.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reativecommons.org/l/by/3.0/88x31.png" TargetMode="External"/><Relationship Id="rId24" Type="http://schemas.openxmlformats.org/officeDocument/2006/relationships/image" Target="media/image4.png"/><Relationship Id="rId32" Type="http://schemas.openxmlformats.org/officeDocument/2006/relationships/hyperlink" Target="https://www.legislation.gov.au/Details/C2017C00201" TargetMode="External"/><Relationship Id="rId37" Type="http://schemas.openxmlformats.org/officeDocument/2006/relationships/hyperlink" Target="http://www.austlii.edu.au/cgi-bin/viewdoc/au/cases/cth/AATA/2020/2102.html?context=1;query=W%20&amp;%20A%20Willmington%20Pty%20Ltd%20;mask_path=au/cases/cth/AATA" TargetMode="External"/><Relationship Id="rId40" Type="http://schemas.openxmlformats.org/officeDocument/2006/relationships/hyperlink" Target="http://www.austlii.edu.au/cgi-bin/viewdoc/au/cases/cth/AATA/2020/2102.html?context=1;query=W%20&amp;%20A%20Willmington%20Pty%20Ltd%20;mask_path=au/cases/cth/AATA" TargetMode="External"/><Relationship Id="rId45" Type="http://schemas.openxmlformats.org/officeDocument/2006/relationships/hyperlink" Target="http://www.youtube.com/user/acmadotgov"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s://www.legislation.gov.au/Details/F2017C01145" TargetMode="External"/><Relationship Id="rId36" Type="http://schemas.openxmlformats.org/officeDocument/2006/relationships/hyperlink" Target="http://www.austlii.edu.au/cgi-bin/viewdoc/au/cases/cth/AATA/2020/987.html" TargetMode="External"/><Relationship Id="rId49"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s://www.legislation.gov.au/Details/F2006B00135" TargetMode="External"/><Relationship Id="rId44" Type="http://schemas.openxmlformats.org/officeDocument/2006/relationships/hyperlink" Target="http://www.facebook.com/acmadotgov" TargetMode="Externa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cma.gov.au" TargetMode="External"/><Relationship Id="rId22" Type="http://schemas.openxmlformats.org/officeDocument/2006/relationships/footer" Target="footer5.xml"/><Relationship Id="rId27" Type="http://schemas.openxmlformats.org/officeDocument/2006/relationships/hyperlink" Target="https://www.legislation.gov.au/Details/F2006B00135" TargetMode="External"/><Relationship Id="rId30" Type="http://schemas.openxmlformats.org/officeDocument/2006/relationships/hyperlink" Target="https://www.legislation.gov.au/Details/F2017C01145" TargetMode="External"/><Relationship Id="rId35" Type="http://schemas.openxmlformats.org/officeDocument/2006/relationships/hyperlink" Target="http://www.austlii.edu.au/cgi-bin/viewdoc/au/cases/cth/AATA/2020/2102.html?context=1;query=W%20&amp;%20A%20Willmington%20Pty%20Ltd%20;mask_path=au/cases/cth/AATA" TargetMode="External"/><Relationship Id="rId43" Type="http://schemas.openxmlformats.org/officeDocument/2006/relationships/hyperlink" Target="http://www.twitter.com/acmadotgov" TargetMode="External"/><Relationship Id="rId48" Type="http://schemas.openxmlformats.org/officeDocument/2006/relationships/hyperlink" Target="https://www.legislation.gov.au/Details/F2006B00135" TargetMode="External"/><Relationship Id="rId8" Type="http://schemas.openxmlformats.org/officeDocument/2006/relationships/header" Target="header1.xml"/><Relationship Id="rId51" Type="http://schemas.openxmlformats.org/officeDocument/2006/relationships/footer" Target="footer7.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acma.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au/Details/F2017C01145" TargetMode="External"/><Relationship Id="rId3" Type="http://schemas.openxmlformats.org/officeDocument/2006/relationships/hyperlink" Target="https://www.legislation.gov.au/Details/F2017C01145" TargetMode="External"/><Relationship Id="rId7" Type="http://schemas.openxmlformats.org/officeDocument/2006/relationships/hyperlink" Target="http://www.austlii.edu.au/cgi-bin/viewdoc/au/cases/cth/AATA/2020/987.html" TargetMode="External"/><Relationship Id="rId2" Type="http://schemas.openxmlformats.org/officeDocument/2006/relationships/hyperlink" Target="https://www.legislation.gov.au/Details/F2017C01145" TargetMode="External"/><Relationship Id="rId1" Type="http://schemas.openxmlformats.org/officeDocument/2006/relationships/hyperlink" Target="https://www.legislation.gov.au/Details/F2006B00135" TargetMode="External"/><Relationship Id="rId6" Type="http://schemas.openxmlformats.org/officeDocument/2006/relationships/hyperlink" Target="http://www.austlii.edu.au/cgi-bin/viewdoc/au/cases/cth/AATA/2020/2102.html?context=1;query=W%20&amp;%20A%20Willmington%20Pty%20Ltd%20;mask_path=au/cases/cth/AATA" TargetMode="External"/><Relationship Id="rId5" Type="http://schemas.openxmlformats.org/officeDocument/2006/relationships/hyperlink" Target="http://www.austlii.edu.au/cgi-bin/viewdoc/au/cases/cth/AATA/2020/987.html" TargetMode="External"/><Relationship Id="rId4" Type="http://schemas.openxmlformats.org/officeDocument/2006/relationships/hyperlink" Target="http://www.austlii.edu.au/cgi-bin/viewdoc/au/cases/cth/AATA/2020/98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CMA-System\Templates\ACMA\ACMA%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829E-AAC3-4692-856E-471AD155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ACMA Report</Template>
  <TotalTime>0</TotalTime>
  <Pages>17</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La Galle</dc:creator>
  <cp:keywords/>
  <dc:description/>
  <cp:lastModifiedBy>Melissa Moroney</cp:lastModifiedBy>
  <cp:revision>2</cp:revision>
  <dcterms:created xsi:type="dcterms:W3CDTF">2020-09-25T07:01:00Z</dcterms:created>
  <dcterms:modified xsi:type="dcterms:W3CDTF">2020-09-25T07:01:00Z</dcterms:modified>
  <cp:category/>
</cp:coreProperties>
</file>