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E" w:rsidRPr="00C05E82" w:rsidRDefault="00C4213E" w:rsidP="00C4213E">
      <w:pPr>
        <w:jc w:val="right"/>
        <w:rPr>
          <w:b/>
          <w:i/>
        </w:rPr>
      </w:pPr>
      <w:r>
        <w:rPr>
          <w:b/>
          <w:i/>
        </w:rPr>
        <w:t>И</w:t>
      </w:r>
      <w:r w:rsidRPr="00C05E82">
        <w:rPr>
          <w:b/>
          <w:i/>
        </w:rPr>
        <w:t xml:space="preserve">. </w:t>
      </w:r>
      <w:r>
        <w:rPr>
          <w:b/>
          <w:i/>
        </w:rPr>
        <w:t>О</w:t>
      </w:r>
      <w:r w:rsidRPr="00C05E82">
        <w:rPr>
          <w:b/>
          <w:i/>
        </w:rPr>
        <w:t xml:space="preserve">. </w:t>
      </w:r>
      <w:r>
        <w:rPr>
          <w:b/>
          <w:i/>
        </w:rPr>
        <w:t>Фамилия</w:t>
      </w:r>
      <w:r w:rsidRPr="00C05E82">
        <w:rPr>
          <w:b/>
          <w:i/>
        </w:rPr>
        <w:t xml:space="preserve">, </w:t>
      </w:r>
      <w:r>
        <w:rPr>
          <w:b/>
          <w:i/>
        </w:rPr>
        <w:t>И</w:t>
      </w:r>
      <w:r w:rsidRPr="00C05E82">
        <w:rPr>
          <w:b/>
          <w:i/>
        </w:rPr>
        <w:t xml:space="preserve">. </w:t>
      </w:r>
      <w:r>
        <w:rPr>
          <w:b/>
          <w:i/>
        </w:rPr>
        <w:t>О</w:t>
      </w:r>
      <w:r w:rsidRPr="00C05E82">
        <w:rPr>
          <w:b/>
          <w:i/>
        </w:rPr>
        <w:t xml:space="preserve">. </w:t>
      </w:r>
      <w:r>
        <w:rPr>
          <w:b/>
          <w:i/>
        </w:rPr>
        <w:t>Фамилия**</w:t>
      </w:r>
    </w:p>
    <w:p w:rsidR="00C4213E" w:rsidRDefault="00C4213E" w:rsidP="00C4213E">
      <w:pPr>
        <w:jc w:val="right"/>
        <w:rPr>
          <w:i/>
          <w:sz w:val="24"/>
        </w:rPr>
      </w:pPr>
      <w:r>
        <w:rPr>
          <w:i/>
          <w:sz w:val="24"/>
        </w:rPr>
        <w:t>*Название организации первого автора, город, страна</w:t>
      </w:r>
    </w:p>
    <w:p w:rsidR="00C4213E" w:rsidRDefault="00C4213E" w:rsidP="00C4213E">
      <w:pPr>
        <w:jc w:val="right"/>
        <w:rPr>
          <w:i/>
          <w:sz w:val="24"/>
        </w:rPr>
      </w:pPr>
      <w:r>
        <w:rPr>
          <w:i/>
          <w:sz w:val="24"/>
        </w:rPr>
        <w:t xml:space="preserve">**Название организации второго автора, город, страна </w:t>
      </w:r>
    </w:p>
    <w:p w:rsidR="00C4213E" w:rsidRDefault="00C4213E" w:rsidP="00BD24A3">
      <w:pPr>
        <w:jc w:val="center"/>
        <w:rPr>
          <w:b/>
          <w:caps/>
        </w:rPr>
      </w:pPr>
    </w:p>
    <w:p w:rsidR="00BD24A3" w:rsidRPr="009305E6" w:rsidRDefault="009305E6" w:rsidP="00BD24A3">
      <w:pPr>
        <w:jc w:val="center"/>
        <w:rPr>
          <w:b/>
          <w:caps/>
        </w:rPr>
      </w:pPr>
      <w:r w:rsidRPr="009305E6">
        <w:rPr>
          <w:b/>
          <w:caps/>
        </w:rPr>
        <w:t>Название статьи</w:t>
      </w:r>
    </w:p>
    <w:p w:rsidR="00BD24A3" w:rsidRDefault="00BD24A3" w:rsidP="00BD24A3"/>
    <w:p w:rsidR="00996C71" w:rsidRPr="00C4213E" w:rsidRDefault="00996C71" w:rsidP="00996C71">
      <w:pPr>
        <w:ind w:firstLine="708"/>
        <w:rPr>
          <w:i/>
        </w:rPr>
      </w:pPr>
      <w:r w:rsidRPr="00C4213E">
        <w:rPr>
          <w:i/>
        </w:rPr>
        <w:t xml:space="preserve">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p>
    <w:p w:rsidR="00996C71" w:rsidRDefault="00996C71" w:rsidP="00996C71">
      <w:pPr>
        <w:ind w:firstLine="708"/>
      </w:pPr>
    </w:p>
    <w:p w:rsidR="00BD24A3" w:rsidRPr="00C4213E" w:rsidRDefault="00BD24A3" w:rsidP="00BD24A3">
      <w:pPr>
        <w:ind w:firstLine="708"/>
        <w:rPr>
          <w:i/>
        </w:rPr>
      </w:pPr>
      <w:r w:rsidRPr="00C4213E">
        <w:rPr>
          <w:b/>
          <w:i/>
        </w:rPr>
        <w:t>Ключевые слова:</w:t>
      </w:r>
      <w:r w:rsidRPr="00C4213E">
        <w:rPr>
          <w:i/>
        </w:rPr>
        <w:t xml:space="preserve"> </w:t>
      </w:r>
      <w:r w:rsidR="00996C71" w:rsidRPr="00C4213E">
        <w:rPr>
          <w:i/>
        </w:rPr>
        <w:t>слово, слово, слово, слово, слово.</w:t>
      </w:r>
    </w:p>
    <w:p w:rsidR="00BD24A3" w:rsidRDefault="00BD24A3" w:rsidP="00BD24A3"/>
    <w:p w:rsidR="00996C71" w:rsidRDefault="00996C71" w:rsidP="00996C71">
      <w:pPr>
        <w:ind w:firstLine="708"/>
      </w:pPr>
      <w:r>
        <w:t xml:space="preserve">Текст статьи. Текст статьи. </w:t>
      </w:r>
      <w:r w:rsidRPr="001A39F0">
        <w:t>[4]</w:t>
      </w:r>
      <w: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996C71">
        <w:t>[20].</w:t>
      </w:r>
      <w: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BD24A3">
        <w:rPr>
          <w:rStyle w:val="a7"/>
        </w:rPr>
        <w:footnoteReference w:id="2"/>
      </w:r>
      <w:r w:rsidR="00BD24A3">
        <w:t xml:space="preserve">. </w:t>
      </w:r>
      <w:r>
        <w:t>Текст статьи</w:t>
      </w:r>
      <w:r w:rsidR="00BD24A3">
        <w:rPr>
          <w:rStyle w:val="a7"/>
        </w:rPr>
        <w:footnoteReference w:id="3"/>
      </w:r>
      <w:r>
        <w:t>. Текст статьи</w:t>
      </w:r>
      <w:r w:rsidRPr="00996C71">
        <w:t xml:space="preserve"> [180].</w:t>
      </w:r>
      <w: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1A39F0">
        <w:t xml:space="preserve"> [14]</w:t>
      </w:r>
      <w: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996C71" w:rsidRDefault="00996C71" w:rsidP="00996C71">
      <w:pPr>
        <w:ind w:firstLine="708"/>
      </w:pPr>
    </w:p>
    <w:p w:rsidR="00BD24A3" w:rsidRDefault="00BD24A3" w:rsidP="00BD24A3">
      <w:pPr>
        <w:tabs>
          <w:tab w:val="left" w:pos="7230"/>
        </w:tabs>
        <w:jc w:val="center"/>
      </w:pPr>
      <w:r>
        <w:t xml:space="preserve">                                    </w:t>
      </w:r>
      <m:oMath>
        <m:r>
          <w:rPr>
            <w:rFonts w:ascii="Cambria Math" w:hAnsi="Cambria Math"/>
          </w:rPr>
          <m:t>КЖС=</m:t>
        </m:r>
        <m:sSub>
          <m:sSubPr>
            <m:ctrlPr>
              <w:rPr>
                <w:rFonts w:ascii="Cambria Math" w:hAnsi="Cambria Math"/>
                <w:i/>
              </w:rPr>
            </m:ctrlPr>
          </m:sSubPr>
          <m:e>
            <m:r>
              <w:rPr>
                <w:rFonts w:ascii="Cambria Math" w:hAnsi="Cambria Math"/>
              </w:rPr>
              <m:t>П</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3</m:t>
            </m:r>
          </m:sub>
        </m:sSub>
      </m:oMath>
      <w:r>
        <w:tab/>
        <w:t>(1)</w:t>
      </w:r>
    </w:p>
    <w:p w:rsidR="00BD24A3" w:rsidRDefault="00BD24A3" w:rsidP="00BD24A3">
      <w:pPr>
        <w:tabs>
          <w:tab w:val="left" w:pos="7230"/>
        </w:tabs>
      </w:pPr>
    </w:p>
    <w:p w:rsidR="00BD24A3" w:rsidRDefault="00996C71" w:rsidP="00BD24A3">
      <w:pPr>
        <w:ind w:firstLine="708"/>
      </w:pPr>
      <w:r>
        <w:t>Текст статьи.</w:t>
      </w:r>
      <w:r w:rsidR="00BD24A3">
        <w:t xml:space="preserve"> </w:t>
      </w:r>
      <w: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996C71" w:rsidRDefault="00996C71" w:rsidP="00BD24A3">
      <w:pPr>
        <w:ind w:firstLine="708"/>
      </w:pPr>
    </w:p>
    <w:p w:rsidR="00996C71" w:rsidRPr="00996C71" w:rsidRDefault="00BD24A3" w:rsidP="00996C71">
      <w:pPr>
        <w:jc w:val="right"/>
        <w:rPr>
          <w:i/>
        </w:rPr>
      </w:pPr>
      <w:r w:rsidRPr="00996C71">
        <w:rPr>
          <w:i/>
        </w:rPr>
        <w:t>Таблица 1. </w:t>
      </w:r>
    </w:p>
    <w:p w:rsidR="00BD24A3" w:rsidRPr="00996C71" w:rsidRDefault="00996C71" w:rsidP="00996C71">
      <w:pPr>
        <w:jc w:val="center"/>
      </w:pPr>
      <w:r>
        <w:rPr>
          <w:b/>
        </w:rPr>
        <w:t>Название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2701"/>
        <w:gridCol w:w="3932"/>
      </w:tblGrid>
      <w:tr w:rsidR="006628FE" w:rsidRPr="0074093B" w:rsidTr="00E45080">
        <w:trPr>
          <w:trHeight w:val="545"/>
          <w:tblHeader/>
        </w:trPr>
        <w:tc>
          <w:tcPr>
            <w:tcW w:w="2870" w:type="dxa"/>
            <w:tcBorders>
              <w:top w:val="single" w:sz="4" w:space="0" w:color="auto"/>
              <w:left w:val="single" w:sz="4" w:space="0" w:color="auto"/>
              <w:bottom w:val="single" w:sz="4" w:space="0" w:color="auto"/>
              <w:right w:val="single" w:sz="4" w:space="0" w:color="auto"/>
            </w:tcBorders>
          </w:tcPr>
          <w:p w:rsidR="006628FE" w:rsidRPr="00945310" w:rsidRDefault="006628FE" w:rsidP="00E45080">
            <w:pPr>
              <w:jc w:val="center"/>
              <w:rPr>
                <w:szCs w:val="28"/>
                <w:lang w:eastAsia="en-US"/>
              </w:rPr>
            </w:pPr>
            <w:r w:rsidRPr="00945310">
              <w:rPr>
                <w:szCs w:val="28"/>
                <w:lang w:eastAsia="en-US"/>
              </w:rPr>
              <w:t>Факторы экономического роста</w:t>
            </w:r>
          </w:p>
        </w:tc>
        <w:tc>
          <w:tcPr>
            <w:tcW w:w="2701" w:type="dxa"/>
            <w:tcBorders>
              <w:top w:val="single" w:sz="4" w:space="0" w:color="auto"/>
              <w:left w:val="single" w:sz="4" w:space="0" w:color="auto"/>
              <w:bottom w:val="single" w:sz="4" w:space="0" w:color="auto"/>
              <w:right w:val="single" w:sz="4" w:space="0" w:color="auto"/>
            </w:tcBorders>
          </w:tcPr>
          <w:p w:rsidR="006628FE" w:rsidRPr="00945310" w:rsidRDefault="006628FE" w:rsidP="00E45080">
            <w:pPr>
              <w:jc w:val="center"/>
              <w:rPr>
                <w:szCs w:val="28"/>
                <w:lang w:eastAsia="en-US"/>
              </w:rPr>
            </w:pPr>
            <w:r w:rsidRPr="00945310">
              <w:rPr>
                <w:szCs w:val="28"/>
                <w:lang w:eastAsia="en-US"/>
              </w:rPr>
              <w:t>Вид фактора</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E45080">
            <w:pPr>
              <w:jc w:val="center"/>
              <w:rPr>
                <w:szCs w:val="28"/>
                <w:lang w:eastAsia="en-US"/>
              </w:rPr>
            </w:pPr>
            <w:r w:rsidRPr="00945310">
              <w:rPr>
                <w:szCs w:val="28"/>
                <w:lang w:eastAsia="en-US"/>
              </w:rPr>
              <w:t>Показатели экономического роста</w:t>
            </w:r>
          </w:p>
        </w:tc>
      </w:tr>
      <w:tr w:rsidR="006628FE" w:rsidRPr="0074093B" w:rsidTr="00E45080">
        <w:trPr>
          <w:trHeight w:val="400"/>
          <w:tblHeader/>
        </w:trPr>
        <w:tc>
          <w:tcPr>
            <w:tcW w:w="2870"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Внутренние</w:t>
            </w: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Прямые</w:t>
            </w:r>
          </w:p>
        </w:tc>
        <w:tc>
          <w:tcPr>
            <w:tcW w:w="4175" w:type="dxa"/>
            <w:vMerge w:val="restart"/>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4"/>
              </w:numPr>
              <w:spacing w:line="240" w:lineRule="auto"/>
              <w:ind w:left="275" w:hanging="275"/>
              <w:jc w:val="left"/>
            </w:pPr>
            <w:r w:rsidRPr="00945310">
              <w:t>Количество занятых сотрудников</w:t>
            </w:r>
          </w:p>
          <w:p w:rsidR="006628FE" w:rsidRPr="00945310" w:rsidRDefault="006628FE" w:rsidP="006628FE">
            <w:pPr>
              <w:pStyle w:val="a4"/>
              <w:numPr>
                <w:ilvl w:val="0"/>
                <w:numId w:val="4"/>
              </w:numPr>
              <w:spacing w:line="240" w:lineRule="auto"/>
              <w:ind w:left="275" w:hanging="275"/>
              <w:jc w:val="left"/>
            </w:pPr>
            <w:r w:rsidRPr="00945310">
              <w:t>Уровень квалификации кадров</w:t>
            </w:r>
          </w:p>
          <w:p w:rsidR="006628FE" w:rsidRPr="00945310" w:rsidRDefault="006628FE" w:rsidP="006628FE">
            <w:pPr>
              <w:pStyle w:val="a4"/>
              <w:numPr>
                <w:ilvl w:val="0"/>
                <w:numId w:val="4"/>
              </w:numPr>
              <w:spacing w:line="240" w:lineRule="auto"/>
              <w:ind w:left="275" w:hanging="275"/>
              <w:jc w:val="left"/>
            </w:pPr>
            <w:r w:rsidRPr="00945310">
              <w:t>Производительность труда</w:t>
            </w:r>
          </w:p>
          <w:p w:rsidR="006628FE" w:rsidRPr="00945310" w:rsidRDefault="006628FE" w:rsidP="006628FE">
            <w:pPr>
              <w:pStyle w:val="a4"/>
              <w:numPr>
                <w:ilvl w:val="0"/>
                <w:numId w:val="4"/>
              </w:numPr>
              <w:spacing w:line="240" w:lineRule="auto"/>
              <w:ind w:left="275" w:hanging="275"/>
              <w:jc w:val="left"/>
            </w:pPr>
            <w:r w:rsidRPr="00945310">
              <w:t>Количество и состав основных фондов предприятия</w:t>
            </w:r>
          </w:p>
          <w:p w:rsidR="006628FE" w:rsidRPr="00945310" w:rsidRDefault="006628FE" w:rsidP="006628FE">
            <w:pPr>
              <w:pStyle w:val="a4"/>
              <w:numPr>
                <w:ilvl w:val="0"/>
                <w:numId w:val="4"/>
              </w:numPr>
              <w:spacing w:line="240" w:lineRule="auto"/>
              <w:ind w:left="275" w:hanging="275"/>
              <w:jc w:val="left"/>
            </w:pPr>
            <w:r w:rsidRPr="00945310">
              <w:t>Вложения в НИОКР</w:t>
            </w:r>
          </w:p>
        </w:tc>
      </w:tr>
      <w:tr w:rsidR="006628FE" w:rsidRPr="0074093B" w:rsidTr="00E45080">
        <w:trPr>
          <w:trHeight w:val="276"/>
          <w:tblHeader/>
        </w:trPr>
        <w:tc>
          <w:tcPr>
            <w:tcW w:w="2870" w:type="dxa"/>
            <w:vMerge w:val="restart"/>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Факторы предложения</w:t>
            </w:r>
          </w:p>
        </w:tc>
        <w:tc>
          <w:tcPr>
            <w:tcW w:w="2701"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r w:rsidRPr="0074093B">
              <w:rPr>
                <w:szCs w:val="28"/>
                <w:lang w:eastAsia="en-US"/>
              </w:rPr>
              <w:t>Количество и качество основных факторов производства</w:t>
            </w:r>
          </w:p>
        </w:tc>
        <w:tc>
          <w:tcPr>
            <w:tcW w:w="4175" w:type="dxa"/>
            <w:vMerge/>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p>
        </w:tc>
      </w:tr>
      <w:tr w:rsidR="006628FE" w:rsidRPr="0074093B" w:rsidTr="00E45080">
        <w:trPr>
          <w:trHeight w:val="276"/>
          <w:tblHeader/>
        </w:trPr>
        <w:tc>
          <w:tcPr>
            <w:tcW w:w="2870" w:type="dxa"/>
            <w:vMerge/>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p>
        </w:tc>
        <w:tc>
          <w:tcPr>
            <w:tcW w:w="2701"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r w:rsidRPr="0074093B">
              <w:rPr>
                <w:szCs w:val="28"/>
                <w:lang w:eastAsia="en-US"/>
              </w:rPr>
              <w:t>Объем производительного капитала</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5"/>
              </w:numPr>
              <w:spacing w:line="240" w:lineRule="auto"/>
              <w:ind w:left="275" w:hanging="275"/>
              <w:jc w:val="left"/>
            </w:pPr>
            <w:r w:rsidRPr="00945310">
              <w:t>Количество и качество капитала</w:t>
            </w:r>
          </w:p>
          <w:p w:rsidR="006628FE" w:rsidRPr="00945310" w:rsidRDefault="006628FE" w:rsidP="006628FE">
            <w:pPr>
              <w:pStyle w:val="a4"/>
              <w:numPr>
                <w:ilvl w:val="0"/>
                <w:numId w:val="5"/>
              </w:numPr>
              <w:spacing w:line="240" w:lineRule="auto"/>
              <w:ind w:left="275" w:hanging="275"/>
              <w:jc w:val="left"/>
            </w:pPr>
            <w:r w:rsidRPr="00945310">
              <w:t>Закрепленные права собственности предприятия на определенные виды ресурсов</w:t>
            </w:r>
          </w:p>
          <w:p w:rsidR="006628FE" w:rsidRPr="00945310" w:rsidRDefault="006628FE" w:rsidP="006628FE">
            <w:pPr>
              <w:pStyle w:val="a4"/>
              <w:numPr>
                <w:ilvl w:val="0"/>
                <w:numId w:val="5"/>
              </w:numPr>
              <w:spacing w:line="240" w:lineRule="auto"/>
              <w:ind w:left="275" w:hanging="275"/>
              <w:jc w:val="left"/>
            </w:pPr>
            <w:r w:rsidRPr="00945310">
              <w:t>Объем инвестиций</w:t>
            </w:r>
          </w:p>
        </w:tc>
      </w:tr>
      <w:tr w:rsidR="006628FE" w:rsidRPr="0074093B" w:rsidTr="00E45080">
        <w:trPr>
          <w:trHeight w:val="276"/>
          <w:tblHeader/>
        </w:trPr>
        <w:tc>
          <w:tcPr>
            <w:tcW w:w="2870" w:type="dxa"/>
            <w:vMerge w:val="restart"/>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Факторы спроса</w:t>
            </w: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Косвенные</w:t>
            </w:r>
          </w:p>
        </w:tc>
        <w:tc>
          <w:tcPr>
            <w:tcW w:w="4175" w:type="dxa"/>
            <w:vMerge w:val="restart"/>
            <w:tcBorders>
              <w:top w:val="single" w:sz="4" w:space="0" w:color="auto"/>
              <w:left w:val="single" w:sz="4" w:space="0" w:color="auto"/>
              <w:bottom w:val="single" w:sz="4" w:space="0" w:color="auto"/>
              <w:right w:val="single" w:sz="4" w:space="0" w:color="auto"/>
            </w:tcBorders>
          </w:tcPr>
          <w:p w:rsidR="006628FE" w:rsidRPr="0074093B" w:rsidRDefault="006628FE" w:rsidP="006628FE">
            <w:pPr>
              <w:pStyle w:val="a4"/>
              <w:numPr>
                <w:ilvl w:val="0"/>
                <w:numId w:val="6"/>
              </w:numPr>
              <w:spacing w:line="240" w:lineRule="auto"/>
              <w:ind w:left="275" w:hanging="275"/>
              <w:jc w:val="left"/>
            </w:pPr>
            <w:r w:rsidRPr="00945310">
              <w:t>Цена на продукцию корпорации</w:t>
            </w:r>
          </w:p>
        </w:tc>
      </w:tr>
      <w:tr w:rsidR="006628FE" w:rsidRPr="0074093B" w:rsidTr="00E45080">
        <w:trPr>
          <w:trHeight w:val="276"/>
          <w:tblHeader/>
        </w:trPr>
        <w:tc>
          <w:tcPr>
            <w:tcW w:w="2870" w:type="dxa"/>
            <w:vMerge/>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Ценовые факторы</w:t>
            </w:r>
          </w:p>
        </w:tc>
        <w:tc>
          <w:tcPr>
            <w:tcW w:w="4175" w:type="dxa"/>
            <w:vMerge/>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p>
        </w:tc>
      </w:tr>
      <w:tr w:rsidR="006628FE" w:rsidRPr="0074093B" w:rsidTr="00E45080">
        <w:trPr>
          <w:trHeight w:val="276"/>
          <w:tblHeader/>
        </w:trPr>
        <w:tc>
          <w:tcPr>
            <w:tcW w:w="2870" w:type="dxa"/>
            <w:vMerge/>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Неценовые факторы</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r w:rsidRPr="00945310">
              <w:t>Число потребителей продукции</w:t>
            </w:r>
          </w:p>
          <w:p w:rsidR="006628FE" w:rsidRPr="00945310" w:rsidRDefault="006628FE" w:rsidP="006628FE">
            <w:pPr>
              <w:pStyle w:val="a4"/>
              <w:numPr>
                <w:ilvl w:val="0"/>
                <w:numId w:val="6"/>
              </w:numPr>
              <w:spacing w:line="240" w:lineRule="auto"/>
              <w:ind w:left="275" w:hanging="284"/>
              <w:jc w:val="left"/>
            </w:pPr>
            <w:r w:rsidRPr="00945310">
              <w:t>Ожидания потребителей</w:t>
            </w:r>
          </w:p>
          <w:p w:rsidR="006628FE" w:rsidRPr="00945310" w:rsidRDefault="006628FE" w:rsidP="006628FE">
            <w:pPr>
              <w:pStyle w:val="a4"/>
              <w:numPr>
                <w:ilvl w:val="0"/>
                <w:numId w:val="6"/>
              </w:numPr>
              <w:spacing w:line="240" w:lineRule="auto"/>
              <w:ind w:left="275" w:hanging="284"/>
              <w:jc w:val="left"/>
            </w:pPr>
            <w:r w:rsidRPr="00945310">
              <w:t>Качество продукции</w:t>
            </w:r>
          </w:p>
          <w:p w:rsidR="006628FE" w:rsidRPr="00945310" w:rsidRDefault="006628FE" w:rsidP="006628FE">
            <w:pPr>
              <w:pStyle w:val="a4"/>
              <w:numPr>
                <w:ilvl w:val="0"/>
                <w:numId w:val="6"/>
              </w:numPr>
              <w:spacing w:line="240" w:lineRule="auto"/>
              <w:ind w:left="275" w:hanging="284"/>
              <w:jc w:val="left"/>
            </w:pPr>
            <w:r w:rsidRPr="00945310">
              <w:t>Стимулирование спроса</w:t>
            </w:r>
          </w:p>
        </w:tc>
      </w:tr>
      <w:tr w:rsidR="006628FE" w:rsidRPr="0074093B" w:rsidTr="00E45080">
        <w:trPr>
          <w:trHeight w:val="276"/>
          <w:tblHeader/>
        </w:trPr>
        <w:tc>
          <w:tcPr>
            <w:tcW w:w="2870" w:type="dxa"/>
            <w:vMerge w:val="restart"/>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Факторы распределения</w:t>
            </w: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Вовлеченность ресурсов</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r w:rsidRPr="00945310">
              <w:t>Объем имеющихся запасов ресурсов</w:t>
            </w:r>
          </w:p>
          <w:p w:rsidR="006628FE" w:rsidRPr="00945310" w:rsidRDefault="006628FE" w:rsidP="006628FE">
            <w:pPr>
              <w:pStyle w:val="a4"/>
              <w:numPr>
                <w:ilvl w:val="0"/>
                <w:numId w:val="6"/>
              </w:numPr>
              <w:spacing w:line="240" w:lineRule="auto"/>
              <w:ind w:left="275" w:hanging="284"/>
              <w:jc w:val="left"/>
            </w:pPr>
            <w:r w:rsidRPr="00945310">
              <w:t>Права на разведку и разработку новых месторождений</w:t>
            </w:r>
          </w:p>
          <w:p w:rsidR="006628FE" w:rsidRPr="00945310" w:rsidRDefault="006628FE" w:rsidP="006628FE">
            <w:pPr>
              <w:pStyle w:val="a4"/>
              <w:numPr>
                <w:ilvl w:val="0"/>
                <w:numId w:val="6"/>
              </w:numPr>
              <w:spacing w:line="240" w:lineRule="auto"/>
              <w:ind w:left="275" w:hanging="284"/>
              <w:jc w:val="left"/>
            </w:pPr>
            <w:r w:rsidRPr="00945310">
              <w:t>Уровень загрузки технологической цепочки</w:t>
            </w:r>
          </w:p>
        </w:tc>
      </w:tr>
      <w:tr w:rsidR="006628FE" w:rsidRPr="0074093B" w:rsidTr="00E45080">
        <w:trPr>
          <w:trHeight w:val="276"/>
          <w:tblHeader/>
        </w:trPr>
        <w:tc>
          <w:tcPr>
            <w:tcW w:w="2870" w:type="dxa"/>
            <w:vMerge/>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p>
        </w:tc>
        <w:tc>
          <w:tcPr>
            <w:tcW w:w="2701"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b/>
                <w:szCs w:val="28"/>
                <w:lang w:eastAsia="en-US"/>
              </w:rPr>
            </w:pPr>
            <w:r w:rsidRPr="0074093B">
              <w:rPr>
                <w:szCs w:val="28"/>
                <w:lang w:eastAsia="en-US"/>
              </w:rPr>
              <w:t>Рациональное распределение ресурсов</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r w:rsidRPr="00945310">
              <w:t>Уровень используемых технологий</w:t>
            </w:r>
          </w:p>
          <w:p w:rsidR="006628FE" w:rsidRPr="00945310" w:rsidRDefault="006628FE" w:rsidP="006628FE">
            <w:pPr>
              <w:pStyle w:val="a4"/>
              <w:numPr>
                <w:ilvl w:val="0"/>
                <w:numId w:val="6"/>
              </w:numPr>
              <w:spacing w:line="240" w:lineRule="auto"/>
              <w:ind w:left="275" w:hanging="284"/>
              <w:jc w:val="left"/>
            </w:pPr>
            <w:r w:rsidRPr="00945310">
              <w:t>Монополизация добычи и переработки</w:t>
            </w:r>
          </w:p>
          <w:p w:rsidR="006628FE" w:rsidRPr="00945310" w:rsidRDefault="006628FE" w:rsidP="006628FE">
            <w:pPr>
              <w:pStyle w:val="a4"/>
              <w:numPr>
                <w:ilvl w:val="0"/>
                <w:numId w:val="6"/>
              </w:numPr>
              <w:spacing w:line="240" w:lineRule="auto"/>
              <w:ind w:left="275" w:hanging="284"/>
              <w:jc w:val="left"/>
            </w:pPr>
            <w:r w:rsidRPr="00945310">
              <w:t>Совершенствование механизмов совершения трансакций на рынке</w:t>
            </w:r>
          </w:p>
        </w:tc>
      </w:tr>
      <w:tr w:rsidR="006628FE" w:rsidRPr="0074093B" w:rsidTr="00E45080">
        <w:trPr>
          <w:trHeight w:val="1424"/>
          <w:tblHeader/>
        </w:trPr>
        <w:tc>
          <w:tcPr>
            <w:tcW w:w="2870"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Институциональные факторы</w:t>
            </w: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Эффективность внутреннего функционирования</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r w:rsidRPr="00945310">
              <w:t>Эффективность контрактных отношений</w:t>
            </w:r>
          </w:p>
          <w:p w:rsidR="006628FE" w:rsidRPr="00945310" w:rsidRDefault="006628FE" w:rsidP="006628FE">
            <w:pPr>
              <w:pStyle w:val="a4"/>
              <w:numPr>
                <w:ilvl w:val="0"/>
                <w:numId w:val="6"/>
              </w:numPr>
              <w:spacing w:line="240" w:lineRule="auto"/>
              <w:ind w:left="275" w:hanging="284"/>
              <w:jc w:val="left"/>
            </w:pPr>
            <w:r w:rsidRPr="00945310">
              <w:t>Уровень и качество менеджмента</w:t>
            </w:r>
          </w:p>
          <w:p w:rsidR="006628FE" w:rsidRPr="00945310" w:rsidRDefault="006628FE" w:rsidP="006628FE">
            <w:pPr>
              <w:pStyle w:val="a4"/>
              <w:numPr>
                <w:ilvl w:val="0"/>
                <w:numId w:val="6"/>
              </w:numPr>
              <w:spacing w:line="240" w:lineRule="auto"/>
              <w:ind w:left="275" w:hanging="284"/>
              <w:jc w:val="left"/>
            </w:pPr>
            <w:r w:rsidRPr="00945310">
              <w:t>Мотивация персонала</w:t>
            </w:r>
          </w:p>
          <w:p w:rsidR="006628FE" w:rsidRPr="00945310" w:rsidRDefault="006628FE" w:rsidP="006628FE">
            <w:pPr>
              <w:pStyle w:val="a4"/>
              <w:numPr>
                <w:ilvl w:val="0"/>
                <w:numId w:val="6"/>
              </w:numPr>
              <w:spacing w:line="240" w:lineRule="auto"/>
              <w:ind w:left="275" w:hanging="284"/>
              <w:jc w:val="left"/>
            </w:pPr>
            <w:r w:rsidRPr="00945310">
              <w:t>Культура производства</w:t>
            </w:r>
          </w:p>
          <w:p w:rsidR="006628FE" w:rsidRPr="00945310" w:rsidRDefault="006628FE" w:rsidP="006628FE">
            <w:pPr>
              <w:pStyle w:val="a4"/>
              <w:numPr>
                <w:ilvl w:val="0"/>
                <w:numId w:val="6"/>
              </w:numPr>
              <w:spacing w:line="240" w:lineRule="auto"/>
              <w:ind w:left="275" w:hanging="284"/>
              <w:jc w:val="left"/>
            </w:pPr>
            <w:r w:rsidRPr="00945310">
              <w:t>Уровень энергоэффективности ресурсов</w:t>
            </w:r>
          </w:p>
          <w:p w:rsidR="006628FE" w:rsidRPr="00945310" w:rsidRDefault="006628FE" w:rsidP="006628FE">
            <w:pPr>
              <w:pStyle w:val="a4"/>
              <w:numPr>
                <w:ilvl w:val="0"/>
                <w:numId w:val="6"/>
              </w:numPr>
              <w:spacing w:line="240" w:lineRule="auto"/>
              <w:ind w:left="275" w:hanging="284"/>
              <w:jc w:val="left"/>
            </w:pPr>
            <w:r w:rsidRPr="00945310">
              <w:t>Уровень энергосбережения ресурсов</w:t>
            </w:r>
          </w:p>
        </w:tc>
      </w:tr>
      <w:tr w:rsidR="006628FE" w:rsidRPr="0074093B" w:rsidTr="00E45080">
        <w:trPr>
          <w:trHeight w:val="331"/>
          <w:tblHeader/>
        </w:trPr>
        <w:tc>
          <w:tcPr>
            <w:tcW w:w="2870"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Внешние факторы</w:t>
            </w:r>
          </w:p>
        </w:tc>
        <w:tc>
          <w:tcPr>
            <w:tcW w:w="2701" w:type="dxa"/>
            <w:tcBorders>
              <w:top w:val="single" w:sz="4" w:space="0" w:color="auto"/>
              <w:left w:val="single" w:sz="4" w:space="0" w:color="auto"/>
              <w:bottom w:val="single" w:sz="4" w:space="0" w:color="auto"/>
              <w:right w:val="single" w:sz="4" w:space="0" w:color="auto"/>
            </w:tcBorders>
          </w:tcPr>
          <w:p w:rsidR="006628FE" w:rsidRPr="00216878" w:rsidRDefault="006628FE" w:rsidP="00E45080">
            <w:pPr>
              <w:rPr>
                <w:szCs w:val="28"/>
                <w:lang w:eastAsia="en-US"/>
              </w:rPr>
            </w:pPr>
            <w:r w:rsidRPr="00216878">
              <w:rPr>
                <w:szCs w:val="28"/>
                <w:lang w:eastAsia="en-US"/>
              </w:rPr>
              <w:t>Косвенные</w:t>
            </w:r>
          </w:p>
        </w:tc>
        <w:tc>
          <w:tcPr>
            <w:tcW w:w="4175" w:type="dxa"/>
            <w:vMerge w:val="restart"/>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r w:rsidRPr="00945310">
              <w:t xml:space="preserve">Уровень налоговой </w:t>
            </w:r>
            <w:r w:rsidRPr="00945310">
              <w:lastRenderedPageBreak/>
              <w:t>нагрузки</w:t>
            </w:r>
          </w:p>
          <w:p w:rsidR="006628FE" w:rsidRPr="00945310" w:rsidRDefault="006628FE" w:rsidP="006628FE">
            <w:pPr>
              <w:pStyle w:val="a4"/>
              <w:numPr>
                <w:ilvl w:val="0"/>
                <w:numId w:val="6"/>
              </w:numPr>
              <w:spacing w:line="240" w:lineRule="auto"/>
              <w:ind w:left="275" w:hanging="284"/>
              <w:jc w:val="left"/>
            </w:pPr>
            <w:r w:rsidRPr="00945310">
              <w:t>Законодательство и государственная политика</w:t>
            </w:r>
          </w:p>
          <w:p w:rsidR="006628FE" w:rsidRPr="00945310" w:rsidRDefault="006628FE" w:rsidP="006628FE">
            <w:pPr>
              <w:pStyle w:val="a4"/>
              <w:numPr>
                <w:ilvl w:val="0"/>
                <w:numId w:val="6"/>
              </w:numPr>
              <w:spacing w:line="240" w:lineRule="auto"/>
              <w:ind w:left="275" w:hanging="284"/>
              <w:jc w:val="left"/>
            </w:pPr>
            <w:r w:rsidRPr="00945310">
              <w:t>Уровень развития системы образования и науки</w:t>
            </w:r>
          </w:p>
          <w:p w:rsidR="006628FE" w:rsidRPr="00945310" w:rsidRDefault="006628FE" w:rsidP="006628FE">
            <w:pPr>
              <w:pStyle w:val="a4"/>
              <w:numPr>
                <w:ilvl w:val="0"/>
                <w:numId w:val="6"/>
              </w:numPr>
              <w:spacing w:line="240" w:lineRule="auto"/>
              <w:ind w:left="275" w:hanging="284"/>
              <w:jc w:val="left"/>
            </w:pPr>
            <w:r w:rsidRPr="00945310">
              <w:t>Система ценностей общества</w:t>
            </w:r>
          </w:p>
          <w:p w:rsidR="006628FE" w:rsidRPr="00945310" w:rsidRDefault="006628FE" w:rsidP="006628FE">
            <w:pPr>
              <w:pStyle w:val="a4"/>
              <w:numPr>
                <w:ilvl w:val="0"/>
                <w:numId w:val="6"/>
              </w:numPr>
              <w:spacing w:line="240" w:lineRule="auto"/>
              <w:ind w:left="275" w:hanging="284"/>
              <w:jc w:val="left"/>
            </w:pPr>
            <w:r w:rsidRPr="00945310">
              <w:t>Уровень культуры в обществе</w:t>
            </w:r>
          </w:p>
        </w:tc>
      </w:tr>
      <w:tr w:rsidR="006628FE" w:rsidRPr="0074093B" w:rsidTr="00E45080">
        <w:trPr>
          <w:trHeight w:val="798"/>
          <w:tblHeader/>
        </w:trPr>
        <w:tc>
          <w:tcPr>
            <w:tcW w:w="2870"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r w:rsidRPr="0074093B">
              <w:rPr>
                <w:szCs w:val="28"/>
                <w:lang w:eastAsia="en-US"/>
              </w:rPr>
              <w:lastRenderedPageBreak/>
              <w:t>Институциональные</w:t>
            </w:r>
          </w:p>
        </w:tc>
        <w:tc>
          <w:tcPr>
            <w:tcW w:w="2701"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r w:rsidRPr="0074093B">
              <w:rPr>
                <w:szCs w:val="28"/>
                <w:lang w:eastAsia="en-US"/>
              </w:rPr>
              <w:t>Эффективность институционального развития</w:t>
            </w:r>
          </w:p>
        </w:tc>
        <w:tc>
          <w:tcPr>
            <w:tcW w:w="4175" w:type="dxa"/>
            <w:vMerge/>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p>
        </w:tc>
      </w:tr>
      <w:tr w:rsidR="006628FE" w:rsidRPr="0074093B" w:rsidTr="00E45080">
        <w:trPr>
          <w:trHeight w:val="291"/>
          <w:tblHeader/>
        </w:trPr>
        <w:tc>
          <w:tcPr>
            <w:tcW w:w="2870"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r w:rsidRPr="0074093B">
              <w:rPr>
                <w:szCs w:val="28"/>
                <w:lang w:eastAsia="en-US"/>
              </w:rPr>
              <w:lastRenderedPageBreak/>
              <w:t>Факторы спроса</w:t>
            </w:r>
          </w:p>
        </w:tc>
        <w:tc>
          <w:tcPr>
            <w:tcW w:w="2701" w:type="dxa"/>
            <w:tcBorders>
              <w:top w:val="single" w:sz="4" w:space="0" w:color="auto"/>
              <w:left w:val="single" w:sz="4" w:space="0" w:color="auto"/>
              <w:bottom w:val="single" w:sz="4" w:space="0" w:color="auto"/>
              <w:right w:val="single" w:sz="4" w:space="0" w:color="auto"/>
            </w:tcBorders>
          </w:tcPr>
          <w:p w:rsidR="006628FE" w:rsidRPr="0074093B" w:rsidRDefault="006628FE" w:rsidP="00E45080">
            <w:pPr>
              <w:rPr>
                <w:szCs w:val="28"/>
                <w:lang w:eastAsia="en-US"/>
              </w:rPr>
            </w:pPr>
            <w:r w:rsidRPr="0074093B">
              <w:rPr>
                <w:szCs w:val="28"/>
                <w:lang w:eastAsia="en-US"/>
              </w:rPr>
              <w:t>Неценовые факторы спроса</w:t>
            </w:r>
          </w:p>
        </w:tc>
        <w:tc>
          <w:tcPr>
            <w:tcW w:w="4175" w:type="dxa"/>
            <w:tcBorders>
              <w:top w:val="single" w:sz="4" w:space="0" w:color="auto"/>
              <w:left w:val="single" w:sz="4" w:space="0" w:color="auto"/>
              <w:bottom w:val="single" w:sz="4" w:space="0" w:color="auto"/>
              <w:right w:val="single" w:sz="4" w:space="0" w:color="auto"/>
            </w:tcBorders>
          </w:tcPr>
          <w:p w:rsidR="006628FE" w:rsidRPr="00945310" w:rsidRDefault="006628FE" w:rsidP="006628FE">
            <w:pPr>
              <w:pStyle w:val="a4"/>
              <w:numPr>
                <w:ilvl w:val="0"/>
                <w:numId w:val="6"/>
              </w:numPr>
              <w:spacing w:line="240" w:lineRule="auto"/>
              <w:ind w:left="275" w:hanging="284"/>
              <w:jc w:val="left"/>
            </w:pPr>
            <w:r w:rsidRPr="00945310">
              <w:t>Цена на сопряженные товары и технологии</w:t>
            </w:r>
          </w:p>
          <w:p w:rsidR="006628FE" w:rsidRPr="00945310" w:rsidRDefault="006628FE" w:rsidP="006628FE">
            <w:pPr>
              <w:pStyle w:val="a4"/>
              <w:numPr>
                <w:ilvl w:val="0"/>
                <w:numId w:val="6"/>
              </w:numPr>
              <w:spacing w:line="240" w:lineRule="auto"/>
              <w:ind w:left="275" w:hanging="284"/>
              <w:jc w:val="left"/>
            </w:pPr>
            <w:r w:rsidRPr="00945310">
              <w:t>Уровень налогов и пошлин</w:t>
            </w:r>
          </w:p>
        </w:tc>
      </w:tr>
    </w:tbl>
    <w:p w:rsidR="00BD24A3" w:rsidRPr="00B779E6" w:rsidRDefault="00BD24A3" w:rsidP="00BD24A3"/>
    <w:p w:rsidR="00BD24A3" w:rsidRDefault="00996C71" w:rsidP="00996C71">
      <w:pPr>
        <w:ind w:firstLine="708"/>
      </w:pPr>
      <w: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BD24A3">
        <w:t>(рис</w:t>
      </w:r>
      <w:r w:rsidR="00FC6CB4">
        <w:t>унок 1</w:t>
      </w:r>
      <w:r w:rsidR="00BD24A3">
        <w:t>)</w:t>
      </w:r>
    </w:p>
    <w:p w:rsidR="00FC6CB4" w:rsidRDefault="00C4213E" w:rsidP="00C4213E">
      <w:pPr>
        <w:ind w:firstLine="708"/>
        <w:jc w:val="center"/>
      </w:pPr>
      <w:r>
        <w:rPr>
          <w:noProof/>
          <w:szCs w:val="28"/>
          <w:lang w:eastAsia="ru-RU"/>
        </w:rPr>
        <w:drawing>
          <wp:inline distT="0" distB="0" distL="0" distR="0">
            <wp:extent cx="5734050" cy="28670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24A3" w:rsidRDefault="00BD24A3" w:rsidP="00FE5129">
      <w:pPr>
        <w:jc w:val="center"/>
      </w:pPr>
    </w:p>
    <w:p w:rsidR="00FC6CB4" w:rsidRDefault="00FC6CB4" w:rsidP="00BD24A3">
      <w:pPr>
        <w:jc w:val="center"/>
        <w:rPr>
          <w:i/>
        </w:rPr>
      </w:pPr>
    </w:p>
    <w:p w:rsidR="00BD24A3" w:rsidRPr="00FC6CB4" w:rsidRDefault="00BD24A3" w:rsidP="00BD24A3">
      <w:pPr>
        <w:jc w:val="center"/>
        <w:rPr>
          <w:i/>
        </w:rPr>
      </w:pPr>
      <w:r w:rsidRPr="00FC6CB4">
        <w:rPr>
          <w:i/>
        </w:rPr>
        <w:t xml:space="preserve">Рис. 1. </w:t>
      </w:r>
      <w:r w:rsidR="00FC6CB4">
        <w:rPr>
          <w:i/>
        </w:rPr>
        <w:t>Название рисунка</w:t>
      </w:r>
    </w:p>
    <w:p w:rsidR="00BD24A3" w:rsidRDefault="00BD24A3" w:rsidP="00BD24A3"/>
    <w:p w:rsidR="00C4213E" w:rsidRDefault="00C4213E" w:rsidP="003D238F">
      <w:pPr>
        <w:ind w:firstLine="708"/>
      </w:pPr>
    </w:p>
    <w:p w:rsidR="00C4213E" w:rsidRDefault="00C4213E" w:rsidP="003D238F">
      <w:pPr>
        <w:ind w:firstLine="708"/>
      </w:pPr>
    </w:p>
    <w:p w:rsidR="00BD24A3" w:rsidRDefault="00C4213E" w:rsidP="003D238F">
      <w:pPr>
        <w:ind w:firstLine="708"/>
      </w:pPr>
      <w:r>
        <w:t>Т</w:t>
      </w:r>
      <w:r w:rsidR="00FC6CB4">
        <w:t xml:space="preserve">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FC6CB4">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FC6CB4" w:rsidRPr="00C06DCE" w:rsidRDefault="00FC6CB4" w:rsidP="00BD24A3"/>
    <w:p w:rsidR="00BD24A3" w:rsidRDefault="00BD24A3" w:rsidP="00BD24A3">
      <w:pPr>
        <w:ind w:left="708" w:firstLine="1"/>
        <w:rPr>
          <w:i/>
        </w:rPr>
      </w:pPr>
      <w:r w:rsidRPr="00825810">
        <w:rPr>
          <w:i/>
        </w:rPr>
        <w:t>Исследование выполнено за счет гранта Российского научного</w:t>
      </w:r>
      <w:r>
        <w:rPr>
          <w:i/>
        </w:rPr>
        <w:t xml:space="preserve"> </w:t>
      </w:r>
      <w:r w:rsidRPr="00825810">
        <w:rPr>
          <w:i/>
        </w:rPr>
        <w:t xml:space="preserve">фонда (проект №14-18-02508) </w:t>
      </w:r>
    </w:p>
    <w:p w:rsidR="00BD24A3" w:rsidRPr="000F6207" w:rsidRDefault="00BD24A3" w:rsidP="00BD24A3"/>
    <w:p w:rsidR="00BD24A3" w:rsidRDefault="00BD24A3" w:rsidP="00BD24A3">
      <w:pPr>
        <w:jc w:val="center"/>
        <w:rPr>
          <w:b/>
        </w:rPr>
      </w:pPr>
      <w:r w:rsidRPr="00C06DCE">
        <w:rPr>
          <w:b/>
        </w:rPr>
        <w:t>Список литературы</w:t>
      </w:r>
    </w:p>
    <w:p w:rsidR="00BD24A3" w:rsidRPr="00C06DCE" w:rsidRDefault="00BD24A3" w:rsidP="00BD24A3">
      <w:pPr>
        <w:jc w:val="center"/>
        <w:rPr>
          <w:b/>
        </w:rPr>
      </w:pPr>
    </w:p>
    <w:p w:rsidR="00BD24A3" w:rsidRPr="008A449C" w:rsidRDefault="00BD24A3" w:rsidP="00BD24A3">
      <w:pPr>
        <w:numPr>
          <w:ilvl w:val="0"/>
          <w:numId w:val="2"/>
        </w:numPr>
        <w:ind w:left="0" w:firstLine="360"/>
      </w:pPr>
      <w:r w:rsidRPr="008A449C">
        <w:t>Атюнина В.С. Образ успешного человека в семантическом пространстве личности: дис</w:t>
      </w:r>
      <w:r>
        <w:t>с.</w:t>
      </w:r>
      <w:r w:rsidRPr="008A449C">
        <w:t xml:space="preserve"> канд.психологических наук. Хабаровск, 2007</w:t>
      </w:r>
    </w:p>
    <w:p w:rsidR="00BD24A3" w:rsidRPr="008A449C" w:rsidRDefault="00BD24A3" w:rsidP="00BD24A3">
      <w:pPr>
        <w:numPr>
          <w:ilvl w:val="0"/>
          <w:numId w:val="2"/>
        </w:numPr>
        <w:ind w:left="0" w:firstLine="360"/>
      </w:pPr>
      <w:r w:rsidRPr="008A449C">
        <w:t>Шаповалов В.И. Формирование конкурентоспособной личности в усло-виях школьного дополнительного образования: Моногр. / Под науч. ред. Ю.С. Тюнникова. - Сочи: СГУТиКД, 2008. - 190 с.</w:t>
      </w:r>
    </w:p>
    <w:p w:rsidR="00BD24A3" w:rsidRPr="008A449C" w:rsidRDefault="00BD24A3" w:rsidP="00BD24A3">
      <w:pPr>
        <w:numPr>
          <w:ilvl w:val="0"/>
          <w:numId w:val="2"/>
        </w:numPr>
        <w:ind w:left="0" w:firstLine="360"/>
      </w:pPr>
      <w:r w:rsidRPr="008A449C">
        <w:t xml:space="preserve">Китова Д.А., Дышеков Б.Н. </w:t>
      </w:r>
      <w:r>
        <w:t>Ф</w:t>
      </w:r>
      <w:r w:rsidRPr="008A449C">
        <w:t>ормирование психологической готовности личности к легитимной предпринимательской деятельности // Психология в экономике и управлении 2011, № 1, С. 29-35</w:t>
      </w:r>
    </w:p>
    <w:p w:rsidR="00BD24A3" w:rsidRPr="008A449C" w:rsidRDefault="00BD24A3" w:rsidP="00BD24A3">
      <w:pPr>
        <w:numPr>
          <w:ilvl w:val="0"/>
          <w:numId w:val="2"/>
        </w:numPr>
        <w:ind w:left="0" w:firstLine="360"/>
      </w:pPr>
      <w:r w:rsidRPr="008A449C">
        <w:t>Т.В. Конюхова, Е.Т. Конюхова Изучение проблемы успеха и успешности личности в контексте междисциплинарного подхода // Известия Томского политехнического университета. 2009. Т. 314. № 6, 112-116</w:t>
      </w:r>
    </w:p>
    <w:p w:rsidR="00BD24A3" w:rsidRPr="008A449C" w:rsidRDefault="00BD24A3" w:rsidP="00BD24A3">
      <w:pPr>
        <w:numPr>
          <w:ilvl w:val="0"/>
          <w:numId w:val="2"/>
        </w:numPr>
        <w:ind w:left="0" w:firstLine="360"/>
      </w:pPr>
      <w:r w:rsidRPr="008A449C">
        <w:t>Березовская Т.П. Профессиональная успешность личности руководителя/ Т.П. Березовская//Научные труды Республиканского и психолого-педагогические науки: сб. науч. ст. В 2 ч. Ч.2. Вып. 6 (11) / под ред. В.Ф. Беркова. – Минск: РИВШ, 2008 – с.10-17</w:t>
      </w:r>
    </w:p>
    <w:p w:rsidR="00BD24A3" w:rsidRPr="008A449C" w:rsidRDefault="00BD24A3" w:rsidP="00BD24A3">
      <w:pPr>
        <w:numPr>
          <w:ilvl w:val="0"/>
          <w:numId w:val="2"/>
        </w:numPr>
        <w:ind w:left="0" w:firstLine="360"/>
      </w:pPr>
      <w:r w:rsidRPr="008A449C">
        <w:t>Сулакшин С. С. Теория и феноменология успешности сложной социальной системы. М.: Научный эксперт, 2013. 232 с.</w:t>
      </w:r>
    </w:p>
    <w:p w:rsidR="00BD24A3" w:rsidRPr="008A449C" w:rsidRDefault="00BD24A3" w:rsidP="00BD24A3">
      <w:pPr>
        <w:numPr>
          <w:ilvl w:val="0"/>
          <w:numId w:val="2"/>
        </w:numPr>
        <w:ind w:left="0" w:firstLine="360"/>
      </w:pPr>
      <w:r w:rsidRPr="008A449C">
        <w:t>Российская коррупция: уровень, структура, динамика : опыт социологического анализа / под ред. Г.А. Сатарова. — Москва : Фонд «Либеральная Миссия», 2013. — 752 с.</w:t>
      </w:r>
    </w:p>
    <w:p w:rsidR="00BD24A3" w:rsidRPr="008A449C" w:rsidRDefault="00BD24A3" w:rsidP="00BD24A3">
      <w:pPr>
        <w:numPr>
          <w:ilvl w:val="0"/>
          <w:numId w:val="2"/>
        </w:numPr>
        <w:ind w:left="0" w:firstLine="360"/>
        <w:rPr>
          <w:lang w:val="en-US"/>
        </w:rPr>
      </w:pPr>
      <w:r w:rsidRPr="008A449C">
        <w:rPr>
          <w:lang w:val="en-US"/>
        </w:rPr>
        <w:t>Romar, Edward J. Strategic Intent, Confucian Harmony and Firm Success // Acta Polytechnica Hungarica Vol. 6, No. 3, 2009 pp. 57-67</w:t>
      </w:r>
    </w:p>
    <w:p w:rsidR="00BD24A3" w:rsidRPr="008A449C" w:rsidRDefault="00BD24A3" w:rsidP="00BD24A3">
      <w:pPr>
        <w:numPr>
          <w:ilvl w:val="0"/>
          <w:numId w:val="2"/>
        </w:numPr>
        <w:ind w:left="0" w:firstLine="360"/>
        <w:rPr>
          <w:lang w:val="en-US"/>
        </w:rPr>
      </w:pPr>
      <w:r w:rsidRPr="008A449C">
        <w:rPr>
          <w:lang w:val="en-US"/>
        </w:rPr>
        <w:t>Roe, Mark J. Political Determinants of Corporate Governance Political Context, Corporate Impact // Clarendon Lectures in Management Studies, Oxford University Press, 2006, 244 pages</w:t>
      </w:r>
    </w:p>
    <w:p w:rsidR="00BD24A3" w:rsidRPr="008A449C" w:rsidRDefault="00BD24A3" w:rsidP="00BD24A3">
      <w:pPr>
        <w:numPr>
          <w:ilvl w:val="0"/>
          <w:numId w:val="2"/>
        </w:numPr>
        <w:ind w:left="0" w:firstLine="360"/>
        <w:rPr>
          <w:lang w:val="en-US"/>
        </w:rPr>
      </w:pPr>
      <w:r w:rsidRPr="008A449C">
        <w:rPr>
          <w:lang w:val="en-US"/>
        </w:rPr>
        <w:t>Baumol, William J., Robert E. Litan, Carl J. Schramm Good capitalism, bad capitalism, and the economics of growth and prosperity // Yale University Press, New Haven &amp; London, 2007, 334 p.</w:t>
      </w:r>
    </w:p>
    <w:p w:rsidR="00BD24A3" w:rsidRPr="008A449C" w:rsidRDefault="00BD24A3" w:rsidP="00BD24A3">
      <w:pPr>
        <w:numPr>
          <w:ilvl w:val="0"/>
          <w:numId w:val="2"/>
        </w:numPr>
        <w:ind w:left="0" w:firstLine="360"/>
        <w:rPr>
          <w:lang w:val="en-US"/>
        </w:rPr>
      </w:pPr>
      <w:r w:rsidRPr="008A449C">
        <w:rPr>
          <w:lang w:val="en-US"/>
        </w:rPr>
        <w:t>Bronsteen, John, Buccafu</w:t>
      </w:r>
      <w:bookmarkStart w:id="0" w:name="_GoBack"/>
      <w:bookmarkEnd w:id="0"/>
      <w:r w:rsidRPr="008A449C">
        <w:rPr>
          <w:lang w:val="en-US"/>
        </w:rPr>
        <w:t>sco, Christopher J. and Masur, Jonathan S., Well-Being Analysis vs. Cost-Benefit Analysis (January 20, 2012). 62 Duke Law Journal 1603 (2013); Chicago-Kent College of Law Research Paper No. 2013-05</w:t>
      </w:r>
    </w:p>
    <w:p w:rsidR="00BD24A3" w:rsidRPr="008A449C" w:rsidRDefault="00BD24A3" w:rsidP="00BD24A3">
      <w:pPr>
        <w:numPr>
          <w:ilvl w:val="0"/>
          <w:numId w:val="2"/>
        </w:numPr>
        <w:ind w:left="0" w:firstLine="360"/>
        <w:rPr>
          <w:lang w:val="en-US"/>
        </w:rPr>
      </w:pPr>
      <w:r w:rsidRPr="008A449C">
        <w:rPr>
          <w:lang w:val="en-US"/>
        </w:rPr>
        <w:lastRenderedPageBreak/>
        <w:t xml:space="preserve">Brown, Stephen, Fail better! Samuel Beckett's secrets of business and branding success  // Business Horizons, Volume 49, Issue 2, March–April 2006, Pages 161-169 </w:t>
      </w:r>
    </w:p>
    <w:p w:rsidR="00BD24A3" w:rsidRPr="008A449C" w:rsidRDefault="00BD24A3" w:rsidP="00BD24A3">
      <w:pPr>
        <w:numPr>
          <w:ilvl w:val="0"/>
          <w:numId w:val="2"/>
        </w:numPr>
        <w:ind w:left="0" w:firstLine="360"/>
        <w:rPr>
          <w:lang w:val="en-US"/>
        </w:rPr>
      </w:pPr>
      <w:r w:rsidRPr="008A449C">
        <w:t xml:space="preserve">Плетнёв Д.А. Концепция корпорации: опыт системно-институционального исследования: : монография : в 2 ч. Ч. 2 / Д. А. Плетнёв. </w:t>
      </w:r>
      <w:r w:rsidRPr="008A449C">
        <w:rPr>
          <w:lang w:val="en-US"/>
        </w:rPr>
        <w:t>Челябинск : Изд-во Челяб. гос. ун-та, 2013. 252 с.</w:t>
      </w:r>
    </w:p>
    <w:p w:rsidR="00BD24A3" w:rsidRPr="008A449C" w:rsidRDefault="00BD24A3" w:rsidP="00BD24A3">
      <w:pPr>
        <w:numPr>
          <w:ilvl w:val="0"/>
          <w:numId w:val="2"/>
        </w:numPr>
        <w:ind w:left="0" w:firstLine="360"/>
      </w:pPr>
      <w:r w:rsidRPr="008A449C">
        <w:t xml:space="preserve">Плетнёв Д.А. Критерий и показатели оценки устойчивости корпорации в русле системного подхода // Стратегии бизнеса (электронный научно-экономический журнал ISSN: 2311-7184), режим доступа: </w:t>
      </w:r>
      <w:hyperlink r:id="rId8" w:history="1">
        <w:r w:rsidRPr="00BD24A3">
          <w:rPr>
            <w:rStyle w:val="a3"/>
            <w:color w:val="auto"/>
            <w:u w:val="none"/>
          </w:rPr>
          <w:t>http://strategybusiness.ru/vlast-i-kontrol-v-kompanii/kriterij-i-pokazateli-oczenki-ustojchivosti-korporaczii-v-rusle-sistemnogo-podxoda.html</w:t>
        </w:r>
      </w:hyperlink>
      <w:r w:rsidRPr="008A449C">
        <w:t xml:space="preserve"> </w:t>
      </w:r>
    </w:p>
    <w:p w:rsidR="00BD24A3" w:rsidRDefault="00BD24A3" w:rsidP="00BD24A3"/>
    <w:p w:rsidR="00BD24A3" w:rsidRDefault="00BD24A3" w:rsidP="00BD24A3">
      <w:pPr>
        <w:jc w:val="center"/>
        <w:rPr>
          <w:b/>
        </w:rPr>
      </w:pPr>
      <w:r w:rsidRPr="00DD2195">
        <w:rPr>
          <w:b/>
        </w:rPr>
        <w:t>Сведения об авторах</w:t>
      </w:r>
    </w:p>
    <w:p w:rsidR="00BD24A3" w:rsidRDefault="00BD24A3" w:rsidP="00BD24A3">
      <w:pPr>
        <w:jc w:val="center"/>
        <w:rPr>
          <w:b/>
        </w:rPr>
      </w:pPr>
    </w:p>
    <w:p w:rsidR="00A93CBB" w:rsidRDefault="0024715F" w:rsidP="00A93CBB">
      <w:pPr>
        <w:pStyle w:val="a4"/>
        <w:numPr>
          <w:ilvl w:val="0"/>
          <w:numId w:val="7"/>
        </w:numPr>
        <w:spacing w:after="200" w:line="276" w:lineRule="auto"/>
        <w:jc w:val="left"/>
      </w:pPr>
      <w:r>
        <w:rPr>
          <w:b/>
        </w:rPr>
        <w:t>Фамилия Имя Отчество</w:t>
      </w:r>
      <w:r w:rsidR="00BD24A3">
        <w:rPr>
          <w:b/>
        </w:rPr>
        <w:t xml:space="preserve"> – </w:t>
      </w:r>
      <w:r w:rsidR="00BD24A3">
        <w:t>доктор экономических наук, профессор, директор Института экономики отраслей бизнеса и администрирования Челябинского государственного университета, Челябинск, Россия</w:t>
      </w:r>
      <w:r w:rsidR="00A93CBB">
        <w:t xml:space="preserve">, </w:t>
      </w:r>
      <w:r w:rsidR="00A93CBB">
        <w:rPr>
          <w:lang w:val="en-US"/>
        </w:rPr>
        <w:t>e</w:t>
      </w:r>
      <w:r w:rsidR="00A93CBB" w:rsidRPr="00620239">
        <w:t>-</w:t>
      </w:r>
      <w:r w:rsidR="00A93CBB">
        <w:rPr>
          <w:lang w:val="en-US"/>
        </w:rPr>
        <w:t>mail</w:t>
      </w:r>
      <w:r w:rsidR="00A93CBB" w:rsidRPr="00620239">
        <w:t>.</w:t>
      </w:r>
    </w:p>
    <w:p w:rsidR="00BD24A3" w:rsidRPr="0024715F" w:rsidRDefault="00BD24A3" w:rsidP="00BD24A3">
      <w:pPr>
        <w:ind w:firstLine="708"/>
      </w:pPr>
    </w:p>
    <w:p w:rsidR="00A93CBB" w:rsidRDefault="0024715F" w:rsidP="00A93CBB">
      <w:pPr>
        <w:pStyle w:val="a4"/>
        <w:numPr>
          <w:ilvl w:val="0"/>
          <w:numId w:val="7"/>
        </w:numPr>
        <w:spacing w:after="200" w:line="276" w:lineRule="auto"/>
        <w:jc w:val="left"/>
      </w:pPr>
      <w:r>
        <w:rPr>
          <w:b/>
        </w:rPr>
        <w:t>Фамилия Имя Отчество</w:t>
      </w:r>
      <w:r w:rsidR="00BD24A3">
        <w:t xml:space="preserve"> – кандидат экономических наук, доцент кафедры экономики отраслей и рынков Челябинского государственного у</w:t>
      </w:r>
      <w:r w:rsidR="00A93CBB">
        <w:t xml:space="preserve">ниверситета, Челябинск, Россия, </w:t>
      </w:r>
      <w:r w:rsidR="00A93CBB">
        <w:rPr>
          <w:lang w:val="en-US"/>
        </w:rPr>
        <w:t>e</w:t>
      </w:r>
      <w:r w:rsidR="00A93CBB" w:rsidRPr="00620239">
        <w:t>-</w:t>
      </w:r>
      <w:r w:rsidR="00A93CBB">
        <w:rPr>
          <w:lang w:val="en-US"/>
        </w:rPr>
        <w:t>mail</w:t>
      </w:r>
      <w:r w:rsidR="00A93CBB" w:rsidRPr="00620239">
        <w:t>.</w:t>
      </w:r>
    </w:p>
    <w:p w:rsidR="00BD24A3" w:rsidRPr="00A93CBB" w:rsidRDefault="00BD24A3" w:rsidP="00BD24A3">
      <w:pPr>
        <w:ind w:firstLine="708"/>
      </w:pPr>
    </w:p>
    <w:p w:rsidR="00BD24A3" w:rsidRPr="009868F3" w:rsidRDefault="00BD24A3" w:rsidP="00BD24A3">
      <w:pPr>
        <w:jc w:val="center"/>
        <w:rPr>
          <w:b/>
          <w:caps/>
        </w:rPr>
      </w:pPr>
    </w:p>
    <w:p w:rsidR="00BD24A3" w:rsidRPr="009868F3" w:rsidRDefault="00BD24A3" w:rsidP="00BD24A3">
      <w:pPr>
        <w:jc w:val="center"/>
        <w:rPr>
          <w:b/>
          <w:caps/>
        </w:rPr>
      </w:pPr>
    </w:p>
    <w:sectPr w:rsidR="00BD24A3" w:rsidRPr="009868F3" w:rsidSect="006B45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811" w:rsidRDefault="00945811" w:rsidP="00BD24A3">
      <w:r>
        <w:separator/>
      </w:r>
    </w:p>
  </w:endnote>
  <w:endnote w:type="continuationSeparator" w:id="1">
    <w:p w:rsidR="00945811" w:rsidRDefault="00945811" w:rsidP="00BD2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811" w:rsidRDefault="00945811" w:rsidP="00BD24A3">
      <w:r>
        <w:separator/>
      </w:r>
    </w:p>
  </w:footnote>
  <w:footnote w:type="continuationSeparator" w:id="1">
    <w:p w:rsidR="00945811" w:rsidRDefault="00945811" w:rsidP="00BD24A3">
      <w:r>
        <w:continuationSeparator/>
      </w:r>
    </w:p>
  </w:footnote>
  <w:footnote w:id="2">
    <w:p w:rsidR="00BD24A3" w:rsidRPr="00E337E8" w:rsidRDefault="00BD24A3" w:rsidP="00BD24A3">
      <w:pPr>
        <w:pStyle w:val="a5"/>
        <w:jc w:val="left"/>
        <w:rPr>
          <w:lang w:val="en-US"/>
        </w:rPr>
      </w:pPr>
      <w:r>
        <w:rPr>
          <w:rStyle w:val="a7"/>
        </w:rPr>
        <w:footnoteRef/>
      </w:r>
      <w:r w:rsidRPr="00E337E8">
        <w:rPr>
          <w:lang w:val="en-US"/>
        </w:rPr>
        <w:t xml:space="preserve"> </w:t>
      </w:r>
      <w:r w:rsidR="00996C71">
        <w:rPr>
          <w:lang w:val="en-US"/>
        </w:rPr>
        <w:t xml:space="preserve">«accomplishment of desired end» </w:t>
      </w:r>
      <w:r w:rsidRPr="00E337E8">
        <w:rPr>
          <w:lang w:val="en-US"/>
        </w:rPr>
        <w:t>http://www.etymonline.com/index.php?term=success&amp;allowed_in_frame=0</w:t>
      </w:r>
    </w:p>
  </w:footnote>
  <w:footnote w:id="3">
    <w:p w:rsidR="00BD24A3" w:rsidRPr="00E337E8" w:rsidRDefault="00BD24A3" w:rsidP="00BD24A3">
      <w:pPr>
        <w:pStyle w:val="a5"/>
        <w:rPr>
          <w:lang w:val="en-US"/>
        </w:rPr>
      </w:pPr>
      <w:r>
        <w:rPr>
          <w:rStyle w:val="a7"/>
        </w:rPr>
        <w:footnoteRef/>
      </w:r>
      <w:r w:rsidRPr="00E337E8">
        <w:rPr>
          <w:lang w:val="en-US"/>
        </w:rPr>
        <w:t xml:space="preserve"> http://dictionary-economics.ru/word/%D0%A3%D1%81%D0%BF%D0%B5%D1%85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7B7D"/>
    <w:multiLevelType w:val="hybridMultilevel"/>
    <w:tmpl w:val="1F4AC5D4"/>
    <w:lvl w:ilvl="0" w:tplc="CC58C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14625D"/>
    <w:multiLevelType w:val="hybridMultilevel"/>
    <w:tmpl w:val="7E504198"/>
    <w:lvl w:ilvl="0" w:tplc="95E60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56396"/>
    <w:multiLevelType w:val="hybridMultilevel"/>
    <w:tmpl w:val="43EAFCDC"/>
    <w:lvl w:ilvl="0" w:tplc="26DC2F4A">
      <w:start w:val="1"/>
      <w:numFmt w:val="bullet"/>
      <w:lvlText w:val=""/>
      <w:lvlJc w:val="left"/>
      <w:pPr>
        <w:ind w:left="720" w:hanging="360"/>
      </w:pPr>
      <w:rPr>
        <w:rFonts w:ascii="Symbol" w:hAnsi="Symbol" w:hint="default"/>
        <w:sz w:val="8"/>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5509B"/>
    <w:multiLevelType w:val="hybridMultilevel"/>
    <w:tmpl w:val="1338AF08"/>
    <w:lvl w:ilvl="0" w:tplc="26DC2F4A">
      <w:start w:val="1"/>
      <w:numFmt w:val="bullet"/>
      <w:lvlText w:val=""/>
      <w:lvlJc w:val="left"/>
      <w:pPr>
        <w:ind w:left="720" w:hanging="360"/>
      </w:pPr>
      <w:rPr>
        <w:rFonts w:ascii="Symbol" w:hAnsi="Symbol" w:hint="default"/>
        <w:sz w:val="8"/>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5C6392"/>
    <w:multiLevelType w:val="hybridMultilevel"/>
    <w:tmpl w:val="FED4B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420BB2"/>
    <w:multiLevelType w:val="hybridMultilevel"/>
    <w:tmpl w:val="8FF2B2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87FCC"/>
    <w:multiLevelType w:val="hybridMultilevel"/>
    <w:tmpl w:val="F18AE216"/>
    <w:lvl w:ilvl="0" w:tplc="26DC2F4A">
      <w:start w:val="1"/>
      <w:numFmt w:val="bullet"/>
      <w:lvlText w:val=""/>
      <w:lvlJc w:val="left"/>
      <w:pPr>
        <w:ind w:left="720" w:hanging="360"/>
      </w:pPr>
      <w:rPr>
        <w:rFonts w:ascii="Symbol" w:hAnsi="Symbol" w:hint="default"/>
        <w:sz w:val="8"/>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24A3"/>
    <w:rsid w:val="00027E9C"/>
    <w:rsid w:val="00117EFC"/>
    <w:rsid w:val="00150167"/>
    <w:rsid w:val="00172A6C"/>
    <w:rsid w:val="001A39F0"/>
    <w:rsid w:val="001E2B91"/>
    <w:rsid w:val="0024715F"/>
    <w:rsid w:val="003D238F"/>
    <w:rsid w:val="00540757"/>
    <w:rsid w:val="005F3B53"/>
    <w:rsid w:val="006628FE"/>
    <w:rsid w:val="006B4504"/>
    <w:rsid w:val="00813F7E"/>
    <w:rsid w:val="008D3BE3"/>
    <w:rsid w:val="009305E6"/>
    <w:rsid w:val="00945811"/>
    <w:rsid w:val="00956484"/>
    <w:rsid w:val="00971B57"/>
    <w:rsid w:val="00996C71"/>
    <w:rsid w:val="00A93CBB"/>
    <w:rsid w:val="00AD79BC"/>
    <w:rsid w:val="00B704B3"/>
    <w:rsid w:val="00BA6EA3"/>
    <w:rsid w:val="00BD24A3"/>
    <w:rsid w:val="00C4213E"/>
    <w:rsid w:val="00C717E8"/>
    <w:rsid w:val="00D40B07"/>
    <w:rsid w:val="00D96D93"/>
    <w:rsid w:val="00DD09E5"/>
    <w:rsid w:val="00E80A34"/>
    <w:rsid w:val="00E810B5"/>
    <w:rsid w:val="00F50DFF"/>
    <w:rsid w:val="00F95193"/>
    <w:rsid w:val="00FC6CB4"/>
    <w:rsid w:val="00FE4373"/>
    <w:rsid w:val="00FE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A3"/>
    <w:pPr>
      <w:spacing w:after="0" w:line="240" w:lineRule="auto"/>
      <w:jc w:val="both"/>
    </w:pPr>
    <w:rPr>
      <w:rFonts w:ascii="Times New Roman" w:eastAsia="SimSu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24A3"/>
    <w:rPr>
      <w:color w:val="0000FF"/>
      <w:u w:val="single"/>
    </w:rPr>
  </w:style>
  <w:style w:type="paragraph" w:styleId="a4">
    <w:name w:val="List Paragraph"/>
    <w:basedOn w:val="a"/>
    <w:uiPriority w:val="34"/>
    <w:qFormat/>
    <w:rsid w:val="00BD24A3"/>
    <w:pPr>
      <w:spacing w:line="360" w:lineRule="auto"/>
      <w:ind w:left="720" w:firstLine="708"/>
      <w:contextualSpacing/>
    </w:pPr>
    <w:rPr>
      <w:rFonts w:eastAsia="Times New Roman"/>
      <w:szCs w:val="28"/>
      <w:lang w:eastAsia="en-US"/>
    </w:rPr>
  </w:style>
  <w:style w:type="paragraph" w:styleId="a5">
    <w:name w:val="footnote text"/>
    <w:aliases w:val="Текст сноски Знак Знак,Текст сноски Знак Знак Знак,Текст сноски-FN Знак,Footnote Text Char Знак Знак Знак,Footnote Text Char Знак Знак1,single space Знак,footnote text Знак,footnote text Знак1,список Знак Знак,список Знак,список"/>
    <w:basedOn w:val="a"/>
    <w:link w:val="a6"/>
    <w:uiPriority w:val="99"/>
    <w:unhideWhenUsed/>
    <w:rsid w:val="00BD24A3"/>
    <w:pPr>
      <w:ind w:firstLine="708"/>
    </w:pPr>
    <w:rPr>
      <w:rFonts w:eastAsia="Times New Roman"/>
      <w:sz w:val="20"/>
      <w:szCs w:val="20"/>
      <w:lang w:eastAsia="en-US"/>
    </w:rPr>
  </w:style>
  <w:style w:type="character" w:customStyle="1" w:styleId="a6">
    <w:name w:val="Текст сноски Знак"/>
    <w:aliases w:val="Текст сноски Знак Знак Знак1,Текст сноски Знак Знак Знак Знак,Текст сноски-FN Знак Знак,Footnote Text Char Знак Знак Знак Знак,Footnote Text Char Знак Знак1 Знак,single space Знак Знак,footnote text Знак Знак,footnote text Знак1 Знак"/>
    <w:basedOn w:val="a0"/>
    <w:link w:val="a5"/>
    <w:uiPriority w:val="99"/>
    <w:rsid w:val="00BD24A3"/>
    <w:rPr>
      <w:rFonts w:ascii="Times New Roman" w:eastAsia="Times New Roman" w:hAnsi="Times New Roman" w:cs="Times New Roman"/>
      <w:sz w:val="20"/>
      <w:szCs w:val="20"/>
    </w:rPr>
  </w:style>
  <w:style w:type="character" w:styleId="a7">
    <w:name w:val="footnote reference"/>
    <w:basedOn w:val="a0"/>
    <w:unhideWhenUsed/>
    <w:rsid w:val="00BD24A3"/>
    <w:rPr>
      <w:vertAlign w:val="superscript"/>
    </w:rPr>
  </w:style>
  <w:style w:type="table" w:styleId="a8">
    <w:name w:val="Table Grid"/>
    <w:basedOn w:val="a1"/>
    <w:uiPriority w:val="59"/>
    <w:rsid w:val="00BD2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24A3"/>
  </w:style>
  <w:style w:type="paragraph" w:styleId="a9">
    <w:name w:val="Balloon Text"/>
    <w:basedOn w:val="a"/>
    <w:link w:val="aa"/>
    <w:uiPriority w:val="99"/>
    <w:semiHidden/>
    <w:unhideWhenUsed/>
    <w:rsid w:val="00BD24A3"/>
    <w:rPr>
      <w:rFonts w:ascii="Tahoma" w:hAnsi="Tahoma" w:cs="Tahoma"/>
      <w:sz w:val="16"/>
      <w:szCs w:val="16"/>
    </w:rPr>
  </w:style>
  <w:style w:type="character" w:customStyle="1" w:styleId="aa">
    <w:name w:val="Текст выноски Знак"/>
    <w:basedOn w:val="a0"/>
    <w:link w:val="a9"/>
    <w:uiPriority w:val="99"/>
    <w:semiHidden/>
    <w:rsid w:val="00BD24A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tegybusiness.ru/vlast-i-kontrol-v-kompanii/kriterij-i-pokazateli-oczenki-ustojchivosti-korporaczii-v-rusle-sistemnogo-podxoda.html"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90;&#1072;&#1085;&#1080;&#1089;&#1083;&#1072;&#1074;\Downloads\RTSI_120101_130201%20(2).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'RTSI_120101_130201 (2)'!$H$1</c:f>
              <c:strCache>
                <c:ptCount val="1"/>
                <c:pt idx="0">
                  <c:v>Индекс РТС</c:v>
                </c:pt>
              </c:strCache>
            </c:strRef>
          </c:tx>
          <c:marker>
            <c:symbol val="none"/>
          </c:marker>
          <c:cat>
            <c:numRef>
              <c:f>'RTSI_120101_130201 (2)'!$C$2:$C$57</c:f>
              <c:numCache>
                <c:formatCode>dd/mm/yyyy</c:formatCode>
                <c:ptCount val="56"/>
                <c:pt idx="0">
                  <c:v>40910</c:v>
                </c:pt>
                <c:pt idx="1">
                  <c:v>40917</c:v>
                </c:pt>
                <c:pt idx="2">
                  <c:v>40924</c:v>
                </c:pt>
                <c:pt idx="3">
                  <c:v>40931</c:v>
                </c:pt>
                <c:pt idx="4">
                  <c:v>40938</c:v>
                </c:pt>
                <c:pt idx="5">
                  <c:v>40945</c:v>
                </c:pt>
                <c:pt idx="6">
                  <c:v>40952</c:v>
                </c:pt>
                <c:pt idx="7">
                  <c:v>40959</c:v>
                </c:pt>
                <c:pt idx="8">
                  <c:v>40966</c:v>
                </c:pt>
                <c:pt idx="9">
                  <c:v>40973</c:v>
                </c:pt>
                <c:pt idx="10">
                  <c:v>40980</c:v>
                </c:pt>
                <c:pt idx="11">
                  <c:v>40987</c:v>
                </c:pt>
                <c:pt idx="12">
                  <c:v>40994</c:v>
                </c:pt>
                <c:pt idx="13">
                  <c:v>41001</c:v>
                </c:pt>
                <c:pt idx="14">
                  <c:v>41008</c:v>
                </c:pt>
                <c:pt idx="15">
                  <c:v>41015</c:v>
                </c:pt>
                <c:pt idx="16">
                  <c:v>41022</c:v>
                </c:pt>
                <c:pt idx="17">
                  <c:v>41029</c:v>
                </c:pt>
                <c:pt idx="18">
                  <c:v>41036</c:v>
                </c:pt>
                <c:pt idx="19">
                  <c:v>41043</c:v>
                </c:pt>
                <c:pt idx="20">
                  <c:v>41050</c:v>
                </c:pt>
                <c:pt idx="21">
                  <c:v>41057</c:v>
                </c:pt>
                <c:pt idx="22">
                  <c:v>41064</c:v>
                </c:pt>
                <c:pt idx="23">
                  <c:v>41071</c:v>
                </c:pt>
                <c:pt idx="24">
                  <c:v>41078</c:v>
                </c:pt>
                <c:pt idx="25">
                  <c:v>41085</c:v>
                </c:pt>
                <c:pt idx="26">
                  <c:v>41092</c:v>
                </c:pt>
                <c:pt idx="27">
                  <c:v>41099</c:v>
                </c:pt>
                <c:pt idx="28">
                  <c:v>41106</c:v>
                </c:pt>
                <c:pt idx="29">
                  <c:v>41113</c:v>
                </c:pt>
                <c:pt idx="30">
                  <c:v>41120</c:v>
                </c:pt>
                <c:pt idx="31">
                  <c:v>41127</c:v>
                </c:pt>
                <c:pt idx="32">
                  <c:v>41134</c:v>
                </c:pt>
                <c:pt idx="33">
                  <c:v>41141</c:v>
                </c:pt>
                <c:pt idx="34">
                  <c:v>41148</c:v>
                </c:pt>
                <c:pt idx="35">
                  <c:v>41155</c:v>
                </c:pt>
                <c:pt idx="36">
                  <c:v>41162</c:v>
                </c:pt>
                <c:pt idx="37">
                  <c:v>41169</c:v>
                </c:pt>
                <c:pt idx="38">
                  <c:v>41176</c:v>
                </c:pt>
                <c:pt idx="39">
                  <c:v>41183</c:v>
                </c:pt>
                <c:pt idx="40">
                  <c:v>41190</c:v>
                </c:pt>
                <c:pt idx="41">
                  <c:v>41197</c:v>
                </c:pt>
                <c:pt idx="42">
                  <c:v>41204</c:v>
                </c:pt>
                <c:pt idx="43">
                  <c:v>41211</c:v>
                </c:pt>
                <c:pt idx="44">
                  <c:v>41218</c:v>
                </c:pt>
                <c:pt idx="45">
                  <c:v>41225</c:v>
                </c:pt>
                <c:pt idx="46">
                  <c:v>41232</c:v>
                </c:pt>
                <c:pt idx="47">
                  <c:v>41239</c:v>
                </c:pt>
                <c:pt idx="48">
                  <c:v>41246</c:v>
                </c:pt>
                <c:pt idx="49">
                  <c:v>41253</c:v>
                </c:pt>
                <c:pt idx="50">
                  <c:v>41260</c:v>
                </c:pt>
                <c:pt idx="51">
                  <c:v>41267</c:v>
                </c:pt>
                <c:pt idx="52">
                  <c:v>41281</c:v>
                </c:pt>
                <c:pt idx="53">
                  <c:v>41288</c:v>
                </c:pt>
                <c:pt idx="54">
                  <c:v>41295</c:v>
                </c:pt>
                <c:pt idx="55">
                  <c:v>41302</c:v>
                </c:pt>
              </c:numCache>
            </c:numRef>
          </c:cat>
          <c:val>
            <c:numRef>
              <c:f>'RTSI_120101_130201 (2)'!$H$2:$H$57</c:f>
              <c:numCache>
                <c:formatCode>0.00</c:formatCode>
                <c:ptCount val="56"/>
                <c:pt idx="0">
                  <c:v>1423.7</c:v>
                </c:pt>
                <c:pt idx="1">
                  <c:v>1446.46</c:v>
                </c:pt>
                <c:pt idx="2">
                  <c:v>1496.41</c:v>
                </c:pt>
                <c:pt idx="3">
                  <c:v>1565.82</c:v>
                </c:pt>
                <c:pt idx="4">
                  <c:v>1625.6</c:v>
                </c:pt>
                <c:pt idx="5">
                  <c:v>1603.25</c:v>
                </c:pt>
                <c:pt idx="6">
                  <c:v>1656.6</c:v>
                </c:pt>
                <c:pt idx="7">
                  <c:v>1722.05</c:v>
                </c:pt>
                <c:pt idx="8">
                  <c:v>1726.73</c:v>
                </c:pt>
                <c:pt idx="9">
                  <c:v>1721.27</c:v>
                </c:pt>
                <c:pt idx="10">
                  <c:v>1748.32</c:v>
                </c:pt>
                <c:pt idx="11">
                  <c:v>1668.41</c:v>
                </c:pt>
                <c:pt idx="12">
                  <c:v>1637.73</c:v>
                </c:pt>
                <c:pt idx="13">
                  <c:v>1613.25</c:v>
                </c:pt>
                <c:pt idx="14">
                  <c:v>1612.74</c:v>
                </c:pt>
                <c:pt idx="15">
                  <c:v>1619.53</c:v>
                </c:pt>
                <c:pt idx="16">
                  <c:v>1593.97</c:v>
                </c:pt>
                <c:pt idx="17">
                  <c:v>1489.55</c:v>
                </c:pt>
                <c:pt idx="18">
                  <c:v>1453.91</c:v>
                </c:pt>
                <c:pt idx="19">
                  <c:v>1289.46</c:v>
                </c:pt>
                <c:pt idx="20">
                  <c:v>1272.6899999999998</c:v>
                </c:pt>
                <c:pt idx="21">
                  <c:v>1227.6499999999999</c:v>
                </c:pt>
                <c:pt idx="22">
                  <c:v>1296.98</c:v>
                </c:pt>
                <c:pt idx="23">
                  <c:v>1337.5</c:v>
                </c:pt>
                <c:pt idx="24">
                  <c:v>1281.8799999999999</c:v>
                </c:pt>
                <c:pt idx="25">
                  <c:v>1350.51</c:v>
                </c:pt>
                <c:pt idx="26">
                  <c:v>1357.71</c:v>
                </c:pt>
                <c:pt idx="27">
                  <c:v>1368.6899999999998</c:v>
                </c:pt>
                <c:pt idx="28">
                  <c:v>1391.55</c:v>
                </c:pt>
                <c:pt idx="29">
                  <c:v>1382.82</c:v>
                </c:pt>
                <c:pt idx="30">
                  <c:v>1398.33</c:v>
                </c:pt>
                <c:pt idx="31">
                  <c:v>1427.33</c:v>
                </c:pt>
                <c:pt idx="32">
                  <c:v>1416.78</c:v>
                </c:pt>
                <c:pt idx="33">
                  <c:v>1436.84</c:v>
                </c:pt>
                <c:pt idx="34">
                  <c:v>1389.72</c:v>
                </c:pt>
                <c:pt idx="35">
                  <c:v>1471.8</c:v>
                </c:pt>
                <c:pt idx="36">
                  <c:v>1589.4</c:v>
                </c:pt>
                <c:pt idx="37">
                  <c:v>1522.6299999999999</c:v>
                </c:pt>
                <c:pt idx="38">
                  <c:v>1475.7</c:v>
                </c:pt>
                <c:pt idx="39">
                  <c:v>1508.72</c:v>
                </c:pt>
                <c:pt idx="40">
                  <c:v>1472.36</c:v>
                </c:pt>
                <c:pt idx="41">
                  <c:v>1494.44</c:v>
                </c:pt>
                <c:pt idx="42">
                  <c:v>1441.3799999999999</c:v>
                </c:pt>
                <c:pt idx="43">
                  <c:v>1444.1899999999998</c:v>
                </c:pt>
                <c:pt idx="44">
                  <c:v>1397.86</c:v>
                </c:pt>
                <c:pt idx="45">
                  <c:v>1376.1</c:v>
                </c:pt>
                <c:pt idx="46">
                  <c:v>1432.24</c:v>
                </c:pt>
                <c:pt idx="47">
                  <c:v>1436.55</c:v>
                </c:pt>
                <c:pt idx="48">
                  <c:v>1471.09</c:v>
                </c:pt>
                <c:pt idx="49">
                  <c:v>1500.8899999999999</c:v>
                </c:pt>
                <c:pt idx="50">
                  <c:v>1512.1799999999998</c:v>
                </c:pt>
                <c:pt idx="51">
                  <c:v>1526.98</c:v>
                </c:pt>
                <c:pt idx="52">
                  <c:v>1571.73</c:v>
                </c:pt>
                <c:pt idx="53">
                  <c:v>1603.5</c:v>
                </c:pt>
                <c:pt idx="54">
                  <c:v>1618.84</c:v>
                </c:pt>
                <c:pt idx="55">
                  <c:v>1628.31</c:v>
                </c:pt>
              </c:numCache>
            </c:numRef>
          </c:val>
        </c:ser>
        <c:ser>
          <c:idx val="1"/>
          <c:order val="1"/>
          <c:tx>
            <c:strRef>
              <c:f>'RTSI_120101_130201 (2)'!$I$1</c:f>
              <c:strCache>
                <c:ptCount val="1"/>
                <c:pt idx="0">
                  <c:v>Индекс ММВБ</c:v>
                </c:pt>
              </c:strCache>
            </c:strRef>
          </c:tx>
          <c:marker>
            <c:symbol val="none"/>
          </c:marker>
          <c:val>
            <c:numRef>
              <c:f>'RTSI_120101_130201 (2)'!$I$2:$I$57</c:f>
              <c:numCache>
                <c:formatCode>0.00</c:formatCode>
                <c:ptCount val="56"/>
                <c:pt idx="0">
                  <c:v>1438.95</c:v>
                </c:pt>
                <c:pt idx="1">
                  <c:v>1459.41</c:v>
                </c:pt>
                <c:pt idx="2">
                  <c:v>1490.41</c:v>
                </c:pt>
                <c:pt idx="3">
                  <c:v>1511.61</c:v>
                </c:pt>
                <c:pt idx="4">
                  <c:v>1569.1799999999998</c:v>
                </c:pt>
                <c:pt idx="5">
                  <c:v>1524.92</c:v>
                </c:pt>
                <c:pt idx="6">
                  <c:v>1569.42</c:v>
                </c:pt>
                <c:pt idx="7">
                  <c:v>1599.92</c:v>
                </c:pt>
                <c:pt idx="8">
                  <c:v>1614.1499999999999</c:v>
                </c:pt>
                <c:pt idx="9">
                  <c:v>1604.42</c:v>
                </c:pt>
                <c:pt idx="10">
                  <c:v>1616.45</c:v>
                </c:pt>
                <c:pt idx="11">
                  <c:v>1544.54</c:v>
                </c:pt>
                <c:pt idx="12">
                  <c:v>1518.29</c:v>
                </c:pt>
                <c:pt idx="13">
                  <c:v>1499.05</c:v>
                </c:pt>
                <c:pt idx="14">
                  <c:v>1504.84</c:v>
                </c:pt>
                <c:pt idx="15">
                  <c:v>1503.61</c:v>
                </c:pt>
                <c:pt idx="16">
                  <c:v>1474.1399999999999</c:v>
                </c:pt>
                <c:pt idx="17">
                  <c:v>1386.07</c:v>
                </c:pt>
                <c:pt idx="18">
                  <c:v>1386.81</c:v>
                </c:pt>
                <c:pt idx="19">
                  <c:v>1269.1799999999998</c:v>
                </c:pt>
                <c:pt idx="20">
                  <c:v>1281.24</c:v>
                </c:pt>
                <c:pt idx="21">
                  <c:v>1299.5</c:v>
                </c:pt>
                <c:pt idx="22">
                  <c:v>1338.29</c:v>
                </c:pt>
                <c:pt idx="23">
                  <c:v>1375.41</c:v>
                </c:pt>
                <c:pt idx="24">
                  <c:v>1349.59</c:v>
                </c:pt>
                <c:pt idx="25">
                  <c:v>1386.8899999999999</c:v>
                </c:pt>
                <c:pt idx="26">
                  <c:v>1415.8</c:v>
                </c:pt>
                <c:pt idx="27">
                  <c:v>1417.1</c:v>
                </c:pt>
                <c:pt idx="28">
                  <c:v>1415.6899999999998</c:v>
                </c:pt>
                <c:pt idx="29">
                  <c:v>1415.1</c:v>
                </c:pt>
                <c:pt idx="30">
                  <c:v>1421.99</c:v>
                </c:pt>
                <c:pt idx="31">
                  <c:v>1445.04</c:v>
                </c:pt>
                <c:pt idx="32">
                  <c:v>1448.27</c:v>
                </c:pt>
                <c:pt idx="33">
                  <c:v>1453.6899999999998</c:v>
                </c:pt>
                <c:pt idx="34">
                  <c:v>1422.3799999999999</c:v>
                </c:pt>
                <c:pt idx="35">
                  <c:v>1474.55</c:v>
                </c:pt>
                <c:pt idx="36">
                  <c:v>1532.82</c:v>
                </c:pt>
                <c:pt idx="37">
                  <c:v>1494.9</c:v>
                </c:pt>
                <c:pt idx="38">
                  <c:v>1459.01</c:v>
                </c:pt>
                <c:pt idx="39">
                  <c:v>1475.6</c:v>
                </c:pt>
                <c:pt idx="40">
                  <c:v>1447.11</c:v>
                </c:pt>
                <c:pt idx="41">
                  <c:v>1457.05</c:v>
                </c:pt>
                <c:pt idx="42">
                  <c:v>1434.62</c:v>
                </c:pt>
                <c:pt idx="43">
                  <c:v>1438.41</c:v>
                </c:pt>
                <c:pt idx="44">
                  <c:v>1404.25</c:v>
                </c:pt>
                <c:pt idx="45">
                  <c:v>1385.5</c:v>
                </c:pt>
                <c:pt idx="46">
                  <c:v>1417.1699999999998</c:v>
                </c:pt>
                <c:pt idx="47">
                  <c:v>1405.1899999999998</c:v>
                </c:pt>
                <c:pt idx="48">
                  <c:v>1441.47</c:v>
                </c:pt>
                <c:pt idx="49">
                  <c:v>1465.77</c:v>
                </c:pt>
                <c:pt idx="50">
                  <c:v>1479.5</c:v>
                </c:pt>
                <c:pt idx="51">
                  <c:v>1477.87</c:v>
                </c:pt>
                <c:pt idx="52">
                  <c:v>1510.62</c:v>
                </c:pt>
                <c:pt idx="53">
                  <c:v>1538.56</c:v>
                </c:pt>
                <c:pt idx="54">
                  <c:v>1544.1599999999999</c:v>
                </c:pt>
                <c:pt idx="55">
                  <c:v>1549.28</c:v>
                </c:pt>
              </c:numCache>
            </c:numRef>
          </c:val>
        </c:ser>
        <c:marker val="1"/>
        <c:axId val="98151040"/>
        <c:axId val="98230656"/>
      </c:lineChart>
      <c:dateAx>
        <c:axId val="98151040"/>
        <c:scaling>
          <c:orientation val="minMax"/>
        </c:scaling>
        <c:axPos val="b"/>
        <c:numFmt formatCode="dd/mm/yyyy" sourceLinked="1"/>
        <c:tickLblPos val="nextTo"/>
        <c:txPr>
          <a:bodyPr/>
          <a:lstStyle/>
          <a:p>
            <a:pPr>
              <a:defRPr sz="1200" b="0">
                <a:latin typeface="Times New Roman" pitchFamily="18" charset="0"/>
                <a:cs typeface="Times New Roman" pitchFamily="18" charset="0"/>
              </a:defRPr>
            </a:pPr>
            <a:endParaRPr lang="ru-RU"/>
          </a:p>
        </c:txPr>
        <c:crossAx val="98230656"/>
        <c:crosses val="autoZero"/>
        <c:auto val="1"/>
        <c:lblOffset val="100"/>
      </c:dateAx>
      <c:valAx>
        <c:axId val="98230656"/>
        <c:scaling>
          <c:orientation val="minMax"/>
          <c:min val="1000"/>
        </c:scaling>
        <c:axPos val="l"/>
        <c:majorGridlines/>
        <c:numFmt formatCode="0.00" sourceLinked="1"/>
        <c:tickLblPos val="nextTo"/>
        <c:txPr>
          <a:bodyPr/>
          <a:lstStyle/>
          <a:p>
            <a:pPr>
              <a:defRPr sz="1200" b="0">
                <a:latin typeface="Times New Roman" pitchFamily="18" charset="0"/>
                <a:cs typeface="Times New Roman" pitchFamily="18" charset="0"/>
              </a:defRPr>
            </a:pPr>
            <a:endParaRPr lang="ru-RU"/>
          </a:p>
        </c:txPr>
        <c:crossAx val="98151040"/>
        <c:crosses val="autoZero"/>
        <c:crossBetween val="between"/>
        <c:majorUnit val="100"/>
      </c:valAx>
    </c:plotArea>
    <c:legend>
      <c:legendPos val="r"/>
      <c:txPr>
        <a:bodyPr/>
        <a:lstStyle/>
        <a:p>
          <a:pPr>
            <a:defRPr sz="1200" b="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2</cp:revision>
  <dcterms:created xsi:type="dcterms:W3CDTF">2015-03-27T09:45:00Z</dcterms:created>
  <dcterms:modified xsi:type="dcterms:W3CDTF">2015-03-27T09:45:00Z</dcterms:modified>
</cp:coreProperties>
</file>