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75" w:rsidRDefault="00120F75" w:rsidP="00120F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F75">
        <w:rPr>
          <w:rFonts w:ascii="Times New Roman" w:hAnsi="Times New Roman" w:cs="Times New Roman"/>
          <w:b/>
          <w:sz w:val="28"/>
          <w:szCs w:val="28"/>
          <w:u w:val="single"/>
        </w:rPr>
        <w:t>Footnotes</w:t>
      </w:r>
    </w:p>
    <w:p w:rsidR="00120F75" w:rsidRPr="00120F75" w:rsidRDefault="00120F75" w:rsidP="00120F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120F75" w:rsidRDefault="00120F75" w:rsidP="00120F75">
      <w:pPr>
        <w:ind w:left="360" w:hanging="360"/>
        <w:rPr>
          <w:sz w:val="32"/>
        </w:rPr>
      </w:pPr>
      <w:r>
        <w:rPr>
          <w:rFonts w:ascii="Times New Roman" w:hAnsi="Times New Roman" w:cs="Times New Roman"/>
          <w:szCs w:val="20"/>
        </w:rPr>
        <w:t xml:space="preserve">[1] Masum, A. An Overview of the Right to Life under the Malaysian Federal Constitution. </w:t>
      </w:r>
      <w:r>
        <w:rPr>
          <w:rFonts w:ascii="Times New Roman" w:hAnsi="Times New Roman" w:cs="Times New Roman"/>
          <w:i/>
          <w:szCs w:val="20"/>
        </w:rPr>
        <w:t>Malayan Law Journal</w:t>
      </w:r>
      <w:r>
        <w:rPr>
          <w:rFonts w:ascii="Times New Roman" w:hAnsi="Times New Roman" w:cs="Times New Roman"/>
          <w:szCs w:val="20"/>
        </w:rPr>
        <w:t>, 6, Xxxiv. Retrieved December 26, 2017.</w:t>
      </w:r>
    </w:p>
    <w:p w:rsidR="00120F75" w:rsidRDefault="00120F75" w:rsidP="00120F75">
      <w:pPr>
        <w:pStyle w:val="Footnote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[2] [1996] 2 CLJ 771.</w:t>
      </w:r>
    </w:p>
    <w:p w:rsidR="00120F75" w:rsidRDefault="00120F75" w:rsidP="00120F75">
      <w:pPr>
        <w:pStyle w:val="Footnote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[3] [2000] 3 MLJ 281.</w:t>
      </w:r>
    </w:p>
    <w:p w:rsidR="00120F75" w:rsidRDefault="00120F75" w:rsidP="00120F75">
      <w:pPr>
        <w:pStyle w:val="Footnote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[4] [2009] 5 CLJ 631.</w:t>
      </w:r>
    </w:p>
    <w:p w:rsidR="00120F75" w:rsidRDefault="00120F75" w:rsidP="00120F75">
      <w:pPr>
        <w:pStyle w:val="FootnoteText"/>
        <w:rPr>
          <w:sz w:val="32"/>
        </w:rPr>
      </w:pPr>
      <w:r>
        <w:rPr>
          <w:rFonts w:ascii="Times New Roman" w:hAnsi="Times New Roman" w:cs="Times New Roman"/>
          <w:szCs w:val="20"/>
        </w:rPr>
        <w:t>[5] [1978] AIR 597.</w:t>
      </w:r>
    </w:p>
    <w:p w:rsidR="00120F75" w:rsidRDefault="00120F75" w:rsidP="00120F75">
      <w:pPr>
        <w:pStyle w:val="Footnote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[6] [1979] 1 LNS 22.</w:t>
      </w:r>
    </w:p>
    <w:p w:rsidR="00120F75" w:rsidRDefault="00120F75" w:rsidP="00120F75">
      <w:pPr>
        <w:pStyle w:val="Footnote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[7] [1998] 3 CLJ 85.</w:t>
      </w:r>
    </w:p>
    <w:p w:rsidR="00120F75" w:rsidRDefault="00120F75" w:rsidP="00120F75">
      <w:pPr>
        <w:pStyle w:val="FootnoteText"/>
        <w:rPr>
          <w:sz w:val="32"/>
        </w:rPr>
      </w:pPr>
      <w:r>
        <w:rPr>
          <w:rFonts w:ascii="Times New Roman" w:hAnsi="Times New Roman" w:cs="Times New Roman"/>
          <w:szCs w:val="20"/>
        </w:rPr>
        <w:t>[8] [2002] 4 CLJ 105.</w:t>
      </w:r>
    </w:p>
    <w:p w:rsidR="00120F75" w:rsidRDefault="00120F75" w:rsidP="00120F75">
      <w:pPr>
        <w:ind w:left="360" w:hanging="360"/>
        <w:jc w:val="both"/>
        <w:rPr>
          <w:rFonts w:ascii="Times New Roman" w:eastAsia="Times New Roman" w:hAnsi="Times New Roman" w:cs="Times New Roman"/>
          <w:szCs w:val="20"/>
          <w:lang w:val="en-MY"/>
        </w:rPr>
      </w:pPr>
      <w:r>
        <w:rPr>
          <w:rFonts w:ascii="Times New Roman" w:hAnsi="Times New Roman" w:cs="Times New Roman"/>
          <w:szCs w:val="20"/>
        </w:rPr>
        <w:t xml:space="preserve">[9] </w:t>
      </w:r>
      <w:r>
        <w:rPr>
          <w:rFonts w:ascii="Times New Roman" w:eastAsia="Times New Roman" w:hAnsi="Times New Roman" w:cs="Times New Roman"/>
          <w:szCs w:val="20"/>
          <w:shd w:val="clear" w:color="auto" w:fill="FFFFFF"/>
          <w:lang w:val="en-MY"/>
        </w:rPr>
        <w:t>Bari, A. A. (2003). </w:t>
      </w:r>
      <w:r>
        <w:rPr>
          <w:rFonts w:ascii="Times New Roman" w:eastAsia="Times New Roman" w:hAnsi="Times New Roman" w:cs="Times New Roman"/>
          <w:i/>
          <w:iCs/>
          <w:szCs w:val="20"/>
          <w:shd w:val="clear" w:color="auto" w:fill="FFFFFF"/>
          <w:lang w:val="en-MY"/>
        </w:rPr>
        <w:t>Malaysian Constitution: A Critical Introduction</w:t>
      </w:r>
      <w:r>
        <w:rPr>
          <w:rFonts w:ascii="Times New Roman" w:eastAsia="Times New Roman" w:hAnsi="Times New Roman" w:cs="Times New Roman"/>
          <w:szCs w:val="20"/>
          <w:shd w:val="clear" w:color="auto" w:fill="FFFFFF"/>
          <w:lang w:val="en-MY"/>
        </w:rPr>
        <w:t>. Kuala Lumpur: The Other Press.</w:t>
      </w:r>
    </w:p>
    <w:p w:rsidR="00120F75" w:rsidRDefault="00120F75" w:rsidP="00120F75">
      <w:pPr>
        <w:pStyle w:val="Footnote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[10] [2017] 4 CLJ 41.</w:t>
      </w:r>
    </w:p>
    <w:p w:rsidR="00120F75" w:rsidRDefault="00120F75" w:rsidP="00120F75">
      <w:pPr>
        <w:rPr>
          <w:sz w:val="32"/>
        </w:rPr>
      </w:pPr>
      <w:r>
        <w:rPr>
          <w:rFonts w:ascii="Times New Roman" w:hAnsi="Times New Roman" w:cs="Times New Roman"/>
          <w:szCs w:val="20"/>
        </w:rPr>
        <w:t>[11] [1969] 1 LNS 65.</w:t>
      </w:r>
    </w:p>
    <w:p w:rsidR="007277EB" w:rsidRDefault="007277EB"/>
    <w:sectPr w:rsidR="007277EB" w:rsidSect="007277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75"/>
    <w:rsid w:val="00120F75"/>
    <w:rsid w:val="007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F581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20F75"/>
  </w:style>
  <w:style w:type="character" w:customStyle="1" w:styleId="FootnoteTextChar">
    <w:name w:val="Footnote Text Char"/>
    <w:basedOn w:val="DefaultParagraphFont"/>
    <w:link w:val="FootnoteText"/>
    <w:uiPriority w:val="99"/>
    <w:rsid w:val="00120F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20F75"/>
  </w:style>
  <w:style w:type="character" w:customStyle="1" w:styleId="FootnoteTextChar">
    <w:name w:val="Footnote Text Char"/>
    <w:basedOn w:val="DefaultParagraphFont"/>
    <w:link w:val="FootnoteText"/>
    <w:uiPriority w:val="99"/>
    <w:rsid w:val="0012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Macintosh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2018-02-06T13:41:00Z</dcterms:created>
  <dcterms:modified xsi:type="dcterms:W3CDTF">2018-02-06T13:42:00Z</dcterms:modified>
</cp:coreProperties>
</file>