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69" w:rsidRDefault="00346969" w:rsidP="003469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Footnotes</w:t>
      </w:r>
    </w:p>
    <w:p w:rsidR="00346969" w:rsidRDefault="00346969" w:rsidP="0034696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Chan, R., Ananth, S., Lim, W., Gan, E., &amp; Husni, F. (2016). Guide On Redelineation of Electoral Boundaries.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Malaysian Bar.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Retrieved from http://www.malaysianbar.org.my/index.php?option=com_docman&amp;task=doc_view&amp;gid=5636&amp;Itemid=332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Gerrymandering. (2018).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Cambridge Dictionary</w:t>
      </w:r>
      <w:r>
        <w:rPr>
          <w:rFonts w:ascii="Times New Roman" w:eastAsia="Times New Roman" w:hAnsi="Times New Roman" w:cs="Times New Roman"/>
          <w:sz w:val="24"/>
          <w:szCs w:val="24"/>
        </w:rPr>
        <w:t>. Retrieved from https://dictionary.cambridge.org/dictionary/english/gerrymandering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>
        <w:rPr>
          <w:rFonts w:ascii="Times New Roman" w:eastAsia="Times New Roman" w:hAnsi="Times New Roman" w:cs="Times New Roman"/>
          <w:sz w:val="24"/>
          <w:szCs w:val="24"/>
        </w:rPr>
        <w:t>Khoo, B. (2013). 13th General Election in Malaysia: Overview and Summary. Retrieved from http://www.ide.go.jp/library/Japanese/Publish/Download/Kidou/pdf/2013_malaysia_03.pdf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Srivastava, S. (2018). Malaysia’s Long History of Election Rigging.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Diplomat</w:t>
      </w:r>
      <w:r>
        <w:rPr>
          <w:rFonts w:ascii="Times New Roman" w:eastAsia="Times New Roman" w:hAnsi="Times New Roman" w:cs="Times New Roman"/>
          <w:sz w:val="24"/>
          <w:szCs w:val="24"/>
        </w:rPr>
        <w:t>. Retrieved from https://thediplomat.com/2018/01/malaysias-long-history-of-election-rigging/</w:t>
      </w:r>
    </w:p>
    <w:p w:rsidR="00346969" w:rsidRDefault="00346969" w:rsidP="0034696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Ostwald, K. (2013, December 28). Malaysian elections, malapportionment, and redelineation - New Mandala.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 Mandala</w:t>
      </w:r>
      <w:r>
        <w:rPr>
          <w:rFonts w:ascii="Times New Roman" w:eastAsia="Times New Roman" w:hAnsi="Times New Roman" w:cs="Times New Roman"/>
          <w:sz w:val="24"/>
          <w:szCs w:val="24"/>
        </w:rPr>
        <w:t>. Retrieved from http://www.newmandala.org/malaysian-elections-malapportionment-and-redelineation/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>
        <w:rPr>
          <w:rFonts w:ascii="Times New Roman" w:eastAsia="Times New Roman" w:hAnsi="Times New Roman" w:cs="Times New Roman"/>
          <w:sz w:val="24"/>
          <w:szCs w:val="24"/>
        </w:rPr>
        <w:t>Kajian Semula Persempadanan. (2018). Retrieved from http://spr.gov.my/sites/default/files/Jilid%202%20Kajian%20Semula%20Persempadanan.pdf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Ibid</w:t>
      </w:r>
    </w:p>
    <w:p w:rsidR="00346969" w:rsidRDefault="00346969" w:rsidP="003469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 </w:t>
      </w:r>
      <w:r>
        <w:rPr>
          <w:rFonts w:ascii="Times New Roman" w:eastAsia="Times New Roman" w:hAnsi="Times New Roman" w:cs="Times New Roman"/>
          <w:sz w:val="24"/>
          <w:szCs w:val="24"/>
        </w:rPr>
        <w:t>Tan, V. (2014). Gerrymandering and Malapportionment. Retrieved from http://www.loyarburok.com/2014/04/07/gerrymandering-malapportionment/</w:t>
      </w:r>
    </w:p>
    <w:p w:rsidR="00346969" w:rsidRDefault="00346969" w:rsidP="0034696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[9]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Fann, T. (2014, May 15). Do or die re-delineation exercise for BN.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Free Malaysia Today</w:t>
      </w:r>
      <w:r>
        <w:rPr>
          <w:rFonts w:ascii="Times New Roman" w:eastAsia="Times New Roman" w:hAnsi="Times New Roman" w:cs="Times New Roman"/>
          <w:sz w:val="24"/>
          <w:szCs w:val="24"/>
        </w:rPr>
        <w:t>. Retrieved from http://www.freemalaysiatoday.com/category/opinion/2014/05/15/do-or-die-re-delineation-exercise-for-bn/</w:t>
      </w:r>
    </w:p>
    <w:p w:rsidR="007277EB" w:rsidRDefault="007277EB">
      <w:bookmarkStart w:id="0" w:name="_GoBack"/>
      <w:bookmarkEnd w:id="0"/>
    </w:p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69"/>
    <w:rsid w:val="00346969"/>
    <w:rsid w:val="007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6969"/>
    <w:pPr>
      <w:spacing w:line="276" w:lineRule="auto"/>
    </w:pPr>
    <w:rPr>
      <w:rFonts w:ascii="Arial" w:eastAsia="Arial" w:hAnsi="Arial" w:cs="Arial"/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6969"/>
    <w:pPr>
      <w:spacing w:line="276" w:lineRule="auto"/>
    </w:pPr>
    <w:rPr>
      <w:rFonts w:ascii="Arial" w:eastAsia="Arial" w:hAnsi="Arial" w:cs="Arial"/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Macintosh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2018-04-26T12:40:00Z</dcterms:created>
  <dcterms:modified xsi:type="dcterms:W3CDTF">2018-04-26T12:41:00Z</dcterms:modified>
</cp:coreProperties>
</file>