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38" w:rsidRPr="009B4138" w:rsidRDefault="009B4138" w:rsidP="009B4138">
      <w:pPr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r w:rsidRPr="009B4138">
        <w:rPr>
          <w:rFonts w:ascii="Times New Roman" w:eastAsia="MS Mincho" w:hAnsi="Times New Roman" w:cs="Times New Roman"/>
          <w:b/>
          <w:sz w:val="28"/>
          <w:szCs w:val="28"/>
          <w:u w:val="single"/>
          <w:lang w:val="en-US"/>
        </w:rPr>
        <w:t>Footnotes</w:t>
      </w:r>
    </w:p>
    <w:bookmarkEnd w:id="0"/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[1] Exception provided under Section 375 Penal Code.</w:t>
      </w:r>
    </w:p>
    <w:p w:rsidR="009B4138" w:rsidRDefault="009B4138" w:rsidP="009B4138">
      <w:pPr>
        <w:pStyle w:val="FootnoteText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[2] Rebecca Cook and others. (2006). </w:t>
      </w:r>
      <w:r>
        <w:rPr>
          <w:rFonts w:ascii="Times New Roman" w:hAnsi="Times New Roman" w:cs="Times New Roman"/>
          <w:i/>
          <w:iCs/>
          <w:sz w:val="24"/>
        </w:rPr>
        <w:t>Reproductive Health and Human Rights: Integrating Medicine, Ethics and Law</w:t>
      </w:r>
      <w:r>
        <w:rPr>
          <w:rFonts w:ascii="Times New Roman" w:hAnsi="Times New Roman" w:cs="Times New Roman"/>
          <w:sz w:val="24"/>
        </w:rPr>
        <w:t>. Oxford: Clarendon Press, pp. 144.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[3] Ibid.</w:t>
      </w:r>
    </w:p>
    <w:p w:rsidR="009B4138" w:rsidRDefault="009B4138" w:rsidP="009B4138">
      <w:pPr>
        <w:pStyle w:val="FootnoteText"/>
        <w:ind w:left="540" w:hanging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[4] Committee on the Elimination of Discrimination against Women, General Recommendations No. 19: Violence against Women, UN Doc. A/47/38 (1992).</w:t>
      </w:r>
    </w:p>
    <w:p w:rsidR="009B4138" w:rsidRDefault="009B4138" w:rsidP="009B4138">
      <w:pPr>
        <w:pStyle w:val="FootnoteText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[5] Charles Ngwena, (2011). </w:t>
      </w:r>
      <w:r>
        <w:rPr>
          <w:rFonts w:ascii="Times New Roman" w:hAnsi="Times New Roman" w:cs="Times New Roman"/>
          <w:i/>
          <w:iCs/>
          <w:sz w:val="24"/>
        </w:rPr>
        <w:t>Sexual Health and Human Rights in the African Region</w:t>
      </w:r>
      <w:r>
        <w:rPr>
          <w:rFonts w:ascii="Times New Roman" w:hAnsi="Times New Roman" w:cs="Times New Roman"/>
          <w:sz w:val="24"/>
        </w:rPr>
        <w:t> (ICHRP 2011), pp. 158.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[6] Matthew Hale. (1736). </w:t>
      </w:r>
      <w:r>
        <w:rPr>
          <w:rFonts w:ascii="Times New Roman" w:hAnsi="Times New Roman" w:cs="Times New Roman"/>
          <w:i/>
          <w:iCs/>
          <w:sz w:val="24"/>
        </w:rPr>
        <w:t>History of the Pleas of the Crown</w:t>
      </w:r>
      <w:r>
        <w:rPr>
          <w:rFonts w:ascii="Times New Roman" w:hAnsi="Times New Roman" w:cs="Times New Roman"/>
          <w:sz w:val="24"/>
        </w:rPr>
        <w:t> (1st ed.) pp. 629.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[7] [1992] 1 AC 579 at pp. 610.</w:t>
      </w:r>
    </w:p>
    <w:p w:rsidR="009B4138" w:rsidRDefault="009B4138" w:rsidP="009B4138">
      <w:pPr>
        <w:pStyle w:val="FootnoteText"/>
        <w:ind w:left="450" w:hanging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[8] Committee on the Elimination of Discrimination against Women: CEDAW, U.N. G.A.O.R., 66th Sess., Supp. No. 38 (A/66/38), Part III (2011) 142 at para. 17.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[9] Ibid.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[10] Scott Burris. (2006). </w:t>
      </w:r>
      <w:r>
        <w:rPr>
          <w:rFonts w:ascii="Times New Roman" w:hAnsi="Times New Roman" w:cs="Times New Roman"/>
          <w:i/>
          <w:iCs/>
          <w:sz w:val="24"/>
        </w:rPr>
        <w:t>Stigma and the Law</w:t>
      </w:r>
      <w:r>
        <w:rPr>
          <w:rFonts w:ascii="Times New Roman" w:hAnsi="Times New Roman" w:cs="Times New Roman"/>
          <w:sz w:val="24"/>
        </w:rPr>
        <w:t>. Lancet, pp. 529.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[11] Ibid.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[12] Ibid.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[13] Bonita Meyersfeld. (2010). </w:t>
      </w:r>
      <w:r>
        <w:rPr>
          <w:rFonts w:ascii="Times New Roman" w:hAnsi="Times New Roman" w:cs="Times New Roman"/>
          <w:i/>
          <w:iCs/>
          <w:sz w:val="24"/>
        </w:rPr>
        <w:t>Domestic Violence &amp; International Laws</w:t>
      </w:r>
      <w:r>
        <w:rPr>
          <w:rFonts w:ascii="Times New Roman" w:hAnsi="Times New Roman" w:cs="Times New Roman"/>
          <w:sz w:val="24"/>
        </w:rPr>
        <w:t xml:space="preserve">, pp. 19. 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[14] Ibid.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[15] Ibid.</w:t>
      </w:r>
    </w:p>
    <w:p w:rsidR="009B4138" w:rsidRDefault="009B4138" w:rsidP="009B4138">
      <w:pPr>
        <w:pStyle w:val="Footnote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[16] Ibid.</w:t>
      </w:r>
    </w:p>
    <w:p w:rsidR="007277EB" w:rsidRDefault="007277EB"/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charset w:val="86"/>
    <w:family w:val="auto"/>
    <w:pitch w:val="default"/>
    <w:sig w:usb0="00000003" w:usb1="288F0000" w:usb2="00000006" w:usb3="00000000" w:csb0="00040001" w:csb1="00000000"/>
  </w:font>
  <w:font w:name="MS Mincho">
    <w:charset w:val="80"/>
    <w:family w:val="moder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38"/>
    <w:rsid w:val="007277EB"/>
    <w:rsid w:val="009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38"/>
    <w:pPr>
      <w:spacing w:after="160" w:line="259" w:lineRule="auto"/>
    </w:pPr>
    <w:rPr>
      <w:rFonts w:eastAsia="SimSun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B41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4138"/>
    <w:rPr>
      <w:rFonts w:eastAsia="SimSun"/>
      <w:sz w:val="20"/>
      <w:szCs w:val="20"/>
      <w:lang w:val="en-MY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38"/>
    <w:pPr>
      <w:spacing w:after="160" w:line="259" w:lineRule="auto"/>
    </w:pPr>
    <w:rPr>
      <w:rFonts w:eastAsia="SimSun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B41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4138"/>
    <w:rPr>
      <w:rFonts w:eastAsia="SimSun"/>
      <w:sz w:val="20"/>
      <w:szCs w:val="2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Macintosh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2018-02-06T13:50:00Z</dcterms:created>
  <dcterms:modified xsi:type="dcterms:W3CDTF">2018-02-06T13:50:00Z</dcterms:modified>
</cp:coreProperties>
</file>