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F3" w:rsidRDefault="008324F3"/>
    <w:p w:rsidR="004521F6" w:rsidRPr="004521F6" w:rsidRDefault="004521F6" w:rsidP="006B7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C865A2" w:rsidRPr="004521F6" w:rsidRDefault="00C865A2" w:rsidP="00C8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SCHEMA DI DECRETO-LEGGE RECANTE </w:t>
      </w:r>
      <w:r w:rsidRPr="004521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MISURE URGENTI CONNESSE CON LA SCADENZA DELLA DICHIARAZIONE DI EMERGENZA EPIDEMIOLOGICA DA COVID-19 DELIBERATA 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…….</w:t>
      </w:r>
      <w:r w:rsidR="00CB2D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521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2020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 LA </w:t>
      </w:r>
      <w:r w:rsidRPr="006B732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CONTINUITÀ OPERATIVA DEL SISTEMA DI ALLERTA COVID</w:t>
      </w:r>
      <w:r w:rsidR="009608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NONCHE’ ATTUAZIONE </w:t>
      </w:r>
      <w:r w:rsidR="00960831" w:rsidRPr="009608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DELLA DIRETTIVA</w:t>
      </w:r>
      <w:r w:rsidR="009608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(UE)</w:t>
      </w:r>
      <w:r w:rsidR="00960831" w:rsidRPr="009608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2020/739 DEL 3 GIUGNO 2020</w:t>
      </w:r>
    </w:p>
    <w:p w:rsidR="004521F6" w:rsidRPr="004521F6" w:rsidRDefault="004521F6" w:rsidP="004521F6">
      <w:pPr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</w:p>
    <w:p w:rsidR="004521F6" w:rsidRPr="004521F6" w:rsidRDefault="004521F6" w:rsidP="004521F6">
      <w:pPr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521F6" w:rsidRPr="004521F6" w:rsidRDefault="004521F6" w:rsidP="004521F6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 DELLA REPUBBLICA </w:t>
      </w:r>
    </w:p>
    <w:p w:rsidR="004521F6" w:rsidRDefault="00B638D2" w:rsidP="004521F6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Visti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</w:t>
      </w:r>
      <w:r w:rsidR="004521F6" w:rsidRPr="004521F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articoli 77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4521F6" w:rsidRPr="004521F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87 della Costituzione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B638D2" w:rsidRPr="004521F6" w:rsidRDefault="00B638D2" w:rsidP="00B638D2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Vista</w:t>
      </w:r>
      <w:r w:rsidRPr="00B638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direttiva della Commissione n. 2020/739/UE del 3 giugno 2020, che modifica l'allegato III della direttiva 2000/54/CE del Parlamento europeo e del Consiglio per quanto riguarda l'inserimento del SARS-CoV-2 nell'elenco degli agenti biologici di cui è noto che possono causare malattie infettive nell'uomo;</w:t>
      </w:r>
    </w:p>
    <w:p w:rsidR="004521F6" w:rsidRPr="004521F6" w:rsidRDefault="004521F6" w:rsidP="004521F6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Tenuto conto che l'organizzazione mondiale della sanità ha dichiarato la pandemia da COVID-19; </w:t>
      </w:r>
    </w:p>
    <w:p w:rsidR="004521F6" w:rsidRPr="004521F6" w:rsidRDefault="004521F6" w:rsidP="004521F6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Ritenuta la straordinaria necessità e urgenza di adottare adeguate e proporzionate misure di contrasto e contenimento alla diffusione del predetto virus; </w:t>
      </w:r>
    </w:p>
    <w:p w:rsidR="004521F6" w:rsidRDefault="004521F6" w:rsidP="006B732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Considerato che </w:t>
      </w:r>
      <w:r w:rsidR="006B732B">
        <w:rPr>
          <w:rFonts w:ascii="Times New Roman" w:eastAsia="Times New Roman" w:hAnsi="Times New Roman" w:cs="Times New Roman"/>
          <w:sz w:val="24"/>
          <w:szCs w:val="24"/>
          <w:lang w:eastAsia="it-IT"/>
        </w:rPr>
        <w:t>la curva dei contagi in Italia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dimostra che persiste una diffusione del virus che provoca focolai anche di dimensioni rilevanti, e che sussistono pertanto le condizioni oggettive per il mantenimento delle disposizioni emergenziali e urgenti dirette a contenere la diffusione del virus; </w:t>
      </w:r>
    </w:p>
    <w:p w:rsidR="00B638D2" w:rsidRPr="004521F6" w:rsidRDefault="00B638D2" w:rsidP="006B732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B638D2">
        <w:rPr>
          <w:rFonts w:ascii="Times New Roman" w:eastAsia="Times New Roman" w:hAnsi="Times New Roman" w:cs="Times New Roman"/>
          <w:sz w:val="24"/>
          <w:szCs w:val="24"/>
          <w:lang w:eastAsia="it-IT"/>
        </w:rPr>
        <w:t>onsiderata la straordinaria necessità e urgenza di dare attuazione alla direttiva della Commissione n. 2020/739/UE del 3 giugno 2020 entro il termine di recepimento fissato per la data del 24 novembre 2020;</w:t>
      </w:r>
    </w:p>
    <w:p w:rsidR="003E55C8" w:rsidRDefault="004521F6" w:rsidP="006B732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Ritenuta la straordinaria necessità e urgenza di prorogare le disposizioni di cui al </w:t>
      </w:r>
      <w:r w:rsidRPr="003E55C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decreto-legge 25 marzo 2020, n. 19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convertito, con modificazioni, dalla </w:t>
      </w:r>
      <w:r w:rsidRPr="003E55C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legge 22 maggio 2020, n. 35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, e dall'</w:t>
      </w:r>
      <w:r w:rsidRPr="003E55C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articolo 3, comma 1, del decreto-legge 16 maggio 2020, n. 33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convertito, con modificazioni, dalla </w:t>
      </w:r>
      <w:r w:rsidRPr="003E55C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legge 14 luglio 2020, n. 74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B732B" w:rsidRPr="003E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decreto-legge </w:t>
      </w:r>
      <w:r w:rsidR="006B732B" w:rsidRPr="003E55C8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30 luglio 2020, n. 83, convertito, con modificazioni, dalla </w:t>
      </w:r>
      <w:r w:rsidR="00293C6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legge 25 settembre 2020, n. 124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521F6" w:rsidRDefault="003E55C8" w:rsidP="006B732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Ritenuta altresì……………………………………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521F6" w:rsidRPr="004521F6" w:rsidRDefault="004521F6" w:rsidP="004521F6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deliberazione del Consiglio dei ministri, adottata nella riunione del</w:t>
      </w:r>
      <w:r w:rsidRPr="003E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4521F6" w:rsidRDefault="004521F6" w:rsidP="004521F6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proposta del Preside</w:t>
      </w:r>
      <w:r w:rsidR="00960831">
        <w:rPr>
          <w:rFonts w:ascii="Times New Roman" w:eastAsia="Times New Roman" w:hAnsi="Times New Roman" w:cs="Times New Roman"/>
          <w:sz w:val="24"/>
          <w:szCs w:val="24"/>
          <w:lang w:eastAsia="it-IT"/>
        </w:rPr>
        <w:t>nte del Consiglio dei ministri,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Ministro della salute, di concerto con il Ministro dell'economia e delle finanze; </w:t>
      </w:r>
    </w:p>
    <w:p w:rsidR="009B3F84" w:rsidRPr="004521F6" w:rsidRDefault="009B3F84" w:rsidP="004521F6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21F6" w:rsidRPr="004521F6" w:rsidRDefault="004521F6" w:rsidP="004521F6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EMANA </w:t>
      </w:r>
    </w:p>
    <w:p w:rsidR="004521F6" w:rsidRPr="004521F6" w:rsidRDefault="004521F6" w:rsidP="004521F6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seguente decreto-legge: </w:t>
      </w:r>
    </w:p>
    <w:p w:rsidR="008068BA" w:rsidRPr="008068BA" w:rsidRDefault="008068BA" w:rsidP="008068B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68B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</w:t>
      </w:r>
      <w:r w:rsidR="004521F6" w:rsidRPr="008068B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1.</w:t>
      </w:r>
    </w:p>
    <w:p w:rsidR="004521F6" w:rsidRPr="004521F6" w:rsidRDefault="00831A69" w:rsidP="00F054D8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(</w:t>
      </w:r>
      <w:r w:rsidR="0096083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Misure urgenti strettamente connesse con la proroga della dichiarazione dello stato di emergenza da COVID 19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)</w:t>
      </w:r>
    </w:p>
    <w:p w:rsidR="004521F6" w:rsidRDefault="004521F6" w:rsidP="004521F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All'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articolo 1 del decreto-legge 25 marzo 2020, n. 19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convertito, con modificazioni, dalla 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legge 22 maggio 2020, n. 35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, sono apportate le seguenti modificazioni:</w:t>
      </w:r>
    </w:p>
    <w:p w:rsidR="004521F6" w:rsidRDefault="004521F6" w:rsidP="004521F6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</w:t>
      </w:r>
      <w:r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parole «</w:t>
      </w:r>
      <w:r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15 ottobre</w:t>
      </w:r>
      <w:r w:rsidRPr="004521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2020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» sono sostituite dalle seguenti: «</w:t>
      </w:r>
      <w:r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31 gennaio 2021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»; </w:t>
      </w:r>
    </w:p>
    <w:p w:rsidR="008068BA" w:rsidRPr="00CB2D96" w:rsidRDefault="005832CB" w:rsidP="008068BA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</w:t>
      </w:r>
      <w:r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la lettera hh) è aggiunta la seguente: «</w:t>
      </w:r>
      <w:r w:rsidR="00831A69" w:rsidRPr="00831A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hh-bis</w:t>
      </w:r>
      <w:r w:rsidR="008068BA" w:rsidRPr="00831A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obbligo di </w:t>
      </w:r>
      <w:r w:rsidR="00561CC8" w:rsidRPr="00F85CA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avere sempre con sé</w:t>
      </w:r>
      <w:r w:rsidR="008068BA" w:rsidRPr="00F85CA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dispos</w:t>
      </w:r>
      <w:r w:rsid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itivi di protezione </w:t>
      </w:r>
      <w:r w:rsidR="00B773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delle vie respiratorie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EF0E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 possibilità di preveder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 w:rsidR="00EF0E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l’obblig</w:t>
      </w:r>
      <w:r w:rsidR="00EF0E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atorietà dell’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utilizzo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B773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nei luoghi al chiuso accessibili al pubblico, inclusi i mezzi di trasporto, e in tutti i luoghi 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all’aperto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allorché si sia in </w:t>
      </w:r>
      <w:r w:rsidR="00EF0E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prossimità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 altre persone</w:t>
      </w:r>
      <w:r w:rsidR="00EF0E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non conviventi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comunque con salvezza dei</w:t>
      </w:r>
      <w:r w:rsidR="00561CC8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prot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ocolli anti-contagio previsti per specifiche</w:t>
      </w:r>
      <w:r w:rsidR="00561CC8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attività </w:t>
      </w:r>
      <w:r w:rsidR="00561CC8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economiche</w:t>
      </w:r>
      <w:r w:rsidR="009443E6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561CC8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produttive</w:t>
      </w:r>
      <w:r w:rsidR="009443E6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sociali</w:t>
      </w:r>
      <w:r w:rsidR="00561CC8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nonché delle linee guida per il consumo di cibi e bevande,</w:t>
      </w:r>
      <w:r w:rsidR="00063ADB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restando</w:t>
      </w:r>
      <w:r w:rsidR="008068BA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esclusi da</w:t>
      </w:r>
      <w:r w:rsidR="00831A6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detti</w:t>
      </w:r>
      <w:r w:rsidR="008068BA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obblig</w:t>
      </w:r>
      <w:r w:rsidR="00831A6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hi</w:t>
      </w:r>
      <w:r w:rsidR="008068BA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:</w:t>
      </w:r>
    </w:p>
    <w:p w:rsidR="008068BA" w:rsidRPr="008068BA" w:rsidRDefault="00831A69" w:rsidP="008068BA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 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soggetti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che stanno svolgendo 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attività sportiva;</w:t>
      </w:r>
    </w:p>
    <w:p w:rsidR="008068BA" w:rsidRPr="008068BA" w:rsidRDefault="00063ADB" w:rsidP="008068BA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2) 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 </w:t>
      </w:r>
      <w:r w:rsidR="00831A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bambini di 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età inferiore ai sei anni; </w:t>
      </w:r>
    </w:p>
    <w:p w:rsidR="005832CB" w:rsidRDefault="008068BA" w:rsidP="00063ADB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3)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 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soggetti</w:t>
      </w:r>
      <w:r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</w:t>
      </w:r>
      <w:r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patologie 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 disabilità </w:t>
      </w:r>
      <w:r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incompatibili con l’uso della mascherina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nonché coloro che per interagire con i predetti versino nella stessa incompatibilità.</w:t>
      </w:r>
      <w:r w:rsid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».</w:t>
      </w:r>
    </w:p>
    <w:p w:rsidR="00960831" w:rsidRDefault="00960831" w:rsidP="00FA62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6270" w:rsidRDefault="004521F6" w:rsidP="00FA62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</w:t>
      </w:r>
      <w:r w:rsidRPr="004521F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decreto-legge 16 maggio 2020, n. 33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convertito, con modificazioni, dalla 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legge 14 luglio 2020, n. 74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 apportate le seguenti modificazioni:</w:t>
      </w:r>
    </w:p>
    <w:p w:rsidR="004521F6" w:rsidRPr="00FA6270" w:rsidRDefault="00FA6270" w:rsidP="00FA62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</w:t>
      </w:r>
      <w:r w:rsidR="007304B2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all’articolo 1, comma 16, le parole «, </w:t>
      </w:r>
      <w:r w:rsidR="007304B2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ampliative o restrittive,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rispetto a quelle disposte ai sensi del medesimo articolo 2</w:t>
      </w:r>
      <w:r w:rsidR="007304B2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» sono sostituite dalle seguenti: «</w:t>
      </w:r>
      <w:r w:rsidR="007304B2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restrittive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rispetto a quelle disposte ai sensi del medesimo articolo 2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="007304B2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vvero</w:t>
      </w:r>
      <w:r w:rsidR="002F37C9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nei soli </w:t>
      </w:r>
      <w:r w:rsidR="002F37C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casi </w:t>
      </w:r>
      <w:r w:rsidR="00424CCF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nel rispetto dei criteri </w:t>
      </w:r>
      <w:r w:rsidR="002F37C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previsti dai citati decreti e</w:t>
      </w:r>
      <w:r w:rsidR="002F37C9" w:rsidRPr="00CB2D96">
        <w:rPr>
          <w:rFonts w:ascii="Times New Roman" w:eastAsia="Times New Roman" w:hAnsi="Times New Roman" w:cs="Times New Roman"/>
          <w:i/>
          <w:strike/>
          <w:sz w:val="24"/>
          <w:szCs w:val="24"/>
          <w:lang w:eastAsia="it-IT"/>
        </w:rPr>
        <w:t xml:space="preserve"> </w:t>
      </w:r>
      <w:r w:rsidR="00135C2A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d’int</w:t>
      </w:r>
      <w:r w:rsidR="00CB2D96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esa con il Ministro della Salute</w:t>
      </w:r>
      <w:r w:rsidR="002F37C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="00063ADB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anche</w:t>
      </w:r>
      <w:r w:rsidR="002F37C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ampliative</w:t>
      </w:r>
      <w:r w:rsidR="00891734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="00891734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»; </w:t>
      </w:r>
    </w:p>
    <w:p w:rsidR="004521F6" w:rsidRPr="004521F6" w:rsidRDefault="00FA6270" w:rsidP="00FA62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4521F6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all’</w:t>
      </w:r>
      <w:r w:rsidR="004521F6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articolo 3, comma 1, 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parole «</w:t>
      </w:r>
      <w:r w:rsidR="004521F6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15 ottobre</w:t>
      </w:r>
      <w:r w:rsidR="004521F6" w:rsidRPr="004521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2020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» sono sostituite dalle seguenti</w:t>
      </w:r>
      <w:r w:rsid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</w:t>
      </w:r>
      <w:r w:rsidR="004521F6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31 gennaio 2021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».</w:t>
      </w:r>
    </w:p>
    <w:p w:rsidR="006476B7" w:rsidRDefault="004521F6" w:rsidP="006476B7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</w:t>
      </w:r>
      <w:r w:rsidR="00891734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 decreto-legge 30 luglio 2020, n. 83, convertito, con modificazioni, dalla legge 25 settembre 2020, n. 124, </w:t>
      </w:r>
      <w:r w:rsidR="006476B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sono apportate le seguenti modificazioni:</w:t>
      </w:r>
    </w:p>
    <w:p w:rsidR="004521F6" w:rsidRDefault="006476B7" w:rsidP="006476B7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a) </w:t>
      </w:r>
      <w:r w:rsidR="00891734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all’articolo 1, comma 3, le parole «</w:t>
      </w:r>
      <w:r w:rsidR="004521F6" w:rsidRPr="004521F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15 ottobre 2020</w:t>
      </w:r>
      <w:r w:rsidR="00891734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» sono sostituite dalle seguenti:</w:t>
      </w:r>
      <w:r w:rsidR="005832CB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891734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«</w:t>
      </w:r>
      <w:r w:rsidR="00891734" w:rsidRPr="00FA627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31 gennaio 2021</w:t>
      </w:r>
      <w:r w:rsidR="00891734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:rsidR="003B425D" w:rsidRDefault="006476B7" w:rsidP="006476B7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b) a</w:t>
      </w:r>
      <w:r w:rsidR="00960831">
        <w:rPr>
          <w:rFonts w:ascii="Times New Roman" w:eastAsia="Times New Roman" w:hAnsi="Times New Roman" w:cs="Times New Roman"/>
          <w:sz w:val="24"/>
          <w:szCs w:val="24"/>
          <w:lang w:eastAsia="it-IT"/>
        </w:rPr>
        <w:t>ll’A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llegato </w:t>
      </w:r>
      <w:r w:rsidR="00FF5812" w:rsidRPr="00FF58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  <w:r w:rsidR="003D77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apportate le </w:t>
      </w:r>
      <w:r w:rsidR="00474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</w:t>
      </w:r>
      <w:r w:rsidR="003D777C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</w:t>
      </w:r>
      <w:r w:rsidR="0047483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74836" w:rsidRDefault="00474836" w:rsidP="0047483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1) dopo il numero 16 è inserito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474836" w:rsidTr="004C2156">
        <w:tc>
          <w:tcPr>
            <w:tcW w:w="988" w:type="dxa"/>
          </w:tcPr>
          <w:p w:rsidR="00474836" w:rsidRDefault="00474836" w:rsidP="004C2156">
            <w:pPr>
              <w:spacing w:before="100" w:beforeAutospacing="1" w:after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16-bis</w:t>
            </w:r>
          </w:p>
        </w:tc>
        <w:tc>
          <w:tcPr>
            <w:tcW w:w="8640" w:type="dxa"/>
          </w:tcPr>
          <w:p w:rsidR="00474836" w:rsidRDefault="00474836" w:rsidP="004C2156">
            <w:pPr>
              <w:spacing w:before="100" w:beforeAutospacing="1" w:after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Articolo 87, commi 6 e 7, del decreto-legge 17 marzo 2020, n. 18, convertito con modificazioni dalla legge 24 aprile 2020, n. 27</w:t>
            </w:r>
          </w:p>
        </w:tc>
      </w:tr>
    </w:tbl>
    <w:p w:rsidR="00474836" w:rsidRDefault="00474836" w:rsidP="0047483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2) il numero 18 è sostituito dal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474836" w:rsidTr="004C2156">
        <w:tc>
          <w:tcPr>
            <w:tcW w:w="988" w:type="dxa"/>
          </w:tcPr>
          <w:p w:rsidR="00474836" w:rsidRDefault="00474836" w:rsidP="004C2156">
            <w:pPr>
              <w:spacing w:before="100" w:beforeAutospacing="1" w:after="2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640" w:type="dxa"/>
          </w:tcPr>
          <w:p w:rsidR="00474836" w:rsidRDefault="00474836" w:rsidP="004C2156">
            <w:pPr>
              <w:spacing w:before="100" w:beforeAutospacing="1" w:after="2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Articolo 101, comma 6-ter, del decreto-legge 17 marzo 2020, n. 18, convertito con modificazioni dalla legge 24 aprile 2020, n. 27</w:t>
            </w:r>
          </w:p>
        </w:tc>
      </w:tr>
    </w:tbl>
    <w:p w:rsidR="00474836" w:rsidRDefault="00474836" w:rsidP="0047483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74836" w:rsidRDefault="00960831" w:rsidP="00474836">
      <w:pPr>
        <w:contextualSpacing/>
      </w:pPr>
      <w:r>
        <w:rPr>
          <w:rFonts w:ascii="Times New Roman" w:hAnsi="Times New Roman" w:cs="Times New Roman"/>
          <w:i/>
        </w:rPr>
        <w:t>3</w:t>
      </w:r>
      <w:r w:rsidR="00474836" w:rsidRPr="00DC0DF0">
        <w:rPr>
          <w:rFonts w:ascii="Times New Roman" w:hAnsi="Times New Roman" w:cs="Times New Roman"/>
          <w:i/>
        </w:rPr>
        <w:t xml:space="preserve">) </w:t>
      </w:r>
      <w:r w:rsidR="00474836" w:rsidRPr="00DC0DF0">
        <w:rPr>
          <w:rFonts w:ascii="Times New Roman" w:hAnsi="Times New Roman" w:cs="Times New Roman"/>
          <w:i/>
          <w:sz w:val="24"/>
          <w:szCs w:val="24"/>
        </w:rPr>
        <w:t>dopo il numero 33 è inserito il seguente</w:t>
      </w:r>
      <w:r w:rsidR="0047483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474836" w:rsidTr="004C2156">
        <w:tc>
          <w:tcPr>
            <w:tcW w:w="988" w:type="dxa"/>
          </w:tcPr>
          <w:p w:rsidR="00474836" w:rsidRPr="00DC0DF0" w:rsidRDefault="00474836" w:rsidP="004C215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F0">
              <w:rPr>
                <w:rFonts w:ascii="Times New Roman" w:hAnsi="Times New Roman" w:cs="Times New Roman"/>
                <w:i/>
                <w:sz w:val="24"/>
                <w:szCs w:val="24"/>
              </w:rPr>
              <w:t>33-bis</w:t>
            </w:r>
          </w:p>
        </w:tc>
        <w:tc>
          <w:tcPr>
            <w:tcW w:w="8640" w:type="dxa"/>
          </w:tcPr>
          <w:p w:rsidR="00474836" w:rsidRPr="00DC0DF0" w:rsidRDefault="00474836" w:rsidP="004C215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F0">
              <w:rPr>
                <w:rFonts w:ascii="Times New Roman" w:hAnsi="Times New Roman" w:cs="Times New Roman"/>
                <w:i/>
                <w:sz w:val="24"/>
                <w:szCs w:val="24"/>
              </w:rPr>
              <w:t>Articolo 221, comma 2, del decr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eto-legge 19 maggio 2020, n. 34, c</w:t>
            </w:r>
            <w:r w:rsidRPr="00DC0DF0">
              <w:rPr>
                <w:rFonts w:ascii="Times New Roman" w:hAnsi="Times New Roman" w:cs="Times New Roman"/>
                <w:i/>
                <w:sz w:val="24"/>
                <w:szCs w:val="24"/>
              </w:rPr>
              <w:t>onvertito, con modificazioni, dalla legge 17 luglio 2020, n. 77</w:t>
            </w:r>
          </w:p>
        </w:tc>
      </w:tr>
    </w:tbl>
    <w:p w:rsidR="00474836" w:rsidRDefault="00474836" w:rsidP="00474836"/>
    <w:p w:rsidR="00474836" w:rsidRPr="00DC0DF0" w:rsidRDefault="00960831" w:rsidP="004748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474836">
        <w:rPr>
          <w:rFonts w:ascii="Times New Roman" w:hAnsi="Times New Roman" w:cs="Times New Roman"/>
          <w:i/>
          <w:sz w:val="24"/>
          <w:szCs w:val="24"/>
        </w:rPr>
        <w:t>) dopo il numero 34 è aggiunto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474836" w:rsidTr="004C2156">
        <w:tc>
          <w:tcPr>
            <w:tcW w:w="988" w:type="dxa"/>
          </w:tcPr>
          <w:p w:rsidR="00474836" w:rsidRPr="00DC0DF0" w:rsidRDefault="00474836" w:rsidP="004C2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34</w:t>
            </w:r>
            <w:r w:rsidRPr="00DC0D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bis</w:t>
            </w:r>
          </w:p>
        </w:tc>
        <w:tc>
          <w:tcPr>
            <w:tcW w:w="8640" w:type="dxa"/>
          </w:tcPr>
          <w:p w:rsidR="00474836" w:rsidRPr="00DC0DF0" w:rsidRDefault="00474836" w:rsidP="004C2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Articolo </w:t>
            </w:r>
            <w:r w:rsidRPr="00E0132C">
              <w:rPr>
                <w:rFonts w:ascii="Times New Roman" w:hAnsi="Times New Roman" w:cs="Times New Roman"/>
                <w:i/>
                <w:sz w:val="24"/>
                <w:szCs w:val="24"/>
              </w:rPr>
              <w:t>35 del decreto-legge 14 agosto 2020, n. 104</w:t>
            </w:r>
          </w:p>
        </w:tc>
      </w:tr>
    </w:tbl>
    <w:p w:rsidR="00960831" w:rsidRDefault="00960831" w:rsidP="00960831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60831" w:rsidRDefault="00960831" w:rsidP="0096083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960831">
        <w:rPr>
          <w:rFonts w:ascii="Times New Roman" w:hAnsi="Times New Roman" w:cs="Times New Roman"/>
          <w:i/>
          <w:sz w:val="24"/>
          <w:szCs w:val="24"/>
        </w:rPr>
        <w:t>) i numeri 28 e 29 sono soppressi;</w:t>
      </w:r>
    </w:p>
    <w:p w:rsidR="00474836" w:rsidRDefault="00474836" w:rsidP="006476B7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1201" w:rsidRPr="004521F6" w:rsidRDefault="008C1201" w:rsidP="008C1201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4. All’articolo 8</w:t>
      </w:r>
      <w:r w:rsidR="00054DED">
        <w:rPr>
          <w:rFonts w:ascii="Times New Roman" w:eastAsia="Times New Roman" w:hAnsi="Times New Roman" w:cs="Times New Roman"/>
          <w:sz w:val="24"/>
          <w:szCs w:val="24"/>
          <w:lang w:eastAsia="it-IT"/>
        </w:rPr>
        <w:t>7, comma 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Pr="002E1187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decreto-legge 17 marzo 2020, n. 18, convertito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E11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modificazioni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E11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legge 24 aprile 2020, n. 27</w:t>
      </w:r>
      <w:r w:rsidR="00054DED">
        <w:rPr>
          <w:rFonts w:ascii="Times New Roman" w:eastAsia="Times New Roman" w:hAnsi="Times New Roman" w:cs="Times New Roman"/>
          <w:sz w:val="24"/>
          <w:szCs w:val="24"/>
          <w:lang w:eastAsia="it-IT"/>
        </w:rPr>
        <w:t>, le parole “del comma 1, primo periodo,” sono sostituite dalle seguenti: “dei commi 6 e 7”.</w:t>
      </w:r>
    </w:p>
    <w:p w:rsidR="008C1201" w:rsidRDefault="008C1201" w:rsidP="006476B7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68BA" w:rsidRDefault="008068BA" w:rsidP="008068B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54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</w:t>
      </w:r>
      <w:r w:rsidR="00054D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F054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</w:t>
      </w:r>
    </w:p>
    <w:p w:rsidR="008068BA" w:rsidRPr="008068BA" w:rsidRDefault="008068BA" w:rsidP="008068BA">
      <w:pPr>
        <w:spacing w:after="60" w:line="273" w:lineRule="auto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068BA">
        <w:rPr>
          <w:rFonts w:ascii="Times New Roman" w:hAnsi="Times New Roman" w:cs="Times New Roman"/>
          <w:i/>
          <w:sz w:val="24"/>
          <w:szCs w:val="24"/>
          <w:highlight w:val="white"/>
        </w:rPr>
        <w:t>(Continuità operativa del sistema di allerta COVID)</w:t>
      </w:r>
    </w:p>
    <w:p w:rsidR="008068BA" w:rsidRPr="008068BA" w:rsidRDefault="008068BA" w:rsidP="008068BA">
      <w:pPr>
        <w:spacing w:after="6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1. All’articolo 6, del decreto-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>legge 30 aprile 2020, n. 28, convertito</w:t>
      </w:r>
      <w:r>
        <w:rPr>
          <w:rFonts w:ascii="Times New Roman" w:hAnsi="Times New Roman" w:cs="Times New Roman"/>
          <w:sz w:val="24"/>
          <w:szCs w:val="24"/>
          <w:highlight w:val="white"/>
        </w:rPr>
        <w:t>, con modificazioni, dalla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 xml:space="preserve"> legge 25 giugno 2020, n. 70, sono apportate le seguenti modificazioni:</w:t>
      </w:r>
    </w:p>
    <w:p w:rsidR="008068BA" w:rsidRPr="008068BA" w:rsidRDefault="008068BA" w:rsidP="008068BA">
      <w:pPr>
        <w:numPr>
          <w:ilvl w:val="0"/>
          <w:numId w:val="1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068BA">
        <w:rPr>
          <w:rFonts w:ascii="Times New Roman" w:hAnsi="Times New Roman" w:cs="Times New Roman"/>
          <w:sz w:val="24"/>
          <w:szCs w:val="24"/>
          <w:highlight w:val="white"/>
        </w:rPr>
        <w:t>al comma 3, è</w:t>
      </w:r>
      <w:r w:rsidR="00745732">
        <w:rPr>
          <w:rFonts w:ascii="Times New Roman" w:hAnsi="Times New Roman" w:cs="Times New Roman"/>
          <w:sz w:val="24"/>
          <w:szCs w:val="24"/>
          <w:highlight w:val="white"/>
        </w:rPr>
        <w:t xml:space="preserve"> aggiunto</w:t>
      </w:r>
      <w:r w:rsidR="00DF3040">
        <w:rPr>
          <w:rFonts w:ascii="Times New Roman" w:hAnsi="Times New Roman" w:cs="Times New Roman"/>
          <w:sz w:val="24"/>
          <w:szCs w:val="24"/>
          <w:highlight w:val="white"/>
        </w:rPr>
        <w:t xml:space="preserve">, in fine, </w:t>
      </w:r>
      <w:r w:rsidR="00745732">
        <w:rPr>
          <w:rFonts w:ascii="Times New Roman" w:hAnsi="Times New Roman" w:cs="Times New Roman"/>
          <w:sz w:val="24"/>
          <w:szCs w:val="24"/>
          <w:highlight w:val="white"/>
        </w:rPr>
        <w:t>il seguente periodo: «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 xml:space="preserve">Al solo fine indicato al comma 1, previa valutazione d’impatto ai sensi dell’articolo 35 del Regolamento (UE) 2016/679, è consentita l’interoperabilità con le piattaforme che operano, con le medesime finalità, nel </w:t>
      </w:r>
      <w:r w:rsidR="00745732">
        <w:rPr>
          <w:rFonts w:ascii="Times New Roman" w:hAnsi="Times New Roman" w:cs="Times New Roman"/>
          <w:sz w:val="24"/>
          <w:szCs w:val="24"/>
          <w:highlight w:val="white"/>
        </w:rPr>
        <w:t>territorio dell’Unione europea.»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8068BA" w:rsidRPr="008068BA" w:rsidRDefault="008068BA" w:rsidP="008068BA">
      <w:pPr>
        <w:numPr>
          <w:ilvl w:val="0"/>
          <w:numId w:val="1"/>
        </w:numPr>
        <w:spacing w:after="6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068BA">
        <w:rPr>
          <w:rFonts w:ascii="Times New Roman" w:hAnsi="Times New Roman" w:cs="Times New Roman"/>
          <w:sz w:val="24"/>
          <w:szCs w:val="24"/>
          <w:highlight w:val="white"/>
        </w:rPr>
        <w:t>al comma 6</w:t>
      </w:r>
      <w:r w:rsidR="00745732">
        <w:rPr>
          <w:rFonts w:ascii="Times New Roman" w:hAnsi="Times New Roman" w:cs="Times New Roman"/>
          <w:sz w:val="24"/>
          <w:szCs w:val="24"/>
          <w:highlight w:val="white"/>
        </w:rPr>
        <w:t>, le parole «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>dello stato di emergenza disposto con delibera del Consiglio dei ministri del 31 gennaio 2020, e comunque</w:t>
      </w:r>
      <w:r w:rsidR="00745732">
        <w:rPr>
          <w:rFonts w:ascii="Times New Roman" w:hAnsi="Times New Roman" w:cs="Times New Roman"/>
          <w:sz w:val="24"/>
          <w:szCs w:val="24"/>
          <w:highlight w:val="white"/>
        </w:rPr>
        <w:t xml:space="preserve"> non oltre il 31 dicembre 2020,»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 xml:space="preserve"> sono sostituite dalle seguenti:</w:t>
      </w:r>
      <w:r w:rsidR="00745732"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>delle esigenze di protezione e prevenzione sanitaria, legate alla diffusione del COVID 19 anche a carattere transfrontaliero, individuata con decreto del Presidente del Consiglio dei Ministri, su proposta del Ministro della salute, e comu</w:t>
      </w:r>
      <w:r w:rsidR="00745732">
        <w:rPr>
          <w:rFonts w:ascii="Times New Roman" w:hAnsi="Times New Roman" w:cs="Times New Roman"/>
          <w:sz w:val="24"/>
          <w:szCs w:val="24"/>
          <w:highlight w:val="white"/>
        </w:rPr>
        <w:t>nque entro il 31 dicembre 2021,»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068BA" w:rsidRPr="008068BA" w:rsidRDefault="008068BA" w:rsidP="008068BA">
      <w:pPr>
        <w:spacing w:after="6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A31DE" w:rsidRDefault="003A31DE" w:rsidP="008068B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4319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 3</w:t>
      </w:r>
    </w:p>
    <w:p w:rsidR="00D4319C" w:rsidRPr="00D4319C" w:rsidRDefault="00D4319C" w:rsidP="00D4319C">
      <w:pPr>
        <w:jc w:val="both"/>
        <w:rPr>
          <w:rFonts w:ascii="Times New Roman" w:hAnsi="Times New Roman" w:cs="Times New Roman"/>
          <w:sz w:val="24"/>
          <w:szCs w:val="24"/>
        </w:rPr>
      </w:pPr>
      <w:r w:rsidRPr="00D4319C">
        <w:rPr>
          <w:rFonts w:ascii="Times New Roman" w:hAnsi="Times New Roman" w:cs="Times New Roman"/>
          <w:sz w:val="24"/>
          <w:szCs w:val="24"/>
        </w:rPr>
        <w:t>(</w:t>
      </w:r>
      <w:r w:rsidRPr="00D4319C">
        <w:rPr>
          <w:rFonts w:ascii="Times New Roman" w:hAnsi="Times New Roman" w:cs="Times New Roman"/>
          <w:i/>
          <w:sz w:val="24"/>
          <w:szCs w:val="24"/>
        </w:rPr>
        <w:t>Proroga termini in materia di nuovi trattamenti di cassa integrazione ordinaria, assegno ordinario e cassa integrazione in deroga</w:t>
      </w:r>
      <w:r w:rsidRPr="00D4319C">
        <w:rPr>
          <w:rFonts w:ascii="Times New Roman" w:hAnsi="Times New Roman" w:cs="Times New Roman"/>
          <w:sz w:val="24"/>
          <w:szCs w:val="24"/>
        </w:rPr>
        <w:t>)</w:t>
      </w:r>
    </w:p>
    <w:p w:rsidR="00D4319C" w:rsidRPr="005F660C" w:rsidRDefault="00D4319C" w:rsidP="00D4319C">
      <w:pPr>
        <w:jc w:val="both"/>
        <w:rPr>
          <w:rFonts w:ascii="Times New Roman" w:hAnsi="Times New Roman" w:cs="Times New Roman"/>
          <w:sz w:val="24"/>
          <w:szCs w:val="24"/>
        </w:rPr>
      </w:pPr>
      <w:r w:rsidRPr="00D4319C">
        <w:rPr>
          <w:rFonts w:ascii="Times New Roman" w:hAnsi="Times New Roman" w:cs="Times New Roman"/>
          <w:sz w:val="24"/>
          <w:szCs w:val="24"/>
        </w:rPr>
        <w:t>1.I termini di cui ai commi 9 e 10 dell’articolo 1, del decreto-legge 14 agosto 2020, n. 104, recante “Misure urgenti per il sostegno e i</w:t>
      </w:r>
      <w:r w:rsidR="00E435D6">
        <w:rPr>
          <w:rFonts w:ascii="Times New Roman" w:hAnsi="Times New Roman" w:cs="Times New Roman"/>
          <w:sz w:val="24"/>
          <w:szCs w:val="24"/>
        </w:rPr>
        <w:t xml:space="preserve">l rilancio dell'economia” </w:t>
      </w:r>
      <w:r w:rsidR="00E435D6" w:rsidRPr="00B773B7">
        <w:rPr>
          <w:rFonts w:ascii="Times New Roman" w:hAnsi="Times New Roman" w:cs="Times New Roman"/>
          <w:sz w:val="24"/>
          <w:szCs w:val="24"/>
        </w:rPr>
        <w:t>sono differiti</w:t>
      </w:r>
      <w:r w:rsidRPr="00E4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D6">
        <w:rPr>
          <w:rFonts w:ascii="Times New Roman" w:hAnsi="Times New Roman" w:cs="Times New Roman"/>
          <w:sz w:val="24"/>
          <w:szCs w:val="24"/>
        </w:rPr>
        <w:t xml:space="preserve">al </w:t>
      </w:r>
      <w:r w:rsidRPr="00D4319C">
        <w:rPr>
          <w:rFonts w:ascii="Times New Roman" w:hAnsi="Times New Roman" w:cs="Times New Roman"/>
          <w:sz w:val="24"/>
          <w:szCs w:val="24"/>
        </w:rPr>
        <w:t>31 ottobre 2020.</w:t>
      </w:r>
    </w:p>
    <w:p w:rsidR="00D4319C" w:rsidRPr="005F660C" w:rsidRDefault="00D4319C" w:rsidP="00D43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19C" w:rsidRPr="00D4319C" w:rsidRDefault="00D4319C" w:rsidP="00D4319C">
      <w:pPr>
        <w:jc w:val="center"/>
        <w:rPr>
          <w:rFonts w:ascii="Times New Roman" w:hAnsi="Times New Roman" w:cs="Times New Roman"/>
        </w:rPr>
      </w:pPr>
      <w:r w:rsidRPr="00D4319C">
        <w:rPr>
          <w:rFonts w:ascii="Times New Roman" w:hAnsi="Times New Roman" w:cs="Times New Roman"/>
        </w:rPr>
        <w:t>ART. 4</w:t>
      </w:r>
    </w:p>
    <w:p w:rsidR="003D777C" w:rsidRPr="00D4319C" w:rsidRDefault="003D777C" w:rsidP="003D777C">
      <w:pPr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D4319C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 xml:space="preserve">(Attuazione della direttiva </w:t>
      </w:r>
      <w:r w:rsidR="00960831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 xml:space="preserve">(UE) </w:t>
      </w:r>
      <w:r w:rsidRPr="00D4319C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>2020/739 del</w:t>
      </w:r>
      <w:r w:rsidR="00960831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>la Commissione del</w:t>
      </w:r>
      <w:r w:rsidRPr="00D4319C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 xml:space="preserve"> 3 giugno 2020, concernente l’inserimento </w:t>
      </w:r>
      <w:r w:rsidRPr="00D4319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del SARS-CoV-2 nell’elenco degli agenti biologici di cui è noto che possono</w:t>
      </w:r>
    </w:p>
    <w:p w:rsidR="003D777C" w:rsidRPr="00D4319C" w:rsidRDefault="003D777C" w:rsidP="003D777C">
      <w:pPr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  <w:lang w:eastAsia="it-IT"/>
        </w:rPr>
      </w:pPr>
      <w:r w:rsidRPr="00D4319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causare malattie infettive nell’uomo)</w:t>
      </w:r>
    </w:p>
    <w:p w:rsidR="00D4319C" w:rsidRDefault="00D4319C" w:rsidP="00D431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9C" w:rsidRPr="006B5B88" w:rsidRDefault="00D4319C" w:rsidP="00D431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B88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6B5B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ll’allegato XLVI del decreto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legislativo 9 aprile 2008, n. 81, </w:t>
      </w:r>
      <w:r w:rsidRPr="006B5B88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sezione VIRUS, dopo la voce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319C" w:rsidRPr="006B5B88" w:rsidTr="004C2156">
        <w:trPr>
          <w:jc w:val="center"/>
        </w:trPr>
        <w:tc>
          <w:tcPr>
            <w:tcW w:w="3209" w:type="dxa"/>
          </w:tcPr>
          <w:p w:rsidR="00D4319C" w:rsidRPr="006B5B88" w:rsidRDefault="00D4319C" w:rsidP="004C2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5B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Coronaviridae</w:t>
            </w:r>
          </w:p>
        </w:tc>
        <w:tc>
          <w:tcPr>
            <w:tcW w:w="3209" w:type="dxa"/>
          </w:tcPr>
          <w:p w:rsidR="00D4319C" w:rsidRPr="006B5B88" w:rsidRDefault="00D4319C" w:rsidP="004C2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5B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210" w:type="dxa"/>
          </w:tcPr>
          <w:p w:rsidR="00D4319C" w:rsidRPr="006B5B88" w:rsidRDefault="00D4319C" w:rsidP="004C2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4319C" w:rsidRPr="006B5B88" w:rsidRDefault="00D4319C" w:rsidP="00D4319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9C" w:rsidRPr="006B5B88" w:rsidRDefault="00D4319C" w:rsidP="00D4319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B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aggiunta </w:t>
      </w:r>
      <w:r w:rsidR="00DF3040">
        <w:rPr>
          <w:rFonts w:ascii="Times New Roman" w:eastAsia="Times New Roman" w:hAnsi="Times New Roman" w:cs="Times New Roman"/>
          <w:sz w:val="24"/>
          <w:szCs w:val="24"/>
          <w:lang w:eastAsia="it-IT"/>
        </w:rPr>
        <w:t>la seguente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6B5B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319C" w:rsidRPr="006B5B88" w:rsidTr="004C2156">
        <w:trPr>
          <w:jc w:val="center"/>
        </w:trPr>
        <w:tc>
          <w:tcPr>
            <w:tcW w:w="3209" w:type="dxa"/>
          </w:tcPr>
          <w:p w:rsidR="00D4319C" w:rsidRPr="006B5B88" w:rsidRDefault="00D4319C" w:rsidP="004C21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5B88">
              <w:rPr>
                <w:rFonts w:ascii="Times New Roman" w:hAnsi="Times New Roman" w:cs="Times New Roman"/>
                <w:sz w:val="24"/>
                <w:szCs w:val="24"/>
              </w:rPr>
              <w:t xml:space="preserve">Sindrome respiratoria acuta grave da coronavirus 2 </w:t>
            </w:r>
            <w:r w:rsidRPr="006B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B88">
              <w:rPr>
                <w:rFonts w:ascii="Times New Roman" w:hAnsi="Times New Roman" w:cs="Times New Roman"/>
                <w:sz w:val="24"/>
                <w:szCs w:val="24"/>
              </w:rPr>
              <w:t>CoV-2)</w:t>
            </w:r>
            <w:r w:rsidRPr="006B5B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 xml:space="preserve"> (1)</w:t>
            </w:r>
          </w:p>
        </w:tc>
        <w:tc>
          <w:tcPr>
            <w:tcW w:w="3209" w:type="dxa"/>
          </w:tcPr>
          <w:p w:rsidR="00D4319C" w:rsidRPr="006B5B88" w:rsidRDefault="00D4319C" w:rsidP="004C2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5B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3</w:t>
            </w:r>
          </w:p>
        </w:tc>
        <w:tc>
          <w:tcPr>
            <w:tcW w:w="3210" w:type="dxa"/>
          </w:tcPr>
          <w:p w:rsidR="00D4319C" w:rsidRPr="006B5B88" w:rsidRDefault="00D4319C" w:rsidP="004C2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4319C" w:rsidRPr="006B5B88" w:rsidRDefault="00D4319C" w:rsidP="00D4319C">
      <w:pPr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319C" w:rsidRPr="00745732" w:rsidRDefault="00D4319C" w:rsidP="00D431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1672">
        <w:rPr>
          <w:rFonts w:ascii="Times New Roman" w:hAnsi="Times New Roman" w:cs="Times New Roman"/>
          <w:color w:val="000000"/>
        </w:rPr>
        <w:t xml:space="preserve">(1) </w:t>
      </w:r>
      <w:r w:rsidRPr="00981672">
        <w:rPr>
          <w:rFonts w:ascii="Times New Roman" w:hAnsi="Times New Roman" w:cs="Times New Roman"/>
        </w:rPr>
        <w:t>In linea con l’articolo 16, paragrafo 1, lettera c</w:t>
      </w:r>
      <w:r w:rsidRPr="00D4319C">
        <w:rPr>
          <w:rFonts w:ascii="Times New Roman" w:hAnsi="Times New Roman" w:cs="Times New Roman"/>
        </w:rPr>
        <w:t xml:space="preserve">), della direttiva </w:t>
      </w:r>
      <w:r w:rsidRPr="00D431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2000/54/CE del Parlamento europeo e del Consiglio, </w:t>
      </w:r>
      <w:r w:rsidRPr="00D4319C">
        <w:rPr>
          <w:rFonts w:ascii="Times New Roman" w:hAnsi="Times New Roman" w:cs="Times New Roman"/>
        </w:rPr>
        <w:t>il lavoro di laboratorio diagnostico non propagativo riguardante il SARS-CoV-2 deve essere condotto in una struttura in cui si utilizzano procedure equivalenti</w:t>
      </w:r>
      <w:r w:rsidRPr="00981672">
        <w:rPr>
          <w:rFonts w:ascii="Times New Roman" w:hAnsi="Times New Roman" w:cs="Times New Roman"/>
        </w:rPr>
        <w:t xml:space="preserve"> almeno al livello di contenimento 2. Il lavoro propagativo riguardante il SARS-CoV-2 </w:t>
      </w:r>
      <w:r w:rsidRPr="003E4936">
        <w:rPr>
          <w:rFonts w:ascii="Times New Roman" w:hAnsi="Times New Roman" w:cs="Times New Roman"/>
        </w:rPr>
        <w:t>deve</w:t>
      </w:r>
      <w:r>
        <w:rPr>
          <w:rFonts w:ascii="Times New Roman" w:hAnsi="Times New Roman" w:cs="Times New Roman"/>
        </w:rPr>
        <w:t xml:space="preserve"> </w:t>
      </w:r>
      <w:r w:rsidRPr="00981672">
        <w:rPr>
          <w:rFonts w:ascii="Times New Roman" w:hAnsi="Times New Roman" w:cs="Times New Roman"/>
        </w:rPr>
        <w:t>essere condotto in un laboratorio con livello di contenimento 3 a una pressione dell’aria inferiore a quella atmosferica.</w:t>
      </w:r>
    </w:p>
    <w:p w:rsidR="003E55C8" w:rsidRDefault="003E55C8" w:rsidP="00D4319C">
      <w:pPr>
        <w:spacing w:before="100" w:beforeAutospacing="1"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15ABE" w:rsidRDefault="00315ABE" w:rsidP="00315ABE">
      <w:pPr>
        <w:spacing w:before="100" w:beforeAutospacing="1" w:after="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ART. 5</w:t>
      </w:r>
    </w:p>
    <w:p w:rsidR="00315ABE" w:rsidRDefault="00315ABE" w:rsidP="00315ABE">
      <w:pPr>
        <w:spacing w:before="100" w:beforeAutospacing="1" w:after="2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(Ultrattività del decreto del Presidente del Consiglio dei ministri 7 settembre 2020)</w:t>
      </w:r>
    </w:p>
    <w:p w:rsidR="00315ABE" w:rsidRDefault="00315ABE" w:rsidP="00315ABE">
      <w:pPr>
        <w:spacing w:before="100" w:beforeAutospacing="1" w:after="2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</w:p>
    <w:p w:rsidR="00315ABE" w:rsidRDefault="00315ABE" w:rsidP="00315ABE">
      <w:pPr>
        <w:spacing w:after="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1. Nelle more dell'adozione dei decreti del Presidente del Consiglio dei ministri ai sensi dell'articolo 2, comma 1, del decreto-legge n. 19 del 2020, </w:t>
      </w:r>
      <w:r w:rsidR="00B773B7">
        <w:rPr>
          <w:rFonts w:ascii="Times New Roman" w:hAnsi="Times New Roman" w:cs="Times New Roman"/>
          <w:sz w:val="24"/>
          <w:szCs w:val="24"/>
          <w:lang w:eastAsia="it-IT"/>
        </w:rPr>
        <w:t>e comunque non oltre i</w:t>
      </w:r>
      <w:r>
        <w:rPr>
          <w:rFonts w:ascii="Times New Roman" w:hAnsi="Times New Roman" w:cs="Times New Roman"/>
          <w:sz w:val="24"/>
          <w:szCs w:val="24"/>
          <w:lang w:eastAsia="it-IT"/>
        </w:rPr>
        <w:t>l 15 ottobre 2020, continuano ad applicarsi le misure previste nel decreto del Presidente del Consiglio dei ministri del 7 settembre 2020, pubblicato nella Gazzetta Ufficiale n. 222, del 7 settembre 2020, nonché le ulteriori misure, di cui all’articolo 1, comma 2, lettera hh-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bis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), del decreto-legge n. 19 del 2020, come introdotta dal presente decreto, dell’obbligo di avere sempre con sé un dispositivo di protezione delle vie respiratorie, </w:t>
      </w:r>
      <w:r w:rsidR="00B773B7">
        <w:rPr>
          <w:rFonts w:ascii="Times New Roman" w:hAnsi="Times New Roman" w:cs="Times New Roman"/>
          <w:sz w:val="24"/>
          <w:szCs w:val="24"/>
          <w:lang w:eastAsia="it-IT"/>
        </w:rPr>
        <w:t xml:space="preserve">nonché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dell’obbligo di indossarlo </w:t>
      </w:r>
      <w:r w:rsidR="00B773B7" w:rsidRPr="00B773B7">
        <w:rPr>
          <w:rFonts w:ascii="Times New Roman" w:hAnsi="Times New Roman" w:cs="Times New Roman"/>
          <w:sz w:val="24"/>
          <w:szCs w:val="24"/>
          <w:lang w:eastAsia="it-IT"/>
        </w:rPr>
        <w:t xml:space="preserve">nei luoghi al chiuso accessibili al pubblico, inclusi i mezzi di trasporto, e in tutti i luoghi all’aperto </w:t>
      </w:r>
      <w:r w:rsidR="00B773B7">
        <w:rPr>
          <w:rFonts w:ascii="Times New Roman" w:hAnsi="Times New Roman" w:cs="Times New Roman"/>
          <w:sz w:val="24"/>
          <w:szCs w:val="24"/>
          <w:lang w:eastAsia="it-IT"/>
        </w:rPr>
        <w:t xml:space="preserve">allorché </w:t>
      </w:r>
      <w:r>
        <w:rPr>
          <w:rFonts w:ascii="Times New Roman" w:hAnsi="Times New Roman" w:cs="Times New Roman"/>
          <w:sz w:val="24"/>
          <w:szCs w:val="24"/>
          <w:lang w:eastAsia="it-IT"/>
        </w:rPr>
        <w:t>ci si trovi in prossimità di altre persone non conviventi, e comunque con salvezza dei protocolli anti-contagio previsti per specifiche attività economiche, produttive e sociali, nonché delle linee guida per il consumo di cibi e bevande, ma</w:t>
      </w:r>
      <w:r>
        <w:rPr>
          <w:rFonts w:ascii="Times New Roman" w:hAnsi="Times New Roman" w:cs="Times New Roman"/>
          <w:color w:val="1F497D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con esclusione dei predetti obblighi:</w:t>
      </w:r>
    </w:p>
    <w:p w:rsidR="00315ABE" w:rsidRDefault="00315ABE" w:rsidP="00315ABE">
      <w:pPr>
        <w:spacing w:after="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1) per i soggetti che stanno svolgendo attività sportiva;</w:t>
      </w:r>
    </w:p>
    <w:p w:rsidR="00315ABE" w:rsidRDefault="00315ABE" w:rsidP="00315ABE">
      <w:pPr>
        <w:spacing w:after="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2) per i bambini di età inferiore ai sei anni; </w:t>
      </w:r>
    </w:p>
    <w:p w:rsidR="00315ABE" w:rsidRDefault="00315ABE" w:rsidP="00315ABE">
      <w:pPr>
        <w:spacing w:after="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3) per i soggetti con patologie o disabilità incompatibili con l’uso della mascherina, nonché coloro che per interagire con i predetti versino nella stessa incompatibilità.».</w:t>
      </w:r>
    </w:p>
    <w:p w:rsidR="003C6C32" w:rsidRPr="000E548C" w:rsidRDefault="003C6C32" w:rsidP="00F67081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C6C32" w:rsidRDefault="003C6C32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C6C32" w:rsidRDefault="003C6C32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 6</w:t>
      </w:r>
    </w:p>
    <w:p w:rsidR="004521F6" w:rsidRDefault="008068BA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(</w:t>
      </w:r>
      <w:r w:rsidR="004521F6" w:rsidRPr="008068BA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Cla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usola di invarianza finanziaria)</w:t>
      </w:r>
    </w:p>
    <w:p w:rsidR="00D4319C" w:rsidRPr="004521F6" w:rsidRDefault="00D4319C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D4319C" w:rsidRDefault="004521F6" w:rsidP="00D4319C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  <w:r w:rsidR="00D4319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ll'attuazione </w:t>
      </w:r>
      <w:r w:rsidR="002C498C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presente decreto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provvede nei limiti delle risorse disponibili a legislazione vigente e, comunque, senza nuovi o maggior</w:t>
      </w:r>
      <w:r w:rsidR="002C498C">
        <w:rPr>
          <w:rFonts w:ascii="Times New Roman" w:eastAsia="Times New Roman" w:hAnsi="Times New Roman" w:cs="Times New Roman"/>
          <w:sz w:val="24"/>
          <w:szCs w:val="24"/>
          <w:lang w:eastAsia="it-IT"/>
        </w:rPr>
        <w:t>i oneri per la finanza pubblica</w:t>
      </w:r>
      <w:r w:rsidR="00E435D6">
        <w:rPr>
          <w:rFonts w:ascii="Times New Roman" w:eastAsia="Times New Roman" w:hAnsi="Times New Roman" w:cs="Times New Roman"/>
          <w:sz w:val="24"/>
          <w:szCs w:val="24"/>
          <w:lang w:eastAsia="it-IT"/>
        </w:rPr>
        <w:t>, a</w:t>
      </w:r>
      <w:r w:rsidR="00D431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eccezione di quanto p</w:t>
      </w:r>
      <w:r w:rsidR="00E435D6">
        <w:rPr>
          <w:rFonts w:ascii="Times New Roman" w:eastAsia="Times New Roman" w:hAnsi="Times New Roman" w:cs="Times New Roman"/>
          <w:sz w:val="24"/>
          <w:szCs w:val="24"/>
          <w:lang w:eastAsia="it-IT"/>
        </w:rPr>
        <w:t>revisto dal comma</w:t>
      </w:r>
      <w:r w:rsidR="00D431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</w:t>
      </w:r>
      <w:r w:rsidR="002C49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C498C" w:rsidRDefault="002C498C" w:rsidP="002C498C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l’attuazione delle disposizioni di cui al n. 34-</w:t>
      </w:r>
      <w:r w:rsidRPr="00BA72C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bis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dell’allegato 1 al decreto-legge 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30 luglio 2020, n. 83, convertito, con modificazioni, dalla legge 25 settembre 2020, n. 124,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come modificato dal presente decreto</w:t>
      </w:r>
      <w:r w:rsidRPr="002C49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è autorizzata per l'anno 2020 l'ulteriore spesa di euro</w:t>
      </w:r>
      <w:r w:rsidR="002300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8</w:t>
      </w:r>
      <w:r w:rsidR="002300A5" w:rsidRPr="002300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.681.018 </w:t>
      </w:r>
      <w:r w:rsidRPr="002C49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cui euro </w:t>
      </w:r>
      <w:r w:rsidR="002300A5">
        <w:rPr>
          <w:rFonts w:ascii="Times New Roman" w:hAnsi="Times New Roman" w:cs="Times New Roman"/>
          <w:color w:val="000000"/>
          <w:sz w:val="24"/>
          <w:szCs w:val="24"/>
        </w:rPr>
        <w:t>1.914.909</w:t>
      </w:r>
      <w:r w:rsidRPr="002C49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il pagamento delle prestazioni di lavoro straordinario ed euro </w:t>
      </w:r>
      <w:r w:rsidR="002300A5">
        <w:rPr>
          <w:rFonts w:ascii="Times New Roman" w:hAnsi="Times New Roman" w:cs="Times New Roman"/>
          <w:color w:val="000000"/>
          <w:sz w:val="24"/>
          <w:szCs w:val="24"/>
        </w:rPr>
        <w:t>6.766.109</w:t>
      </w:r>
      <w:r w:rsidRPr="002C49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gli altri oneri connessi all'impiego del personale</w:t>
      </w:r>
      <w:r w:rsidR="00A86C8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bookmarkStart w:id="0" w:name="_GoBack"/>
      <w:bookmarkEnd w:id="0"/>
      <w:r w:rsidR="00711A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Alla </w:t>
      </w:r>
      <w:r w:rsidRPr="003E55C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copertura degli oneri </w:t>
      </w:r>
      <w:r w:rsidR="00A834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cui al presente comma, </w:t>
      </w:r>
      <w:r w:rsidRPr="003E55C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 provvede a valere </w:t>
      </w:r>
      <w:r w:rsidR="00A86C8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… </w:t>
      </w:r>
      <w:r w:rsidRPr="003E55C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2C498C" w:rsidRDefault="002C498C" w:rsidP="004521F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54D8" w:rsidRPr="00F054D8" w:rsidRDefault="00315ABE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ART.7</w:t>
      </w:r>
    </w:p>
    <w:p w:rsidR="004521F6" w:rsidRDefault="00F054D8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4521F6" w:rsidRPr="00F054D8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Entrata in vigore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)</w:t>
      </w:r>
    </w:p>
    <w:p w:rsidR="00D4319C" w:rsidRPr="004521F6" w:rsidRDefault="00D4319C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21F6" w:rsidRPr="004521F6" w:rsidRDefault="004521F6" w:rsidP="00D4319C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presente decreto entra in vigore il giorno 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successivo a quello 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sua pubblicazione nella Gazzetta Ufficiale della Repubblica italiana e sarà presentato alle Camere per la conversione in legge.</w:t>
      </w:r>
    </w:p>
    <w:p w:rsidR="004521F6" w:rsidRPr="004521F6" w:rsidRDefault="004521F6" w:rsidP="004521F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presente decreto, munito del sigillo dello Stato, sarà inserito nella Raccolta ufficiale degli atti normativi </w:t>
      </w:r>
      <w:r w:rsidR="00FF58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Repubblica italiana. E' 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fatto obbligo a chiunque spetti di osservarlo e di farlo osservare.</w:t>
      </w:r>
    </w:p>
    <w:p w:rsidR="005832CB" w:rsidRDefault="005832CB" w:rsidP="004521F6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2CB" w:rsidRDefault="005832CB" w:rsidP="004521F6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777C" w:rsidRDefault="003D777C" w:rsidP="00745732">
      <w:pPr>
        <w:spacing w:before="100" w:beforeAutospacing="1" w:after="2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9up"/>
      <w:bookmarkEnd w:id="1"/>
    </w:p>
    <w:sectPr w:rsidR="003D7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3D16"/>
    <w:multiLevelType w:val="multilevel"/>
    <w:tmpl w:val="465A3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F6"/>
    <w:rsid w:val="0001216F"/>
    <w:rsid w:val="000504A4"/>
    <w:rsid w:val="00054DED"/>
    <w:rsid w:val="00063ADB"/>
    <w:rsid w:val="000E548C"/>
    <w:rsid w:val="000E7313"/>
    <w:rsid w:val="0010033D"/>
    <w:rsid w:val="00135C2A"/>
    <w:rsid w:val="001570AE"/>
    <w:rsid w:val="0018045E"/>
    <w:rsid w:val="00216561"/>
    <w:rsid w:val="002300A5"/>
    <w:rsid w:val="0023758D"/>
    <w:rsid w:val="002773AB"/>
    <w:rsid w:val="00293C61"/>
    <w:rsid w:val="002C498C"/>
    <w:rsid w:val="002D7DC2"/>
    <w:rsid w:val="002E1187"/>
    <w:rsid w:val="002F29D6"/>
    <w:rsid w:val="002F37C9"/>
    <w:rsid w:val="00315ABE"/>
    <w:rsid w:val="003A31DE"/>
    <w:rsid w:val="003A44A5"/>
    <w:rsid w:val="003B425D"/>
    <w:rsid w:val="003C6C32"/>
    <w:rsid w:val="003D777C"/>
    <w:rsid w:val="003E55C8"/>
    <w:rsid w:val="00424CCF"/>
    <w:rsid w:val="00435E36"/>
    <w:rsid w:val="00446638"/>
    <w:rsid w:val="004521F6"/>
    <w:rsid w:val="00474836"/>
    <w:rsid w:val="00507F6B"/>
    <w:rsid w:val="00561CC8"/>
    <w:rsid w:val="005832CB"/>
    <w:rsid w:val="005B73D7"/>
    <w:rsid w:val="005F660C"/>
    <w:rsid w:val="006476B7"/>
    <w:rsid w:val="006A634D"/>
    <w:rsid w:val="006B732B"/>
    <w:rsid w:val="006C0F61"/>
    <w:rsid w:val="00711A30"/>
    <w:rsid w:val="007304B2"/>
    <w:rsid w:val="00745732"/>
    <w:rsid w:val="008068BA"/>
    <w:rsid w:val="00825D11"/>
    <w:rsid w:val="00831A69"/>
    <w:rsid w:val="008324F3"/>
    <w:rsid w:val="00891734"/>
    <w:rsid w:val="008C1201"/>
    <w:rsid w:val="0090204C"/>
    <w:rsid w:val="009443E6"/>
    <w:rsid w:val="00960831"/>
    <w:rsid w:val="009B3F84"/>
    <w:rsid w:val="009E1DEB"/>
    <w:rsid w:val="00A83417"/>
    <w:rsid w:val="00A86C88"/>
    <w:rsid w:val="00B37B44"/>
    <w:rsid w:val="00B638D2"/>
    <w:rsid w:val="00B773B7"/>
    <w:rsid w:val="00B85843"/>
    <w:rsid w:val="00BA72C1"/>
    <w:rsid w:val="00C865A2"/>
    <w:rsid w:val="00CA16D9"/>
    <w:rsid w:val="00CB2D96"/>
    <w:rsid w:val="00CD306B"/>
    <w:rsid w:val="00D4319C"/>
    <w:rsid w:val="00DC0DF0"/>
    <w:rsid w:val="00DF3040"/>
    <w:rsid w:val="00E0132C"/>
    <w:rsid w:val="00E435D6"/>
    <w:rsid w:val="00EF0ED5"/>
    <w:rsid w:val="00F054D8"/>
    <w:rsid w:val="00F21759"/>
    <w:rsid w:val="00F52780"/>
    <w:rsid w:val="00F67081"/>
    <w:rsid w:val="00F85CAD"/>
    <w:rsid w:val="00FA6270"/>
    <w:rsid w:val="00FF1642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21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521F6"/>
    <w:pPr>
      <w:spacing w:before="100" w:beforeAutospacing="1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4521F6"/>
    <w:pPr>
      <w:spacing w:before="100" w:beforeAutospacing="1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4521F6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rovvestremo">
    <w:name w:val="provv_estremo"/>
    <w:basedOn w:val="Normale"/>
    <w:rsid w:val="004521F6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rovvsommarioart">
    <w:name w:val="provv_sommario_art"/>
    <w:basedOn w:val="Normale"/>
    <w:rsid w:val="004521F6"/>
    <w:pPr>
      <w:spacing w:before="100" w:beforeAutospacing="1" w:after="2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4521F6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c">
    <w:name w:val="provv_c"/>
    <w:basedOn w:val="Normale"/>
    <w:rsid w:val="004521F6"/>
    <w:pPr>
      <w:spacing w:before="100" w:beforeAutospacing="1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4521F6"/>
    <w:rPr>
      <w:color w:val="000000"/>
    </w:rPr>
  </w:style>
  <w:style w:type="character" w:customStyle="1" w:styleId="linkneltesto">
    <w:name w:val="link_nel_testo"/>
    <w:basedOn w:val="Carpredefinitoparagrafo"/>
    <w:rsid w:val="004521F6"/>
    <w:rPr>
      <w:i/>
      <w:iCs/>
    </w:rPr>
  </w:style>
  <w:style w:type="character" w:customStyle="1" w:styleId="provvnumart">
    <w:name w:val="provv_numart"/>
    <w:basedOn w:val="Carpredefinitoparagrafo"/>
    <w:rsid w:val="004521F6"/>
    <w:rPr>
      <w:b/>
      <w:bCs/>
    </w:rPr>
  </w:style>
  <w:style w:type="character" w:customStyle="1" w:styleId="provvrubrica">
    <w:name w:val="provv_rubrica"/>
    <w:basedOn w:val="Carpredefinitoparagrafo"/>
    <w:rsid w:val="004521F6"/>
    <w:rPr>
      <w:b/>
      <w:bCs/>
    </w:rPr>
  </w:style>
  <w:style w:type="character" w:customStyle="1" w:styleId="provvvigore">
    <w:name w:val="provv_vigore"/>
    <w:basedOn w:val="Carpredefinitoparagrafo"/>
    <w:rsid w:val="004521F6"/>
    <w:rPr>
      <w:b/>
      <w:bCs/>
      <w:vanish w:val="0"/>
      <w:webHidden w:val="0"/>
      <w:specVanish w:val="0"/>
    </w:rPr>
  </w:style>
  <w:style w:type="character" w:customStyle="1" w:styleId="provvsommariorubrica">
    <w:name w:val="provv_sommario_rubrica"/>
    <w:basedOn w:val="Carpredefinitoparagrafo"/>
    <w:rsid w:val="004521F6"/>
    <w:rPr>
      <w:i/>
      <w:iCs/>
    </w:rPr>
  </w:style>
  <w:style w:type="character" w:customStyle="1" w:styleId="provvsommarionumart">
    <w:name w:val="provv_sommario_numart"/>
    <w:basedOn w:val="Carpredefinitoparagrafo"/>
    <w:rsid w:val="004521F6"/>
  </w:style>
  <w:style w:type="character" w:customStyle="1" w:styleId="provvnumcomma">
    <w:name w:val="provv_numcomma"/>
    <w:basedOn w:val="Carpredefinitoparagrafo"/>
    <w:rsid w:val="004521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8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62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21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521F6"/>
    <w:pPr>
      <w:spacing w:before="100" w:beforeAutospacing="1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4521F6"/>
    <w:pPr>
      <w:spacing w:before="100" w:beforeAutospacing="1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4521F6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rovvestremo">
    <w:name w:val="provv_estremo"/>
    <w:basedOn w:val="Normale"/>
    <w:rsid w:val="004521F6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rovvsommarioart">
    <w:name w:val="provv_sommario_art"/>
    <w:basedOn w:val="Normale"/>
    <w:rsid w:val="004521F6"/>
    <w:pPr>
      <w:spacing w:before="100" w:beforeAutospacing="1" w:after="2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4521F6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c">
    <w:name w:val="provv_c"/>
    <w:basedOn w:val="Normale"/>
    <w:rsid w:val="004521F6"/>
    <w:pPr>
      <w:spacing w:before="100" w:beforeAutospacing="1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4521F6"/>
    <w:rPr>
      <w:color w:val="000000"/>
    </w:rPr>
  </w:style>
  <w:style w:type="character" w:customStyle="1" w:styleId="linkneltesto">
    <w:name w:val="link_nel_testo"/>
    <w:basedOn w:val="Carpredefinitoparagrafo"/>
    <w:rsid w:val="004521F6"/>
    <w:rPr>
      <w:i/>
      <w:iCs/>
    </w:rPr>
  </w:style>
  <w:style w:type="character" w:customStyle="1" w:styleId="provvnumart">
    <w:name w:val="provv_numart"/>
    <w:basedOn w:val="Carpredefinitoparagrafo"/>
    <w:rsid w:val="004521F6"/>
    <w:rPr>
      <w:b/>
      <w:bCs/>
    </w:rPr>
  </w:style>
  <w:style w:type="character" w:customStyle="1" w:styleId="provvrubrica">
    <w:name w:val="provv_rubrica"/>
    <w:basedOn w:val="Carpredefinitoparagrafo"/>
    <w:rsid w:val="004521F6"/>
    <w:rPr>
      <w:b/>
      <w:bCs/>
    </w:rPr>
  </w:style>
  <w:style w:type="character" w:customStyle="1" w:styleId="provvvigore">
    <w:name w:val="provv_vigore"/>
    <w:basedOn w:val="Carpredefinitoparagrafo"/>
    <w:rsid w:val="004521F6"/>
    <w:rPr>
      <w:b/>
      <w:bCs/>
      <w:vanish w:val="0"/>
      <w:webHidden w:val="0"/>
      <w:specVanish w:val="0"/>
    </w:rPr>
  </w:style>
  <w:style w:type="character" w:customStyle="1" w:styleId="provvsommariorubrica">
    <w:name w:val="provv_sommario_rubrica"/>
    <w:basedOn w:val="Carpredefinitoparagrafo"/>
    <w:rsid w:val="004521F6"/>
    <w:rPr>
      <w:i/>
      <w:iCs/>
    </w:rPr>
  </w:style>
  <w:style w:type="character" w:customStyle="1" w:styleId="provvsommarionumart">
    <w:name w:val="provv_sommario_numart"/>
    <w:basedOn w:val="Carpredefinitoparagrafo"/>
    <w:rsid w:val="004521F6"/>
  </w:style>
  <w:style w:type="character" w:customStyle="1" w:styleId="provvnumcomma">
    <w:name w:val="provv_numcomma"/>
    <w:basedOn w:val="Carpredefinitoparagrafo"/>
    <w:rsid w:val="004521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8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62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08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651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4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90090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59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2246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520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648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425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554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48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156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85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3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19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63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12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5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704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793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478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465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74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32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07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430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78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4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559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551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399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986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436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874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3117-A782-40EC-B96B-09952A5B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</dc:creator>
  <cp:lastModifiedBy>Ermanno De Francisco</cp:lastModifiedBy>
  <cp:revision>4</cp:revision>
  <cp:lastPrinted>2020-10-06T16:43:00Z</cp:lastPrinted>
  <dcterms:created xsi:type="dcterms:W3CDTF">2020-10-06T18:25:00Z</dcterms:created>
  <dcterms:modified xsi:type="dcterms:W3CDTF">2020-10-06T18:42:00Z</dcterms:modified>
</cp:coreProperties>
</file>