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671A" w14:textId="0AE18A5C" w:rsidR="004A4CEA" w:rsidRDefault="004C560E" w:rsidP="00F4619C">
      <w:pPr>
        <w:rPr>
          <w:rFonts w:ascii="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089BA819" wp14:editId="4709CEF1">
                <wp:simplePos x="0" y="0"/>
                <wp:positionH relativeFrom="column">
                  <wp:posOffset>4635500</wp:posOffset>
                </wp:positionH>
                <wp:positionV relativeFrom="paragraph">
                  <wp:posOffset>-543560</wp:posOffset>
                </wp:positionV>
                <wp:extent cx="1961515" cy="1971675"/>
                <wp:effectExtent l="1905"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0A62" w14:textId="77777777" w:rsidR="004C560E" w:rsidRDefault="004C560E"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4C560E" w:rsidRDefault="004C560E"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4C560E" w:rsidRDefault="004C560E"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4C560E" w:rsidRDefault="004C560E" w:rsidP="004C560E">
                            <w:pPr>
                              <w:pStyle w:val="BasicParagraph"/>
                              <w:spacing w:line="240" w:lineRule="auto"/>
                              <w:jc w:val="right"/>
                              <w:rPr>
                                <w:rFonts w:ascii="Arial" w:hAnsi="Arial" w:cs="Arial"/>
                                <w:sz w:val="16"/>
                                <w:szCs w:val="16"/>
                              </w:rPr>
                            </w:pPr>
                          </w:p>
                          <w:p w14:paraId="6324C2D0" w14:textId="77777777" w:rsidR="004C560E" w:rsidRDefault="004C560E"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4C560E" w:rsidRDefault="004C560E" w:rsidP="004C560E">
                            <w:pPr>
                              <w:pStyle w:val="BasicParagraph"/>
                              <w:spacing w:line="240" w:lineRule="auto"/>
                              <w:jc w:val="right"/>
                              <w:rPr>
                                <w:rFonts w:ascii="Arial" w:hAnsi="Arial" w:cs="Arial"/>
                                <w:sz w:val="16"/>
                                <w:szCs w:val="16"/>
                              </w:rPr>
                            </w:pPr>
                          </w:p>
                          <w:p w14:paraId="30EF3DE3" w14:textId="77777777" w:rsidR="004C560E" w:rsidRDefault="004C560E" w:rsidP="004C560E">
                            <w:pPr>
                              <w:pStyle w:val="BasicParagraph"/>
                              <w:spacing w:line="240" w:lineRule="auto"/>
                              <w:jc w:val="right"/>
                              <w:rPr>
                                <w:rFonts w:ascii="Arial" w:hAnsi="Arial" w:cs="Arial"/>
                                <w:b/>
                                <w:bCs/>
                                <w:sz w:val="16"/>
                                <w:szCs w:val="16"/>
                              </w:rPr>
                            </w:pPr>
                            <w:r>
                              <w:rPr>
                                <w:rFonts w:ascii="Arial" w:hAnsi="Arial" w:cs="Arial"/>
                                <w:b/>
                                <w:bCs/>
                                <w:sz w:val="16"/>
                                <w:szCs w:val="16"/>
                              </w:rPr>
                              <w:t>Catherine Rodriguez</w:t>
                            </w:r>
                          </w:p>
                          <w:p w14:paraId="65260D12"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4C560E" w:rsidRDefault="004C560E" w:rsidP="004C560E">
                            <w:pPr>
                              <w:pStyle w:val="BasicParagraph"/>
                              <w:spacing w:line="240" w:lineRule="auto"/>
                              <w:jc w:val="right"/>
                              <w:rPr>
                                <w:rFonts w:ascii="Arial" w:hAnsi="Arial" w:cs="Arial"/>
                                <w:sz w:val="16"/>
                                <w:szCs w:val="16"/>
                              </w:rPr>
                            </w:pPr>
                          </w:p>
                          <w:p w14:paraId="7874B8B2" w14:textId="77777777" w:rsidR="004C560E" w:rsidRDefault="004C560E"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4C560E" w:rsidRDefault="004C560E" w:rsidP="004C560E">
                            <w:pPr>
                              <w:spacing w:after="0"/>
                              <w:jc w:val="right"/>
                            </w:pPr>
                            <w:r>
                              <w:rPr>
                                <w:rFonts w:ascii="Arial" w:hAnsi="Arial"/>
                                <w:sz w:val="16"/>
                                <w:szCs w:val="16"/>
                              </w:rPr>
                              <w:t>Labor Relations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9BA819" id="_x0000_t202" coordsize="21600,21600" o:spt="202" path="m,l,21600r21600,l21600,xe">
                <v:stroke joinstyle="miter"/>
                <v:path gradientshapeok="t" o:connecttype="rect"/>
              </v:shapetype>
              <v:shape id="Text Box 2" o:spid="_x0000_s1026" type="#_x0000_t202" style="position:absolute;margin-left:365pt;margin-top:-42.8pt;width:154.45pt;height:15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hC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" filled="f" stroked="f">
                <v:textbox inset="0,0,0,0">
                  <w:txbxContent>
                    <w:p w14:paraId="0CBE0A62" w14:textId="77777777" w:rsidR="004C560E" w:rsidRDefault="004C560E"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County Executive Office</w:t>
                      </w:r>
                    </w:p>
                    <w:p w14:paraId="71A11602" w14:textId="77777777" w:rsidR="004C560E" w:rsidRDefault="004C560E" w:rsidP="004C560E">
                      <w:pPr>
                        <w:pStyle w:val="BasicParagraph"/>
                        <w:spacing w:line="240" w:lineRule="auto"/>
                        <w:jc w:val="right"/>
                        <w:rPr>
                          <w:rFonts w:ascii="Arial" w:hAnsi="Arial" w:cs="Arial"/>
                          <w:b/>
                          <w:bCs/>
                          <w:caps/>
                          <w:sz w:val="18"/>
                          <w:szCs w:val="18"/>
                        </w:rPr>
                      </w:pPr>
                      <w:r>
                        <w:rPr>
                          <w:rFonts w:ascii="Arial" w:hAnsi="Arial" w:cs="Arial"/>
                          <w:b/>
                          <w:bCs/>
                          <w:caps/>
                          <w:sz w:val="18"/>
                          <w:szCs w:val="18"/>
                        </w:rPr>
                        <w:t>Michael Powers</w:t>
                      </w:r>
                    </w:p>
                    <w:p w14:paraId="4BD644B6" w14:textId="77777777" w:rsidR="004C560E" w:rsidRDefault="004C560E" w:rsidP="004C560E">
                      <w:pPr>
                        <w:pStyle w:val="BasicParagraph"/>
                        <w:spacing w:line="240" w:lineRule="auto"/>
                        <w:jc w:val="right"/>
                        <w:rPr>
                          <w:rFonts w:ascii="Arial" w:hAnsi="Arial" w:cs="Arial"/>
                          <w:sz w:val="18"/>
                          <w:szCs w:val="18"/>
                        </w:rPr>
                      </w:pPr>
                      <w:r>
                        <w:rPr>
                          <w:rFonts w:ascii="Arial" w:hAnsi="Arial" w:cs="Arial"/>
                          <w:sz w:val="18"/>
                          <w:szCs w:val="18"/>
                        </w:rPr>
                        <w:t>County Executive Officer</w:t>
                      </w:r>
                    </w:p>
                    <w:p w14:paraId="7616C8DD" w14:textId="77777777" w:rsidR="004C560E" w:rsidRDefault="004C560E" w:rsidP="004C560E">
                      <w:pPr>
                        <w:pStyle w:val="BasicParagraph"/>
                        <w:spacing w:line="240" w:lineRule="auto"/>
                        <w:jc w:val="right"/>
                        <w:rPr>
                          <w:rFonts w:ascii="Arial" w:hAnsi="Arial" w:cs="Arial"/>
                          <w:sz w:val="16"/>
                          <w:szCs w:val="16"/>
                        </w:rPr>
                      </w:pPr>
                    </w:p>
                    <w:p w14:paraId="6324C2D0" w14:textId="77777777" w:rsidR="004C560E" w:rsidRDefault="004C560E" w:rsidP="004C560E">
                      <w:pPr>
                        <w:pStyle w:val="BasicParagraph"/>
                        <w:spacing w:line="240" w:lineRule="auto"/>
                        <w:jc w:val="right"/>
                        <w:rPr>
                          <w:rFonts w:ascii="Arial" w:hAnsi="Arial" w:cs="Arial"/>
                          <w:b/>
                          <w:bCs/>
                          <w:sz w:val="16"/>
                          <w:szCs w:val="16"/>
                        </w:rPr>
                      </w:pPr>
                      <w:r>
                        <w:rPr>
                          <w:rFonts w:ascii="Arial" w:hAnsi="Arial" w:cs="Arial"/>
                          <w:b/>
                          <w:bCs/>
                          <w:sz w:val="16"/>
                          <w:szCs w:val="16"/>
                        </w:rPr>
                        <w:t>Mike Pettit</w:t>
                      </w:r>
                    </w:p>
                    <w:p w14:paraId="1452A192"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410D291E" w14:textId="77777777" w:rsidR="004C560E" w:rsidRDefault="004C560E" w:rsidP="004C560E">
                      <w:pPr>
                        <w:pStyle w:val="BasicParagraph"/>
                        <w:spacing w:line="240" w:lineRule="auto"/>
                        <w:jc w:val="right"/>
                        <w:rPr>
                          <w:rFonts w:ascii="Arial" w:hAnsi="Arial" w:cs="Arial"/>
                          <w:sz w:val="16"/>
                          <w:szCs w:val="16"/>
                        </w:rPr>
                      </w:pPr>
                    </w:p>
                    <w:p w14:paraId="30EF3DE3" w14:textId="77777777" w:rsidR="004C560E" w:rsidRDefault="004C560E" w:rsidP="004C560E">
                      <w:pPr>
                        <w:pStyle w:val="BasicParagraph"/>
                        <w:spacing w:line="240" w:lineRule="auto"/>
                        <w:jc w:val="right"/>
                        <w:rPr>
                          <w:rFonts w:ascii="Arial" w:hAnsi="Arial" w:cs="Arial"/>
                          <w:b/>
                          <w:bCs/>
                          <w:sz w:val="16"/>
                          <w:szCs w:val="16"/>
                        </w:rPr>
                      </w:pPr>
                      <w:r>
                        <w:rPr>
                          <w:rFonts w:ascii="Arial" w:hAnsi="Arial" w:cs="Arial"/>
                          <w:b/>
                          <w:bCs/>
                          <w:sz w:val="16"/>
                          <w:szCs w:val="16"/>
                        </w:rPr>
                        <w:t>Catherine Rodriguez</w:t>
                      </w:r>
                    </w:p>
                    <w:p w14:paraId="65260D12"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County Chief Financial Officer</w:t>
                      </w:r>
                    </w:p>
                    <w:p w14:paraId="7FD0630C" w14:textId="77777777" w:rsidR="004C560E" w:rsidRDefault="004C560E" w:rsidP="004C560E">
                      <w:pPr>
                        <w:pStyle w:val="BasicParagraph"/>
                        <w:spacing w:line="240" w:lineRule="auto"/>
                        <w:jc w:val="right"/>
                        <w:rPr>
                          <w:rFonts w:ascii="Arial" w:hAnsi="Arial" w:cs="Arial"/>
                          <w:sz w:val="16"/>
                          <w:szCs w:val="16"/>
                        </w:rPr>
                      </w:pPr>
                    </w:p>
                    <w:p w14:paraId="7874B8B2" w14:textId="77777777" w:rsidR="004C560E" w:rsidRDefault="004C560E" w:rsidP="004C560E">
                      <w:pPr>
                        <w:pStyle w:val="BasicParagraph"/>
                        <w:spacing w:line="240" w:lineRule="auto"/>
                        <w:jc w:val="right"/>
                        <w:rPr>
                          <w:rFonts w:ascii="Arial" w:hAnsi="Arial" w:cs="Arial"/>
                          <w:b/>
                          <w:bCs/>
                          <w:sz w:val="16"/>
                          <w:szCs w:val="16"/>
                        </w:rPr>
                      </w:pPr>
                      <w:r>
                        <w:rPr>
                          <w:rFonts w:ascii="Arial" w:hAnsi="Arial" w:cs="Arial"/>
                          <w:b/>
                          <w:bCs/>
                          <w:sz w:val="16"/>
                          <w:szCs w:val="16"/>
                        </w:rPr>
                        <w:t>Shawn Atin</w:t>
                      </w:r>
                    </w:p>
                    <w:p w14:paraId="30DE6FE3"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Assistant County Executive Officer/</w:t>
                      </w:r>
                    </w:p>
                    <w:p w14:paraId="60772E9B" w14:textId="77777777" w:rsidR="004C560E" w:rsidRDefault="004C560E" w:rsidP="004C560E">
                      <w:pPr>
                        <w:pStyle w:val="BasicParagraph"/>
                        <w:spacing w:line="240" w:lineRule="auto"/>
                        <w:jc w:val="right"/>
                        <w:rPr>
                          <w:rFonts w:ascii="Arial" w:hAnsi="Arial" w:cs="Arial"/>
                          <w:sz w:val="16"/>
                          <w:szCs w:val="16"/>
                        </w:rPr>
                      </w:pPr>
                      <w:r>
                        <w:rPr>
                          <w:rFonts w:ascii="Arial" w:hAnsi="Arial" w:cs="Arial"/>
                          <w:sz w:val="16"/>
                          <w:szCs w:val="16"/>
                        </w:rPr>
                        <w:t>Human Resources Director</w:t>
                      </w:r>
                    </w:p>
                    <w:p w14:paraId="5743D3AA" w14:textId="77777777" w:rsidR="004C560E" w:rsidRDefault="004C560E" w:rsidP="004C560E">
                      <w:pPr>
                        <w:spacing w:after="0"/>
                        <w:jc w:val="right"/>
                      </w:pPr>
                      <w:r>
                        <w:rPr>
                          <w:rFonts w:ascii="Arial" w:hAnsi="Arial"/>
                          <w:sz w:val="16"/>
                          <w:szCs w:val="16"/>
                        </w:rPr>
                        <w:t>Labor Relations</w:t>
                      </w:r>
                    </w:p>
                  </w:txbxContent>
                </v:textbox>
              </v:shape>
            </w:pict>
          </mc:Fallback>
        </mc:AlternateContent>
      </w:r>
    </w:p>
    <w:p w14:paraId="0CE106B8" w14:textId="77777777" w:rsidR="004C560E" w:rsidRDefault="004C560E" w:rsidP="00F4619C">
      <w:pPr>
        <w:rPr>
          <w:rFonts w:ascii="Times New Roman" w:hAnsi="Times New Roman" w:cs="Times New Roman"/>
          <w:sz w:val="24"/>
          <w:szCs w:val="24"/>
        </w:rPr>
      </w:pPr>
    </w:p>
    <w:p w14:paraId="3FD96CDE" w14:textId="380E04F5" w:rsidR="005F60C5" w:rsidRPr="00A60B21" w:rsidRDefault="008F0356" w:rsidP="00F4619C">
      <w:pPr>
        <w:rPr>
          <w:rFonts w:ascii="Times New Roman" w:hAnsi="Times New Roman" w:cs="Times New Roman"/>
          <w:sz w:val="24"/>
          <w:szCs w:val="24"/>
        </w:rPr>
      </w:pPr>
      <w:r w:rsidRPr="00A60B21">
        <w:rPr>
          <w:rFonts w:ascii="Times New Roman" w:hAnsi="Times New Roman" w:cs="Times New Roman"/>
          <w:sz w:val="24"/>
          <w:szCs w:val="24"/>
        </w:rPr>
        <w:t>September 4, 2018</w:t>
      </w:r>
    </w:p>
    <w:p w14:paraId="133249A2"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California Public Utilities Commission</w:t>
      </w:r>
    </w:p>
    <w:p w14:paraId="0B3F7C2F"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Energy Division Tariff Unit</w:t>
      </w:r>
    </w:p>
    <w:p w14:paraId="1D8BD09F"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505 Van Ness Ave.</w:t>
      </w:r>
    </w:p>
    <w:p w14:paraId="17CF2A6C"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Fourth Floor</w:t>
      </w:r>
    </w:p>
    <w:p w14:paraId="019B2FBB" w14:textId="77777777" w:rsidR="008F0356" w:rsidRPr="00A60B21" w:rsidRDefault="008F0356" w:rsidP="008F0356">
      <w:pPr>
        <w:contextualSpacing/>
        <w:jc w:val="both"/>
        <w:rPr>
          <w:rFonts w:ascii="Times New Roman" w:hAnsi="Times New Roman" w:cs="Times New Roman"/>
          <w:sz w:val="24"/>
          <w:szCs w:val="24"/>
        </w:rPr>
      </w:pPr>
      <w:r w:rsidRPr="00A60B21">
        <w:rPr>
          <w:rFonts w:ascii="Times New Roman" w:hAnsi="Times New Roman" w:cs="Times New Roman"/>
          <w:sz w:val="24"/>
          <w:szCs w:val="24"/>
        </w:rPr>
        <w:t>San Francisco, CA 94102-3298</w:t>
      </w:r>
    </w:p>
    <w:p w14:paraId="18056E38" w14:textId="77777777" w:rsidR="0025528E" w:rsidRDefault="0025528E" w:rsidP="008F0356">
      <w:pPr>
        <w:rPr>
          <w:rFonts w:ascii="Times New Roman" w:hAnsi="Times New Roman" w:cs="Times New Roman"/>
          <w:b/>
          <w:sz w:val="24"/>
          <w:szCs w:val="24"/>
        </w:rPr>
      </w:pPr>
    </w:p>
    <w:p w14:paraId="66F78BB3" w14:textId="702557B5" w:rsidR="008F0356" w:rsidRDefault="00E475CC" w:rsidP="008F0356">
      <w:pPr>
        <w:rPr>
          <w:rFonts w:ascii="Times New Roman" w:hAnsi="Times New Roman" w:cs="Times New Roman"/>
          <w:b/>
          <w:sz w:val="24"/>
          <w:szCs w:val="24"/>
        </w:rPr>
      </w:pPr>
      <w:r>
        <w:rPr>
          <w:rFonts w:ascii="Times New Roman" w:hAnsi="Times New Roman" w:cs="Times New Roman"/>
          <w:b/>
          <w:sz w:val="24"/>
          <w:szCs w:val="24"/>
        </w:rPr>
        <w:t xml:space="preserve">3C-REN </w:t>
      </w:r>
      <w:r w:rsidR="008F0356" w:rsidRPr="00A60B21">
        <w:rPr>
          <w:rFonts w:ascii="Times New Roman" w:hAnsi="Times New Roman" w:cs="Times New Roman"/>
          <w:b/>
          <w:sz w:val="24"/>
          <w:szCs w:val="24"/>
        </w:rPr>
        <w:t>Advice Letter</w:t>
      </w:r>
      <w:r w:rsidR="005A1608" w:rsidRPr="00A60B21">
        <w:rPr>
          <w:rFonts w:ascii="Times New Roman" w:hAnsi="Times New Roman" w:cs="Times New Roman"/>
          <w:b/>
          <w:sz w:val="24"/>
          <w:szCs w:val="24"/>
        </w:rPr>
        <w:t xml:space="preserve"> </w:t>
      </w:r>
      <w:r>
        <w:rPr>
          <w:rFonts w:ascii="Times New Roman" w:hAnsi="Times New Roman" w:cs="Times New Roman"/>
          <w:b/>
          <w:sz w:val="24"/>
          <w:szCs w:val="24"/>
        </w:rPr>
        <w:t>2-E</w:t>
      </w:r>
    </w:p>
    <w:p w14:paraId="63A2B389" w14:textId="445CB5EF" w:rsidR="00E475CC" w:rsidRDefault="00E475CC" w:rsidP="008F0356">
      <w:pPr>
        <w:rPr>
          <w:rFonts w:ascii="Times New Roman" w:hAnsi="Times New Roman" w:cs="Times New Roman"/>
          <w:b/>
          <w:sz w:val="24"/>
          <w:szCs w:val="24"/>
        </w:rPr>
      </w:pPr>
      <w:r>
        <w:rPr>
          <w:rFonts w:ascii="Times New Roman" w:hAnsi="Times New Roman" w:cs="Times New Roman"/>
          <w:b/>
          <w:sz w:val="24"/>
          <w:szCs w:val="24"/>
        </w:rPr>
        <w:t>Tier Designation</w:t>
      </w:r>
    </w:p>
    <w:p w14:paraId="33BC782D" w14:textId="4FA7ECE2" w:rsidR="00E475CC" w:rsidRPr="00F4619C" w:rsidRDefault="00E475CC" w:rsidP="008F0356">
      <w:pPr>
        <w:rPr>
          <w:rFonts w:ascii="Times New Roman" w:hAnsi="Times New Roman" w:cs="Times New Roman"/>
          <w:sz w:val="24"/>
          <w:szCs w:val="24"/>
        </w:rPr>
      </w:pPr>
      <w:r w:rsidRPr="00F4619C">
        <w:rPr>
          <w:rFonts w:ascii="Times New Roman" w:hAnsi="Times New Roman" w:cs="Times New Roman"/>
          <w:sz w:val="24"/>
          <w:szCs w:val="24"/>
        </w:rPr>
        <w:t xml:space="preserve">This AL has a Tier 2 designation pursuant </w:t>
      </w:r>
      <w:r>
        <w:rPr>
          <w:rFonts w:ascii="Times New Roman" w:hAnsi="Times New Roman" w:cs="Times New Roman"/>
          <w:sz w:val="24"/>
          <w:szCs w:val="24"/>
        </w:rPr>
        <w:t xml:space="preserve">to Decision </w:t>
      </w:r>
      <w:r w:rsidRPr="00F4619C">
        <w:rPr>
          <w:rFonts w:ascii="Times New Roman" w:hAnsi="Times New Roman" w:cs="Times New Roman"/>
          <w:sz w:val="24"/>
          <w:szCs w:val="24"/>
        </w:rPr>
        <w:t>18-05-041</w:t>
      </w:r>
      <w:r>
        <w:rPr>
          <w:rStyle w:val="FootnoteReference"/>
          <w:rFonts w:ascii="Times New Roman" w:hAnsi="Times New Roman" w:cs="Times New Roman"/>
          <w:sz w:val="24"/>
          <w:szCs w:val="24"/>
        </w:rPr>
        <w:footnoteReference w:id="1"/>
      </w:r>
      <w:r w:rsidRPr="00F4619C">
        <w:rPr>
          <w:rFonts w:ascii="Times New Roman" w:hAnsi="Times New Roman" w:cs="Times New Roman"/>
          <w:sz w:val="24"/>
          <w:szCs w:val="24"/>
        </w:rPr>
        <w:t>.</w:t>
      </w:r>
    </w:p>
    <w:p w14:paraId="2D95F8BE" w14:textId="3D24B7B7"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b/>
          <w:sz w:val="24"/>
          <w:szCs w:val="24"/>
        </w:rPr>
        <w:t>Subject</w:t>
      </w:r>
      <w:r w:rsidRPr="00A60B21">
        <w:rPr>
          <w:rFonts w:ascii="Times New Roman" w:hAnsi="Times New Roman" w:cs="Times New Roman"/>
          <w:sz w:val="24"/>
          <w:szCs w:val="24"/>
        </w:rPr>
        <w:t xml:space="preserve">  </w:t>
      </w:r>
    </w:p>
    <w:p w14:paraId="6D744E03" w14:textId="6C2F5249" w:rsidR="008F0356" w:rsidRPr="00A60B21" w:rsidRDefault="007A488A" w:rsidP="008F0356">
      <w:pPr>
        <w:jc w:val="both"/>
        <w:rPr>
          <w:rFonts w:ascii="Times New Roman" w:hAnsi="Times New Roman" w:cs="Times New Roman"/>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 xml:space="preserve">REN 2019 Energy Efficiency </w:t>
      </w:r>
      <w:r w:rsidR="005A204A" w:rsidRPr="00A60B21">
        <w:rPr>
          <w:rFonts w:ascii="Times New Roman" w:hAnsi="Times New Roman" w:cs="Times New Roman"/>
          <w:sz w:val="24"/>
          <w:szCs w:val="24"/>
        </w:rPr>
        <w:t xml:space="preserve">Annual </w:t>
      </w:r>
      <w:r w:rsidR="008F0356" w:rsidRPr="00A60B21">
        <w:rPr>
          <w:rFonts w:ascii="Times New Roman" w:hAnsi="Times New Roman" w:cs="Times New Roman"/>
          <w:sz w:val="24"/>
          <w:szCs w:val="24"/>
        </w:rPr>
        <w:t xml:space="preserve">Budget </w:t>
      </w:r>
      <w:r w:rsidR="005A204A">
        <w:rPr>
          <w:rFonts w:ascii="Times New Roman" w:hAnsi="Times New Roman" w:cs="Times New Roman"/>
          <w:sz w:val="24"/>
          <w:szCs w:val="24"/>
        </w:rPr>
        <w:t>Advice Letter</w:t>
      </w:r>
    </w:p>
    <w:p w14:paraId="21E1C3C0"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Purpose</w:t>
      </w:r>
    </w:p>
    <w:p w14:paraId="6D1F5D90" w14:textId="6E74B5D9" w:rsidR="008F0356" w:rsidRPr="00A60B21" w:rsidRDefault="008F0356" w:rsidP="008F0356">
      <w:pPr>
        <w:jc w:val="both"/>
        <w:rPr>
          <w:rFonts w:ascii="Times New Roman" w:hAnsi="Times New Roman" w:cs="Times New Roman"/>
          <w:sz w:val="24"/>
          <w:szCs w:val="24"/>
        </w:rPr>
      </w:pPr>
      <w:r w:rsidRPr="00A60B21">
        <w:rPr>
          <w:rFonts w:ascii="Times New Roman" w:hAnsi="Times New Roman" w:cs="Times New Roman"/>
          <w:sz w:val="24"/>
          <w:szCs w:val="24"/>
        </w:rPr>
        <w:t xml:space="preserve">The purpose of this advice filing is to seek approval for the 2019 Energy Efficiency </w:t>
      </w:r>
      <w:r w:rsidR="005A204A" w:rsidRPr="00A60B21">
        <w:rPr>
          <w:rFonts w:ascii="Times New Roman" w:hAnsi="Times New Roman" w:cs="Times New Roman"/>
          <w:sz w:val="24"/>
          <w:szCs w:val="24"/>
        </w:rPr>
        <w:t xml:space="preserve">Annual </w:t>
      </w:r>
      <w:r w:rsidRPr="00A60B21">
        <w:rPr>
          <w:rFonts w:ascii="Times New Roman" w:hAnsi="Times New Roman" w:cs="Times New Roman"/>
          <w:sz w:val="24"/>
          <w:szCs w:val="24"/>
        </w:rPr>
        <w:t xml:space="preserve">Program and Portfolio Budget request for the </w:t>
      </w:r>
      <w:r w:rsidR="00E33049">
        <w:rPr>
          <w:rFonts w:ascii="Times New Roman" w:hAnsi="Times New Roman" w:cs="Times New Roman"/>
          <w:sz w:val="24"/>
          <w:szCs w:val="24"/>
        </w:rPr>
        <w:t>Tri-County</w:t>
      </w:r>
      <w:r w:rsidRPr="00A60B21">
        <w:rPr>
          <w:rFonts w:ascii="Times New Roman" w:hAnsi="Times New Roman" w:cs="Times New Roman"/>
          <w:sz w:val="24"/>
          <w:szCs w:val="24"/>
        </w:rPr>
        <w:t xml:space="preserve"> Regional Energy Network (</w:t>
      </w:r>
      <w:r w:rsidR="00706B03">
        <w:rPr>
          <w:rFonts w:ascii="Times New Roman" w:hAnsi="Times New Roman" w:cs="Times New Roman"/>
          <w:sz w:val="24"/>
          <w:szCs w:val="24"/>
        </w:rPr>
        <w:t>“</w:t>
      </w:r>
      <w:r w:rsidR="00E33049">
        <w:rPr>
          <w:rFonts w:ascii="Times New Roman" w:hAnsi="Times New Roman" w:cs="Times New Roman"/>
          <w:sz w:val="24"/>
          <w:szCs w:val="24"/>
        </w:rPr>
        <w:t>3C-REN</w:t>
      </w:r>
      <w:r w:rsidR="00706B03">
        <w:rPr>
          <w:rFonts w:ascii="Times New Roman" w:hAnsi="Times New Roman" w:cs="Times New Roman"/>
          <w:sz w:val="24"/>
          <w:szCs w:val="24"/>
        </w:rPr>
        <w:t>”</w:t>
      </w:r>
      <w:r w:rsidRPr="00A60B21">
        <w:rPr>
          <w:rFonts w:ascii="Times New Roman" w:hAnsi="Times New Roman" w:cs="Times New Roman"/>
          <w:sz w:val="24"/>
          <w:szCs w:val="24"/>
        </w:rPr>
        <w:t xml:space="preserve">).  </w:t>
      </w:r>
    </w:p>
    <w:p w14:paraId="67553BB8" w14:textId="2A819A0D" w:rsidR="008F0356" w:rsidRPr="00A60B21" w:rsidRDefault="00E33049" w:rsidP="008F0356">
      <w:pPr>
        <w:jc w:val="both"/>
        <w:rPr>
          <w:rFonts w:ascii="Times New Roman" w:hAnsi="Times New Roman" w:cs="Times New Roman"/>
          <w:sz w:val="24"/>
          <w:szCs w:val="24"/>
        </w:rPr>
      </w:pPr>
      <w:r>
        <w:rPr>
          <w:rFonts w:ascii="Times New Roman" w:hAnsi="Times New Roman" w:cs="Times New Roman"/>
          <w:sz w:val="24"/>
          <w:szCs w:val="24"/>
        </w:rPr>
        <w:t>The 3C-</w:t>
      </w:r>
      <w:r w:rsidR="008F0356" w:rsidRPr="00A60B21">
        <w:rPr>
          <w:rFonts w:ascii="Times New Roman" w:hAnsi="Times New Roman" w:cs="Times New Roman"/>
          <w:sz w:val="24"/>
          <w:szCs w:val="24"/>
        </w:rPr>
        <w:t xml:space="preserve">REN is a collaboration of the </w:t>
      </w:r>
      <w:r>
        <w:rPr>
          <w:rFonts w:ascii="Times New Roman" w:hAnsi="Times New Roman" w:cs="Times New Roman"/>
          <w:sz w:val="24"/>
          <w:szCs w:val="24"/>
        </w:rPr>
        <w:t>three</w:t>
      </w:r>
      <w:r w:rsidR="008F0356" w:rsidRPr="00A60B21">
        <w:rPr>
          <w:rFonts w:ascii="Times New Roman" w:hAnsi="Times New Roman" w:cs="Times New Roman"/>
          <w:sz w:val="24"/>
          <w:szCs w:val="24"/>
        </w:rPr>
        <w:t xml:space="preserve"> counties</w:t>
      </w:r>
      <w:r w:rsidR="0081134A">
        <w:rPr>
          <w:rFonts w:ascii="Times New Roman" w:hAnsi="Times New Roman" w:cs="Times New Roman"/>
          <w:sz w:val="24"/>
          <w:szCs w:val="24"/>
        </w:rPr>
        <w:t xml:space="preserve">, Ventura, Santa Barbara, and San Luis Obispo, </w:t>
      </w:r>
      <w:r>
        <w:rPr>
          <w:rFonts w:ascii="Times New Roman" w:hAnsi="Times New Roman" w:cs="Times New Roman"/>
          <w:sz w:val="24"/>
          <w:szCs w:val="24"/>
        </w:rPr>
        <w:t>in the California Central Coast Region</w:t>
      </w:r>
      <w:r w:rsidR="00725CD8">
        <w:rPr>
          <w:rFonts w:ascii="Times New Roman" w:hAnsi="Times New Roman" w:cs="Times New Roman"/>
          <w:sz w:val="24"/>
          <w:szCs w:val="24"/>
        </w:rPr>
        <w:t xml:space="preserve">, </w:t>
      </w:r>
      <w:r w:rsidR="00A27267">
        <w:rPr>
          <w:rFonts w:ascii="Times New Roman" w:hAnsi="Times New Roman" w:cs="Times New Roman"/>
          <w:sz w:val="24"/>
          <w:szCs w:val="24"/>
        </w:rPr>
        <w:t xml:space="preserve">with </w:t>
      </w:r>
      <w:r w:rsidR="00725CD8">
        <w:rPr>
          <w:rFonts w:ascii="Times New Roman" w:hAnsi="Times New Roman" w:cs="Times New Roman"/>
          <w:sz w:val="24"/>
          <w:szCs w:val="24"/>
        </w:rPr>
        <w:t xml:space="preserve">a diverse </w:t>
      </w:r>
      <w:r w:rsidR="00725CD8" w:rsidRPr="00725CD8">
        <w:rPr>
          <w:rFonts w:ascii="Times New Roman" w:hAnsi="Times New Roman" w:cs="Times New Roman"/>
          <w:sz w:val="24"/>
          <w:szCs w:val="24"/>
        </w:rPr>
        <w:t xml:space="preserve">service area </w:t>
      </w:r>
      <w:r w:rsidR="00725CD8">
        <w:rPr>
          <w:rFonts w:ascii="Times New Roman" w:hAnsi="Times New Roman" w:cs="Times New Roman"/>
          <w:sz w:val="24"/>
          <w:szCs w:val="24"/>
        </w:rPr>
        <w:t xml:space="preserve">that </w:t>
      </w:r>
      <w:r w:rsidR="00725CD8" w:rsidRPr="00725CD8">
        <w:rPr>
          <w:rFonts w:ascii="Times New Roman" w:hAnsi="Times New Roman" w:cs="Times New Roman"/>
          <w:sz w:val="24"/>
          <w:szCs w:val="24"/>
        </w:rPr>
        <w:t>is geographically isolated</w:t>
      </w:r>
      <w:r w:rsidR="00725CD8">
        <w:rPr>
          <w:rFonts w:ascii="Times New Roman" w:hAnsi="Times New Roman" w:cs="Times New Roman"/>
          <w:sz w:val="24"/>
          <w:szCs w:val="24"/>
        </w:rPr>
        <w:t xml:space="preserve"> from utility hubs, </w:t>
      </w:r>
      <w:r w:rsidR="00A27267">
        <w:rPr>
          <w:rFonts w:ascii="Times New Roman" w:hAnsi="Times New Roman" w:cs="Times New Roman"/>
          <w:sz w:val="24"/>
          <w:szCs w:val="24"/>
        </w:rPr>
        <w:t xml:space="preserve">has </w:t>
      </w:r>
      <w:r w:rsidR="00725CD8" w:rsidRPr="00725CD8">
        <w:rPr>
          <w:rFonts w:ascii="Times New Roman" w:hAnsi="Times New Roman" w:cs="Times New Roman"/>
          <w:sz w:val="24"/>
          <w:szCs w:val="24"/>
        </w:rPr>
        <w:t>pockets</w:t>
      </w:r>
      <w:r w:rsidR="00A27267">
        <w:rPr>
          <w:rFonts w:ascii="Times New Roman" w:hAnsi="Times New Roman" w:cs="Times New Roman"/>
          <w:sz w:val="24"/>
          <w:szCs w:val="24"/>
        </w:rPr>
        <w:t xml:space="preserve"> of</w:t>
      </w:r>
      <w:r w:rsidR="00725CD8" w:rsidRPr="00725CD8">
        <w:rPr>
          <w:rFonts w:ascii="Times New Roman" w:hAnsi="Times New Roman" w:cs="Times New Roman"/>
          <w:sz w:val="24"/>
          <w:szCs w:val="24"/>
        </w:rPr>
        <w:t xml:space="preserve"> </w:t>
      </w:r>
      <w:r w:rsidR="00725CD8">
        <w:rPr>
          <w:rFonts w:ascii="Times New Roman" w:hAnsi="Times New Roman" w:cs="Times New Roman"/>
          <w:sz w:val="24"/>
          <w:szCs w:val="24"/>
        </w:rPr>
        <w:t>rural</w:t>
      </w:r>
      <w:r w:rsidR="003E6F08">
        <w:rPr>
          <w:rFonts w:ascii="Times New Roman" w:hAnsi="Times New Roman" w:cs="Times New Roman"/>
          <w:sz w:val="24"/>
          <w:szCs w:val="24"/>
        </w:rPr>
        <w:t xml:space="preserve"> </w:t>
      </w:r>
      <w:r w:rsidR="00725CD8">
        <w:rPr>
          <w:rFonts w:ascii="Times New Roman" w:hAnsi="Times New Roman" w:cs="Times New Roman"/>
          <w:sz w:val="24"/>
          <w:szCs w:val="24"/>
        </w:rPr>
        <w:t xml:space="preserve">and disadvantaged </w:t>
      </w:r>
      <w:r w:rsidR="00725CD8" w:rsidRPr="00725CD8">
        <w:rPr>
          <w:rFonts w:ascii="Times New Roman" w:hAnsi="Times New Roman" w:cs="Times New Roman"/>
          <w:sz w:val="24"/>
          <w:szCs w:val="24"/>
        </w:rPr>
        <w:t>communities</w:t>
      </w:r>
      <w:r w:rsidR="00725CD8">
        <w:rPr>
          <w:rFonts w:ascii="Times New Roman" w:hAnsi="Times New Roman" w:cs="Times New Roman"/>
          <w:sz w:val="24"/>
          <w:szCs w:val="24"/>
        </w:rPr>
        <w:t>,</w:t>
      </w:r>
      <w:r w:rsidR="00725CD8" w:rsidRPr="00725CD8">
        <w:rPr>
          <w:rFonts w:ascii="Times New Roman" w:hAnsi="Times New Roman" w:cs="Times New Roman"/>
          <w:sz w:val="24"/>
          <w:szCs w:val="24"/>
        </w:rPr>
        <w:t xml:space="preserve"> </w:t>
      </w:r>
      <w:r w:rsidR="00725CD8">
        <w:rPr>
          <w:rFonts w:ascii="Times New Roman" w:hAnsi="Times New Roman" w:cs="Times New Roman"/>
          <w:sz w:val="24"/>
          <w:szCs w:val="24"/>
        </w:rPr>
        <w:t>as well as</w:t>
      </w:r>
      <w:r w:rsidR="00725CD8" w:rsidRPr="00725CD8">
        <w:rPr>
          <w:rFonts w:ascii="Times New Roman" w:hAnsi="Times New Roman" w:cs="Times New Roman"/>
          <w:sz w:val="24"/>
          <w:szCs w:val="24"/>
        </w:rPr>
        <w:t xml:space="preserve"> large </w:t>
      </w:r>
      <w:r w:rsidR="00725CD8">
        <w:rPr>
          <w:rFonts w:ascii="Times New Roman" w:hAnsi="Times New Roman" w:cs="Times New Roman"/>
          <w:sz w:val="24"/>
          <w:szCs w:val="24"/>
        </w:rPr>
        <w:t xml:space="preserve">underserved </w:t>
      </w:r>
      <w:r w:rsidR="00A27267">
        <w:rPr>
          <w:rFonts w:ascii="Times New Roman" w:hAnsi="Times New Roman" w:cs="Times New Roman"/>
          <w:sz w:val="24"/>
          <w:szCs w:val="24"/>
        </w:rPr>
        <w:t>Spanish-</w:t>
      </w:r>
      <w:r w:rsidR="00725CD8">
        <w:rPr>
          <w:rFonts w:ascii="Times New Roman" w:hAnsi="Times New Roman" w:cs="Times New Roman"/>
          <w:sz w:val="24"/>
          <w:szCs w:val="24"/>
        </w:rPr>
        <w:t>speaking populations</w:t>
      </w:r>
      <w:r w:rsidR="008F0356" w:rsidRPr="00A60B21">
        <w:rPr>
          <w:rFonts w:ascii="Times New Roman" w:hAnsi="Times New Roman" w:cs="Times New Roman"/>
          <w:sz w:val="24"/>
          <w:szCs w:val="24"/>
        </w:rPr>
        <w:t>.</w:t>
      </w:r>
      <w:r w:rsidR="00725CD8">
        <w:rPr>
          <w:rFonts w:ascii="Times New Roman" w:hAnsi="Times New Roman" w:cs="Times New Roman"/>
          <w:sz w:val="24"/>
          <w:szCs w:val="24"/>
        </w:rPr>
        <w:t xml:space="preserve"> After several years’ experience and cooperative </w:t>
      </w:r>
      <w:r w:rsidR="00725CD8">
        <w:rPr>
          <w:rFonts w:ascii="Times New Roman" w:hAnsi="Times New Roman" w:cs="Times New Roman"/>
          <w:color w:val="151515"/>
          <w:sz w:val="24"/>
          <w:szCs w:val="24"/>
        </w:rPr>
        <w:t>administration of</w:t>
      </w:r>
      <w:r w:rsidR="00725CD8" w:rsidRPr="00A60B21">
        <w:rPr>
          <w:rFonts w:ascii="Times New Roman" w:hAnsi="Times New Roman" w:cs="Times New Roman"/>
          <w:color w:val="151515"/>
          <w:sz w:val="24"/>
          <w:szCs w:val="24"/>
        </w:rPr>
        <w:t xml:space="preserve"> </w:t>
      </w:r>
      <w:r w:rsidR="008559F3">
        <w:rPr>
          <w:rFonts w:ascii="Times New Roman" w:hAnsi="Times New Roman" w:cs="Times New Roman"/>
          <w:color w:val="151515"/>
          <w:sz w:val="24"/>
          <w:szCs w:val="24"/>
        </w:rPr>
        <w:t>energy</w:t>
      </w:r>
      <w:r w:rsidR="00725CD8" w:rsidRPr="00A60B21">
        <w:rPr>
          <w:rFonts w:ascii="Times New Roman" w:hAnsi="Times New Roman" w:cs="Times New Roman"/>
          <w:color w:val="151515"/>
          <w:sz w:val="24"/>
          <w:szCs w:val="24"/>
        </w:rPr>
        <w:t xml:space="preserve"> and sustainability programs</w:t>
      </w:r>
      <w:r w:rsidR="00725CD8">
        <w:rPr>
          <w:rFonts w:ascii="Times New Roman" w:hAnsi="Times New Roman" w:cs="Times New Roman"/>
          <w:color w:val="151515"/>
          <w:sz w:val="24"/>
          <w:szCs w:val="24"/>
        </w:rPr>
        <w:t xml:space="preserve">, </w:t>
      </w:r>
      <w:r w:rsidR="00725CD8">
        <w:rPr>
          <w:rFonts w:ascii="Times New Roman" w:hAnsi="Times New Roman" w:cs="Times New Roman"/>
          <w:sz w:val="24"/>
          <w:szCs w:val="24"/>
        </w:rPr>
        <w:t>the tri-county local governments</w:t>
      </w:r>
      <w:r w:rsidR="008559F3">
        <w:rPr>
          <w:rFonts w:ascii="Times New Roman" w:hAnsi="Times New Roman" w:cs="Times New Roman"/>
          <w:sz w:val="24"/>
          <w:szCs w:val="24"/>
        </w:rPr>
        <w:t xml:space="preserve"> formed the 3C-REN, led by the County of Ventura, </w:t>
      </w:r>
      <w:r w:rsidR="003E6F08">
        <w:rPr>
          <w:rFonts w:ascii="Times New Roman" w:hAnsi="Times New Roman" w:cs="Times New Roman"/>
          <w:sz w:val="24"/>
          <w:szCs w:val="24"/>
        </w:rPr>
        <w:t xml:space="preserve">to </w:t>
      </w:r>
      <w:r w:rsidR="00A27267">
        <w:rPr>
          <w:rFonts w:ascii="Times New Roman" w:hAnsi="Times New Roman" w:cs="Times New Roman"/>
          <w:sz w:val="24"/>
          <w:szCs w:val="24"/>
        </w:rPr>
        <w:t xml:space="preserve">better </w:t>
      </w:r>
      <w:r w:rsidR="00000DA7">
        <w:rPr>
          <w:rFonts w:ascii="Times New Roman" w:hAnsi="Times New Roman" w:cs="Times New Roman"/>
          <w:sz w:val="24"/>
          <w:szCs w:val="24"/>
        </w:rPr>
        <w:t xml:space="preserve">leverage resources in the </w:t>
      </w:r>
      <w:r w:rsidR="008559F3">
        <w:rPr>
          <w:rFonts w:ascii="Times New Roman" w:hAnsi="Times New Roman" w:cs="Times New Roman"/>
          <w:sz w:val="24"/>
          <w:szCs w:val="24"/>
        </w:rPr>
        <w:t>de</w:t>
      </w:r>
      <w:r w:rsidR="003E6F08">
        <w:rPr>
          <w:rFonts w:ascii="Times New Roman" w:hAnsi="Times New Roman" w:cs="Times New Roman"/>
          <w:sz w:val="24"/>
          <w:szCs w:val="24"/>
        </w:rPr>
        <w:t>liver</w:t>
      </w:r>
      <w:r w:rsidR="00000DA7">
        <w:rPr>
          <w:rFonts w:ascii="Times New Roman" w:hAnsi="Times New Roman" w:cs="Times New Roman"/>
          <w:sz w:val="24"/>
          <w:szCs w:val="24"/>
        </w:rPr>
        <w:t>y of</w:t>
      </w:r>
      <w:r w:rsidR="00725CD8">
        <w:rPr>
          <w:rFonts w:ascii="Times New Roman" w:hAnsi="Times New Roman" w:cs="Times New Roman"/>
          <w:sz w:val="24"/>
          <w:szCs w:val="24"/>
        </w:rPr>
        <w:t xml:space="preserve"> effective programs </w:t>
      </w:r>
      <w:r w:rsidR="008F0356" w:rsidRPr="00A60B21">
        <w:rPr>
          <w:rFonts w:ascii="Times New Roman" w:hAnsi="Times New Roman" w:cs="Times New Roman"/>
          <w:color w:val="151515"/>
          <w:sz w:val="24"/>
          <w:szCs w:val="24"/>
        </w:rPr>
        <w:t>on a regional leve</w:t>
      </w:r>
      <w:r w:rsidR="00000DA7">
        <w:rPr>
          <w:rFonts w:ascii="Times New Roman" w:hAnsi="Times New Roman" w:cs="Times New Roman"/>
          <w:color w:val="151515"/>
          <w:sz w:val="24"/>
          <w:szCs w:val="24"/>
        </w:rPr>
        <w:t xml:space="preserve">l. </w:t>
      </w:r>
      <w:r w:rsidR="00BF40FF">
        <w:rPr>
          <w:rFonts w:ascii="Times New Roman" w:hAnsi="Times New Roman" w:cs="Times New Roman"/>
          <w:sz w:val="24"/>
          <w:szCs w:val="24"/>
        </w:rPr>
        <w:t>In Decision 16-08-019</w:t>
      </w:r>
      <w:r w:rsidR="00874389">
        <w:rPr>
          <w:rStyle w:val="FootnoteReference"/>
          <w:rFonts w:ascii="Times New Roman" w:hAnsi="Times New Roman" w:cs="Times New Roman"/>
          <w:sz w:val="24"/>
          <w:szCs w:val="24"/>
        </w:rPr>
        <w:footnoteReference w:id="2"/>
      </w:r>
      <w:r w:rsidR="00BF40FF">
        <w:rPr>
          <w:rFonts w:ascii="Times New Roman" w:hAnsi="Times New Roman" w:cs="Times New Roman"/>
          <w:sz w:val="24"/>
          <w:szCs w:val="24"/>
        </w:rPr>
        <w:t xml:space="preserve">, the </w:t>
      </w:r>
      <w:r w:rsidR="00706B03">
        <w:rPr>
          <w:rFonts w:ascii="Times New Roman" w:hAnsi="Times New Roman" w:cs="Times New Roman"/>
          <w:sz w:val="24"/>
          <w:szCs w:val="24"/>
        </w:rPr>
        <w:t>California Public Utilities Commission (“</w:t>
      </w:r>
      <w:r w:rsidR="00BF40FF">
        <w:rPr>
          <w:rFonts w:ascii="Times New Roman" w:hAnsi="Times New Roman" w:cs="Times New Roman"/>
          <w:sz w:val="24"/>
          <w:szCs w:val="24"/>
        </w:rPr>
        <w:t>CPUC</w:t>
      </w:r>
      <w:r w:rsidR="00706B03">
        <w:rPr>
          <w:rFonts w:ascii="Times New Roman" w:hAnsi="Times New Roman" w:cs="Times New Roman"/>
          <w:sz w:val="24"/>
          <w:szCs w:val="24"/>
        </w:rPr>
        <w:t>” or “Commission”)</w:t>
      </w:r>
      <w:r w:rsidR="00BF40FF">
        <w:rPr>
          <w:rFonts w:ascii="Times New Roman" w:hAnsi="Times New Roman" w:cs="Times New Roman"/>
          <w:sz w:val="24"/>
          <w:szCs w:val="24"/>
        </w:rPr>
        <w:t xml:space="preserve"> provided guidance for Energy Efficiency</w:t>
      </w:r>
      <w:r w:rsidR="00A7466A">
        <w:rPr>
          <w:rFonts w:ascii="Times New Roman" w:hAnsi="Times New Roman" w:cs="Times New Roman"/>
          <w:sz w:val="24"/>
          <w:szCs w:val="24"/>
        </w:rPr>
        <w:t xml:space="preserve"> (“EE”)</w:t>
      </w:r>
      <w:r w:rsidR="00BF40FF">
        <w:rPr>
          <w:rFonts w:ascii="Times New Roman" w:hAnsi="Times New Roman" w:cs="Times New Roman"/>
          <w:sz w:val="24"/>
          <w:szCs w:val="24"/>
        </w:rPr>
        <w:t xml:space="preserve"> Rolling Portfolio Business Plan </w:t>
      </w:r>
      <w:r w:rsidR="00A7466A">
        <w:rPr>
          <w:rFonts w:ascii="Times New Roman" w:hAnsi="Times New Roman" w:cs="Times New Roman"/>
          <w:sz w:val="24"/>
          <w:szCs w:val="24"/>
        </w:rPr>
        <w:t xml:space="preserve">(“BP”) </w:t>
      </w:r>
      <w:r w:rsidR="00247325">
        <w:rPr>
          <w:rFonts w:ascii="Times New Roman" w:hAnsi="Times New Roman" w:cs="Times New Roman"/>
          <w:sz w:val="24"/>
          <w:szCs w:val="24"/>
        </w:rPr>
        <w:t>filing</w:t>
      </w:r>
      <w:r w:rsidR="00706B03">
        <w:rPr>
          <w:rFonts w:ascii="Times New Roman" w:hAnsi="Times New Roman" w:cs="Times New Roman"/>
          <w:sz w:val="24"/>
          <w:szCs w:val="24"/>
        </w:rPr>
        <w:t>s and included</w:t>
      </w:r>
      <w:r w:rsidR="00BF40FF">
        <w:rPr>
          <w:rFonts w:ascii="Times New Roman" w:hAnsi="Times New Roman" w:cs="Times New Roman"/>
          <w:sz w:val="24"/>
          <w:szCs w:val="24"/>
        </w:rPr>
        <w:t xml:space="preserve"> consideration of the formation of new Regional Energy Networks (</w:t>
      </w:r>
      <w:r w:rsidR="00706B03">
        <w:rPr>
          <w:rFonts w:ascii="Times New Roman" w:hAnsi="Times New Roman" w:cs="Times New Roman"/>
          <w:sz w:val="24"/>
          <w:szCs w:val="24"/>
        </w:rPr>
        <w:t>“</w:t>
      </w:r>
      <w:r w:rsidR="00BF40FF">
        <w:rPr>
          <w:rFonts w:ascii="Times New Roman" w:hAnsi="Times New Roman" w:cs="Times New Roman"/>
          <w:sz w:val="24"/>
          <w:szCs w:val="24"/>
        </w:rPr>
        <w:t>RENs</w:t>
      </w:r>
      <w:r w:rsidR="00706B03">
        <w:rPr>
          <w:rFonts w:ascii="Times New Roman" w:hAnsi="Times New Roman" w:cs="Times New Roman"/>
          <w:sz w:val="24"/>
          <w:szCs w:val="24"/>
        </w:rPr>
        <w:t>”</w:t>
      </w:r>
      <w:r w:rsidR="00BF40FF">
        <w:rPr>
          <w:rFonts w:ascii="Times New Roman" w:hAnsi="Times New Roman" w:cs="Times New Roman"/>
          <w:sz w:val="24"/>
          <w:szCs w:val="24"/>
        </w:rPr>
        <w:t>). Since</w:t>
      </w:r>
      <w:r w:rsidR="00706B03">
        <w:rPr>
          <w:rFonts w:ascii="Times New Roman" w:hAnsi="Times New Roman" w:cs="Times New Roman"/>
          <w:sz w:val="24"/>
          <w:szCs w:val="24"/>
        </w:rPr>
        <w:t xml:space="preserve"> filing </w:t>
      </w:r>
      <w:r w:rsidR="00706B03" w:rsidRPr="00706B03">
        <w:rPr>
          <w:rFonts w:ascii="Times New Roman" w:hAnsi="Times New Roman" w:cs="Times New Roman"/>
          <w:sz w:val="24"/>
          <w:szCs w:val="24"/>
        </w:rPr>
        <w:t xml:space="preserve">3C-REN’s </w:t>
      </w:r>
      <w:r w:rsidR="00A7466A">
        <w:rPr>
          <w:rFonts w:ascii="Times New Roman" w:hAnsi="Times New Roman" w:cs="Times New Roman"/>
          <w:sz w:val="24"/>
          <w:szCs w:val="24"/>
        </w:rPr>
        <w:t>BP</w:t>
      </w:r>
      <w:r w:rsidR="00706B03" w:rsidRPr="00706B03">
        <w:rPr>
          <w:rFonts w:ascii="Times New Roman" w:hAnsi="Times New Roman" w:cs="Times New Roman"/>
          <w:sz w:val="24"/>
          <w:szCs w:val="24"/>
        </w:rPr>
        <w:t xml:space="preserve"> </w:t>
      </w:r>
      <w:r w:rsidR="00054820">
        <w:rPr>
          <w:rFonts w:ascii="Times New Roman" w:hAnsi="Times New Roman" w:cs="Times New Roman"/>
          <w:sz w:val="24"/>
          <w:szCs w:val="24"/>
        </w:rPr>
        <w:t>to</w:t>
      </w:r>
      <w:r w:rsidR="00706B03" w:rsidRPr="00706B03">
        <w:rPr>
          <w:rFonts w:ascii="Times New Roman" w:hAnsi="Times New Roman" w:cs="Times New Roman"/>
          <w:sz w:val="24"/>
          <w:szCs w:val="24"/>
        </w:rPr>
        <w:t xml:space="preserve"> serv</w:t>
      </w:r>
      <w:r w:rsidR="00054820">
        <w:rPr>
          <w:rFonts w:ascii="Times New Roman" w:hAnsi="Times New Roman" w:cs="Times New Roman"/>
          <w:sz w:val="24"/>
          <w:szCs w:val="24"/>
        </w:rPr>
        <w:t>e</w:t>
      </w:r>
      <w:r w:rsidR="00706B03" w:rsidRPr="00706B03">
        <w:rPr>
          <w:rFonts w:ascii="Times New Roman" w:hAnsi="Times New Roman" w:cs="Times New Roman"/>
          <w:sz w:val="24"/>
          <w:szCs w:val="24"/>
        </w:rPr>
        <w:t xml:space="preserve"> public agencies and their constituencies within Southern California Edison’s (“SCE’s”), Southern California Gas’ (“SCG’s”)</w:t>
      </w:r>
      <w:r w:rsidR="00706B03">
        <w:rPr>
          <w:rFonts w:ascii="Times New Roman" w:hAnsi="Times New Roman" w:cs="Times New Roman"/>
          <w:sz w:val="24"/>
          <w:szCs w:val="24"/>
        </w:rPr>
        <w:t>,</w:t>
      </w:r>
      <w:r w:rsidR="00706B03" w:rsidRPr="00706B03">
        <w:rPr>
          <w:rFonts w:ascii="Times New Roman" w:hAnsi="Times New Roman" w:cs="Times New Roman"/>
          <w:sz w:val="24"/>
          <w:szCs w:val="24"/>
        </w:rPr>
        <w:t xml:space="preserve"> and Pacific Gas and Electric’s (“PG&amp;E’s”) service territories</w:t>
      </w:r>
      <w:r w:rsidR="00706B03">
        <w:rPr>
          <w:rFonts w:ascii="Times New Roman" w:hAnsi="Times New Roman" w:cs="Times New Roman"/>
          <w:sz w:val="24"/>
          <w:szCs w:val="24"/>
        </w:rPr>
        <w:t>, 3C-REN has</w:t>
      </w:r>
      <w:r w:rsidR="00BF40FF">
        <w:rPr>
          <w:rFonts w:ascii="Times New Roman" w:hAnsi="Times New Roman" w:cs="Times New Roman"/>
          <w:sz w:val="24"/>
          <w:szCs w:val="24"/>
        </w:rPr>
        <w:t xml:space="preserve"> continued participation in the </w:t>
      </w:r>
      <w:r w:rsidR="00725CD8" w:rsidRPr="00725CD8">
        <w:rPr>
          <w:rFonts w:ascii="Times New Roman" w:hAnsi="Times New Roman" w:cs="Times New Roman"/>
          <w:bCs/>
          <w:sz w:val="24"/>
          <w:szCs w:val="24"/>
        </w:rPr>
        <w:t>California Energy Efficiency Coordinating Committee (“CAEECC”)</w:t>
      </w:r>
      <w:r w:rsidR="00BF40FF" w:rsidRPr="00725CD8">
        <w:rPr>
          <w:rFonts w:ascii="Times New Roman" w:hAnsi="Times New Roman" w:cs="Times New Roman"/>
          <w:sz w:val="24"/>
          <w:szCs w:val="24"/>
        </w:rPr>
        <w:t xml:space="preserve"> </w:t>
      </w:r>
      <w:r w:rsidR="00BF40FF">
        <w:rPr>
          <w:rFonts w:ascii="Times New Roman" w:hAnsi="Times New Roman" w:cs="Times New Roman"/>
          <w:sz w:val="24"/>
          <w:szCs w:val="24"/>
        </w:rPr>
        <w:t>process</w:t>
      </w:r>
      <w:r w:rsidR="00725CD8">
        <w:rPr>
          <w:rFonts w:ascii="Times New Roman" w:hAnsi="Times New Roman" w:cs="Times New Roman"/>
          <w:sz w:val="24"/>
          <w:szCs w:val="24"/>
        </w:rPr>
        <w:t>. 3C-REN</w:t>
      </w:r>
      <w:r w:rsidR="00247325">
        <w:rPr>
          <w:rFonts w:ascii="Times New Roman" w:hAnsi="Times New Roman" w:cs="Times New Roman"/>
          <w:sz w:val="24"/>
          <w:szCs w:val="24"/>
        </w:rPr>
        <w:t xml:space="preserve"> </w:t>
      </w:r>
      <w:r w:rsidR="00725CD8">
        <w:rPr>
          <w:rFonts w:ascii="Times New Roman" w:hAnsi="Times New Roman" w:cs="Times New Roman"/>
          <w:sz w:val="24"/>
          <w:szCs w:val="24"/>
        </w:rPr>
        <w:t>remains intent</w:t>
      </w:r>
      <w:r w:rsidR="00BF40FF">
        <w:rPr>
          <w:rFonts w:ascii="Times New Roman" w:hAnsi="Times New Roman" w:cs="Times New Roman"/>
          <w:sz w:val="24"/>
          <w:szCs w:val="24"/>
        </w:rPr>
        <w:t xml:space="preserve"> to </w:t>
      </w:r>
      <w:r w:rsidR="00247325">
        <w:rPr>
          <w:rFonts w:ascii="Times New Roman" w:hAnsi="Times New Roman" w:cs="Times New Roman"/>
          <w:sz w:val="24"/>
          <w:szCs w:val="24"/>
        </w:rPr>
        <w:t>de</w:t>
      </w:r>
      <w:r w:rsidR="00706B03">
        <w:rPr>
          <w:rFonts w:ascii="Times New Roman" w:hAnsi="Times New Roman" w:cs="Times New Roman"/>
          <w:sz w:val="24"/>
          <w:szCs w:val="24"/>
        </w:rPr>
        <w:t>liver</w:t>
      </w:r>
      <w:r w:rsidR="00247325">
        <w:rPr>
          <w:rFonts w:ascii="Times New Roman" w:hAnsi="Times New Roman" w:cs="Times New Roman"/>
          <w:sz w:val="24"/>
          <w:szCs w:val="24"/>
        </w:rPr>
        <w:t xml:space="preserve"> program</w:t>
      </w:r>
      <w:r w:rsidR="00BF40FF">
        <w:rPr>
          <w:rFonts w:ascii="Times New Roman" w:hAnsi="Times New Roman" w:cs="Times New Roman"/>
          <w:sz w:val="24"/>
          <w:szCs w:val="24"/>
        </w:rPr>
        <w:t>s that</w:t>
      </w:r>
      <w:r w:rsidR="008F0356" w:rsidRPr="00A60B21">
        <w:rPr>
          <w:rFonts w:ascii="Times New Roman" w:hAnsi="Times New Roman" w:cs="Times New Roman"/>
          <w:sz w:val="24"/>
          <w:szCs w:val="24"/>
        </w:rPr>
        <w:t xml:space="preserve"> </w:t>
      </w:r>
      <w:r w:rsidR="00BF40FF">
        <w:rPr>
          <w:rFonts w:ascii="Times New Roman" w:hAnsi="Times New Roman" w:cs="Times New Roman"/>
          <w:sz w:val="24"/>
          <w:szCs w:val="24"/>
        </w:rPr>
        <w:t xml:space="preserve">meet CPUC criteria as </w:t>
      </w:r>
      <w:r w:rsidR="008F0356" w:rsidRPr="00A60B21">
        <w:rPr>
          <w:rFonts w:ascii="Times New Roman" w:hAnsi="Times New Roman" w:cs="Times New Roman"/>
          <w:sz w:val="24"/>
          <w:szCs w:val="24"/>
        </w:rPr>
        <w:t xml:space="preserve">indicated by Decision 12-11-015 in the formation and implementation of programs: filling gaps that the investor-owned utilities (“IOUs”) </w:t>
      </w:r>
      <w:r w:rsidR="008F0356" w:rsidRPr="00A60B21">
        <w:rPr>
          <w:rFonts w:ascii="Times New Roman" w:hAnsi="Times New Roman" w:cs="Times New Roman"/>
          <w:sz w:val="24"/>
          <w:szCs w:val="24"/>
        </w:rPr>
        <w:lastRenderedPageBreak/>
        <w:t xml:space="preserve">are not serving; developing programs for hard-to-reach markets; and piloting new approaches to programs that have the potential to scale and offer innovative avenues to energy savings.  </w:t>
      </w:r>
    </w:p>
    <w:p w14:paraId="1154E0D4" w14:textId="59F5CFE7" w:rsidR="008F0356" w:rsidRPr="00F4619C" w:rsidRDefault="008F0356" w:rsidP="008F0356">
      <w:pPr>
        <w:jc w:val="both"/>
        <w:rPr>
          <w:rFonts w:ascii="Times New Roman" w:hAnsi="Times New Roman" w:cs="Times New Roman"/>
          <w:b/>
          <w:sz w:val="24"/>
          <w:szCs w:val="24"/>
        </w:rPr>
      </w:pPr>
      <w:r w:rsidRPr="00F4619C">
        <w:rPr>
          <w:rFonts w:ascii="Times New Roman" w:hAnsi="Times New Roman" w:cs="Times New Roman"/>
          <w:b/>
          <w:sz w:val="24"/>
          <w:szCs w:val="24"/>
        </w:rPr>
        <w:t>Background</w:t>
      </w:r>
    </w:p>
    <w:p w14:paraId="4635AE5A" w14:textId="17D54B59" w:rsidR="005A204A" w:rsidRPr="00F4619C" w:rsidRDefault="007A460D" w:rsidP="008F0356">
      <w:pPr>
        <w:jc w:val="both"/>
        <w:rPr>
          <w:rFonts w:ascii="Times New Roman" w:hAnsi="Times New Roman" w:cs="Times New Roman"/>
          <w:sz w:val="24"/>
          <w:szCs w:val="24"/>
          <w:highlight w:val="lightGray"/>
        </w:rPr>
      </w:pPr>
      <w:r>
        <w:rPr>
          <w:rFonts w:ascii="Times New Roman" w:hAnsi="Times New Roman" w:cs="Times New Roman"/>
          <w:sz w:val="24"/>
          <w:szCs w:val="24"/>
        </w:rPr>
        <w:t>In Decision 14-10-046 the Commission authorized funding for EE programs until 2025. In 2015 the Commission issued Decision 15-10-028</w:t>
      </w:r>
      <w:r w:rsidR="00565B8C">
        <w:rPr>
          <w:rFonts w:ascii="Times New Roman" w:hAnsi="Times New Roman" w:cs="Times New Roman"/>
          <w:sz w:val="24"/>
          <w:szCs w:val="24"/>
        </w:rPr>
        <w:t xml:space="preserve"> approving </w:t>
      </w:r>
      <w:r w:rsidR="0010752C">
        <w:rPr>
          <w:rFonts w:ascii="Times New Roman" w:hAnsi="Times New Roman" w:cs="Times New Roman"/>
          <w:sz w:val="24"/>
          <w:szCs w:val="24"/>
        </w:rPr>
        <w:t xml:space="preserve">the mechanics for EE rolling portfolio and outlining the business plan application process. </w:t>
      </w:r>
      <w:r>
        <w:rPr>
          <w:rFonts w:ascii="Times New Roman" w:hAnsi="Times New Roman" w:cs="Times New Roman"/>
          <w:sz w:val="24"/>
          <w:szCs w:val="24"/>
        </w:rPr>
        <w:t xml:space="preserve"> </w:t>
      </w:r>
      <w:r w:rsidR="00F97786">
        <w:rPr>
          <w:rFonts w:ascii="Times New Roman" w:hAnsi="Times New Roman" w:cs="Times New Roman"/>
          <w:sz w:val="24"/>
          <w:szCs w:val="24"/>
        </w:rPr>
        <w:t xml:space="preserve">On January 17, 2017 3C-REN filed a motion for approval of its rolling portfolio business plan and budget proposal.  </w:t>
      </w:r>
      <w:r w:rsidR="005A204A" w:rsidRPr="00F4619C">
        <w:rPr>
          <w:rFonts w:ascii="Times New Roman" w:hAnsi="Times New Roman" w:cs="Times New Roman"/>
          <w:sz w:val="24"/>
          <w:szCs w:val="24"/>
        </w:rPr>
        <w:t>D</w:t>
      </w:r>
      <w:r w:rsidR="005A204A">
        <w:rPr>
          <w:rFonts w:ascii="Times New Roman" w:hAnsi="Times New Roman" w:cs="Times New Roman"/>
          <w:sz w:val="24"/>
          <w:szCs w:val="24"/>
        </w:rPr>
        <w:t xml:space="preserve">ecision </w:t>
      </w:r>
      <w:r w:rsidR="005A204A" w:rsidRPr="00F4619C">
        <w:rPr>
          <w:rFonts w:ascii="Times New Roman" w:hAnsi="Times New Roman" w:cs="Times New Roman"/>
          <w:sz w:val="24"/>
          <w:szCs w:val="24"/>
        </w:rPr>
        <w:t xml:space="preserve">18-05-041 provided the </w:t>
      </w:r>
      <w:r w:rsidR="00F97786">
        <w:rPr>
          <w:rFonts w:ascii="Times New Roman" w:hAnsi="Times New Roman" w:cs="Times New Roman"/>
          <w:sz w:val="24"/>
          <w:szCs w:val="24"/>
        </w:rPr>
        <w:t>requirements</w:t>
      </w:r>
      <w:r w:rsidR="005A204A" w:rsidRPr="00F4619C">
        <w:rPr>
          <w:rFonts w:ascii="Times New Roman" w:hAnsi="Times New Roman" w:cs="Times New Roman"/>
          <w:sz w:val="24"/>
          <w:szCs w:val="24"/>
        </w:rPr>
        <w:t xml:space="preserve"> of the Annual Budget Advice Letter (</w:t>
      </w:r>
      <w:r w:rsidR="00F97786">
        <w:rPr>
          <w:rFonts w:ascii="Times New Roman" w:hAnsi="Times New Roman" w:cs="Times New Roman"/>
          <w:sz w:val="24"/>
          <w:szCs w:val="24"/>
        </w:rPr>
        <w:t>“</w:t>
      </w:r>
      <w:r w:rsidR="005A204A" w:rsidRPr="00F4619C">
        <w:rPr>
          <w:rFonts w:ascii="Times New Roman" w:hAnsi="Times New Roman" w:cs="Times New Roman"/>
          <w:sz w:val="24"/>
          <w:szCs w:val="24"/>
        </w:rPr>
        <w:t>ABAL</w:t>
      </w:r>
      <w:r w:rsidR="00F97786">
        <w:rPr>
          <w:rFonts w:ascii="Times New Roman" w:hAnsi="Times New Roman" w:cs="Times New Roman"/>
          <w:sz w:val="24"/>
          <w:szCs w:val="24"/>
        </w:rPr>
        <w:t>”</w:t>
      </w:r>
      <w:r w:rsidR="005A204A" w:rsidRPr="00F4619C">
        <w:rPr>
          <w:rFonts w:ascii="Times New Roman" w:hAnsi="Times New Roman" w:cs="Times New Roman"/>
          <w:sz w:val="24"/>
          <w:szCs w:val="24"/>
        </w:rPr>
        <w:t xml:space="preserve">) and directed Program Administrators to file the 2019 ABAL by September 4, 2018.    </w:t>
      </w:r>
    </w:p>
    <w:p w14:paraId="0F29F2F1" w14:textId="77777777" w:rsidR="008F0356" w:rsidRPr="00A60B21" w:rsidRDefault="008F0356" w:rsidP="008F0356">
      <w:pPr>
        <w:jc w:val="both"/>
        <w:rPr>
          <w:rFonts w:ascii="Times New Roman" w:hAnsi="Times New Roman" w:cs="Times New Roman"/>
          <w:b/>
          <w:sz w:val="24"/>
          <w:szCs w:val="24"/>
        </w:rPr>
      </w:pPr>
      <w:r w:rsidRPr="00A60B21">
        <w:rPr>
          <w:rFonts w:ascii="Times New Roman" w:hAnsi="Times New Roman" w:cs="Times New Roman"/>
          <w:b/>
          <w:sz w:val="24"/>
          <w:szCs w:val="24"/>
        </w:rPr>
        <w:t>Discussion</w:t>
      </w:r>
    </w:p>
    <w:p w14:paraId="5759B7F4" w14:textId="03CE0B15" w:rsidR="008F0356" w:rsidRPr="00F4619C" w:rsidRDefault="00054820" w:rsidP="00F4619C">
      <w:pPr>
        <w:pStyle w:val="ListParagraph"/>
        <w:numPr>
          <w:ilvl w:val="0"/>
          <w:numId w:val="12"/>
        </w:numPr>
        <w:spacing w:line="360" w:lineRule="auto"/>
        <w:rPr>
          <w:rFonts w:ascii="Times New Roman" w:hAnsi="Times New Roman" w:cs="Times New Roman"/>
          <w:b/>
          <w:szCs w:val="24"/>
        </w:rPr>
      </w:pPr>
      <w:r w:rsidRPr="00F4619C">
        <w:rPr>
          <w:rFonts w:ascii="Times New Roman" w:hAnsi="Times New Roman" w:cs="Times New Roman"/>
          <w:b/>
          <w:szCs w:val="24"/>
        </w:rPr>
        <w:t>3C-</w:t>
      </w:r>
      <w:r w:rsidR="008F0356" w:rsidRPr="00F4619C">
        <w:rPr>
          <w:rFonts w:ascii="Times New Roman" w:hAnsi="Times New Roman" w:cs="Times New Roman"/>
          <w:b/>
          <w:szCs w:val="24"/>
        </w:rPr>
        <w:t>REN 201</w:t>
      </w:r>
      <w:r w:rsidR="00A5465B" w:rsidRPr="00F4619C">
        <w:rPr>
          <w:rFonts w:ascii="Times New Roman" w:hAnsi="Times New Roman" w:cs="Times New Roman"/>
          <w:b/>
          <w:szCs w:val="24"/>
        </w:rPr>
        <w:t>9</w:t>
      </w:r>
      <w:r w:rsidR="008F0356" w:rsidRPr="00F4619C">
        <w:rPr>
          <w:rFonts w:ascii="Times New Roman" w:hAnsi="Times New Roman" w:cs="Times New Roman"/>
          <w:b/>
          <w:szCs w:val="24"/>
        </w:rPr>
        <w:t xml:space="preserve"> Budget Request</w:t>
      </w:r>
      <w:r w:rsidR="00141364" w:rsidRPr="00F4619C">
        <w:rPr>
          <w:rFonts w:ascii="Times New Roman" w:hAnsi="Times New Roman" w:cs="Times New Roman"/>
          <w:b/>
          <w:szCs w:val="24"/>
        </w:rPr>
        <w:t xml:space="preserve"> </w:t>
      </w:r>
    </w:p>
    <w:p w14:paraId="2E4E9ADB" w14:textId="5813FF9C" w:rsidR="008F0356" w:rsidRPr="00A60B21" w:rsidRDefault="00054820" w:rsidP="008F0356">
      <w:pPr>
        <w:jc w:val="both"/>
        <w:rPr>
          <w:rFonts w:ascii="Times New Roman" w:hAnsi="Times New Roman" w:cs="Times New Roman"/>
          <w:sz w:val="24"/>
          <w:szCs w:val="24"/>
        </w:rPr>
      </w:pPr>
      <w:r>
        <w:rPr>
          <w:rFonts w:ascii="Times New Roman" w:hAnsi="Times New Roman" w:cs="Times New Roman"/>
          <w:sz w:val="24"/>
          <w:szCs w:val="24"/>
        </w:rPr>
        <w:t>3C-</w:t>
      </w:r>
      <w:r w:rsidR="008F0356" w:rsidRPr="00A60B21">
        <w:rPr>
          <w:rFonts w:ascii="Times New Roman" w:hAnsi="Times New Roman" w:cs="Times New Roman"/>
          <w:sz w:val="24"/>
          <w:szCs w:val="24"/>
        </w:rPr>
        <w:t>REN</w:t>
      </w:r>
      <w:r>
        <w:rPr>
          <w:rFonts w:ascii="Times New Roman" w:hAnsi="Times New Roman" w:cs="Times New Roman"/>
          <w:sz w:val="24"/>
          <w:szCs w:val="24"/>
        </w:rPr>
        <w:t>, as a new REN,</w:t>
      </w:r>
      <w:r w:rsidR="008F0356" w:rsidRPr="00A60B21">
        <w:rPr>
          <w:rFonts w:ascii="Times New Roman" w:hAnsi="Times New Roman" w:cs="Times New Roman"/>
          <w:sz w:val="24"/>
          <w:szCs w:val="24"/>
        </w:rPr>
        <w:t xml:space="preserve"> requests a total portfolio and Evaluation, Measurement and Verification (“EM&amp;V”) budget of $</w:t>
      </w:r>
      <w:r>
        <w:rPr>
          <w:rFonts w:ascii="Times New Roman" w:hAnsi="Times New Roman" w:cs="Times New Roman"/>
          <w:sz w:val="24"/>
          <w:szCs w:val="24"/>
        </w:rPr>
        <w:t>6,200,000.00</w:t>
      </w:r>
      <w:r w:rsidR="00116E12" w:rsidRPr="00A60B21">
        <w:rPr>
          <w:rFonts w:ascii="Times New Roman" w:hAnsi="Times New Roman" w:cs="Times New Roman"/>
          <w:sz w:val="24"/>
          <w:szCs w:val="24"/>
        </w:rPr>
        <w:t>.</w:t>
      </w:r>
      <w:r w:rsidR="008F0356" w:rsidRPr="00A60B21">
        <w:rPr>
          <w:rFonts w:ascii="Times New Roman" w:hAnsi="Times New Roman" w:cs="Times New Roman"/>
          <w:sz w:val="24"/>
          <w:szCs w:val="24"/>
        </w:rPr>
        <w:t xml:space="preserve">  The budget breakdown is reflected in Table 1. </w:t>
      </w:r>
    </w:p>
    <w:p w14:paraId="1897826D" w14:textId="295F043F" w:rsidR="00822662" w:rsidRPr="00A60B21" w:rsidRDefault="00054820" w:rsidP="00822662">
      <w:pPr>
        <w:ind w:firstLine="720"/>
        <w:contextualSpacing/>
        <w:rPr>
          <w:rFonts w:ascii="Times New Roman" w:hAnsi="Times New Roman" w:cs="Times New Roman"/>
          <w:b/>
          <w:sz w:val="24"/>
          <w:szCs w:val="24"/>
        </w:rPr>
      </w:pPr>
      <w:r>
        <w:rPr>
          <w:rFonts w:ascii="Times New Roman" w:hAnsi="Times New Roman" w:cs="Times New Roman"/>
          <w:b/>
          <w:sz w:val="24"/>
          <w:szCs w:val="24"/>
        </w:rPr>
        <w:t>Table 1: 3C-</w:t>
      </w:r>
      <w:r w:rsidR="00822662" w:rsidRPr="00A60B21">
        <w:rPr>
          <w:rFonts w:ascii="Times New Roman" w:hAnsi="Times New Roman" w:cs="Times New Roman"/>
          <w:b/>
          <w:sz w:val="24"/>
          <w:szCs w:val="24"/>
        </w:rPr>
        <w:t>REN 2019 Budget</w:t>
      </w:r>
    </w:p>
    <w:p w14:paraId="0773524A" w14:textId="77777777" w:rsidR="00822662" w:rsidRPr="00A60B21" w:rsidRDefault="00822662" w:rsidP="00822662">
      <w:pPr>
        <w:ind w:firstLine="720"/>
        <w:contextualSpacing/>
        <w:rPr>
          <w:rFonts w:ascii="Times New Roman" w:hAnsi="Times New Roman" w:cs="Times New Roman"/>
          <w:b/>
          <w:sz w:val="24"/>
          <w:szCs w:val="24"/>
        </w:rPr>
      </w:pPr>
    </w:p>
    <w:tbl>
      <w:tblPr>
        <w:tblStyle w:val="TableClassic1"/>
        <w:tblW w:w="8710" w:type="dxa"/>
        <w:tblInd w:w="612" w:type="dxa"/>
        <w:tblLook w:val="04A0" w:firstRow="1" w:lastRow="0" w:firstColumn="1" w:lastColumn="0" w:noHBand="0" w:noVBand="1"/>
      </w:tblPr>
      <w:tblGrid>
        <w:gridCol w:w="3930"/>
        <w:gridCol w:w="2470"/>
        <w:gridCol w:w="2310"/>
      </w:tblGrid>
      <w:tr w:rsidR="004C560E" w:rsidRPr="00A60B21" w14:paraId="3B540F9A" w14:textId="77777777" w:rsidTr="004C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E288752" w14:textId="77777777" w:rsidR="004C560E" w:rsidRPr="00A60B21" w:rsidRDefault="004C560E" w:rsidP="006D3BED">
            <w:pPr>
              <w:contextualSpacing/>
              <w:rPr>
                <w:rFonts w:ascii="Times New Roman" w:hAnsi="Times New Roman" w:cs="Times New Roman"/>
                <w:b/>
                <w:sz w:val="24"/>
                <w:szCs w:val="24"/>
              </w:rPr>
            </w:pPr>
            <w:r w:rsidRPr="00A60B21">
              <w:rPr>
                <w:rFonts w:ascii="Times New Roman" w:hAnsi="Times New Roman" w:cs="Times New Roman"/>
                <w:b/>
                <w:sz w:val="24"/>
                <w:szCs w:val="24"/>
              </w:rPr>
              <w:t>Sector/Program</w:t>
            </w:r>
          </w:p>
        </w:tc>
        <w:tc>
          <w:tcPr>
            <w:tcW w:w="0" w:type="auto"/>
            <w:tcBorders>
              <w:right w:val="single" w:sz="4" w:space="0" w:color="auto"/>
            </w:tcBorders>
            <w:shd w:val="clear" w:color="auto" w:fill="DBE5F1" w:themeFill="accent1" w:themeFillTint="33"/>
          </w:tcPr>
          <w:p w14:paraId="23DC3599" w14:textId="534D257E" w:rsidR="004C560E" w:rsidRPr="00A60B21" w:rsidRDefault="004C560E" w:rsidP="001444D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201</w:t>
            </w:r>
            <w:r>
              <w:rPr>
                <w:rFonts w:ascii="Times New Roman" w:hAnsi="Times New Roman" w:cs="Times New Roman"/>
                <w:b/>
                <w:sz w:val="24"/>
                <w:szCs w:val="24"/>
              </w:rPr>
              <w:t>8</w:t>
            </w:r>
            <w:r w:rsidRPr="00A60B21">
              <w:rPr>
                <w:rFonts w:ascii="Times New Roman" w:hAnsi="Times New Roman" w:cs="Times New Roman"/>
                <w:b/>
                <w:sz w:val="24"/>
                <w:szCs w:val="24"/>
              </w:rPr>
              <w:t xml:space="preserve"> Approved Budget</w:t>
            </w:r>
          </w:p>
        </w:tc>
        <w:tc>
          <w:tcPr>
            <w:tcW w:w="0" w:type="auto"/>
            <w:tcBorders>
              <w:left w:val="single" w:sz="4" w:space="0" w:color="auto"/>
            </w:tcBorders>
            <w:shd w:val="clear" w:color="auto" w:fill="DBE5F1" w:themeFill="accent1" w:themeFillTint="33"/>
          </w:tcPr>
          <w:p w14:paraId="5200FC22" w14:textId="3E0899A3" w:rsidR="004C560E" w:rsidRPr="00A60B21" w:rsidRDefault="004C560E" w:rsidP="001444D1">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2019 Budget Request</w:t>
            </w:r>
          </w:p>
        </w:tc>
      </w:tr>
      <w:tr w:rsidR="004C560E" w:rsidRPr="00F02D8F" w14:paraId="51946AE0" w14:textId="77777777" w:rsidTr="004C560E">
        <w:trPr>
          <w:trHeight w:val="426"/>
        </w:trPr>
        <w:tc>
          <w:tcPr>
            <w:cnfStyle w:val="001000000000" w:firstRow="0" w:lastRow="0" w:firstColumn="1" w:lastColumn="0" w:oddVBand="0" w:evenVBand="0" w:oddHBand="0" w:evenHBand="0" w:firstRowFirstColumn="0" w:firstRowLastColumn="0" w:lastRowFirstColumn="0" w:lastRowLastColumn="0"/>
            <w:tcW w:w="0" w:type="auto"/>
          </w:tcPr>
          <w:p w14:paraId="22E76475" w14:textId="77777777" w:rsidR="004C560E" w:rsidRPr="00F4619C" w:rsidRDefault="004C560E" w:rsidP="006D3BED">
            <w:pPr>
              <w:contextualSpacing/>
              <w:rPr>
                <w:rFonts w:ascii="Times New Roman" w:hAnsi="Times New Roman" w:cs="Times New Roman"/>
                <w:sz w:val="24"/>
                <w:szCs w:val="24"/>
              </w:rPr>
            </w:pPr>
            <w:r w:rsidRPr="00F4619C">
              <w:rPr>
                <w:rFonts w:ascii="Times New Roman" w:hAnsi="Times New Roman" w:cs="Times New Roman"/>
                <w:sz w:val="24"/>
                <w:szCs w:val="24"/>
              </w:rPr>
              <w:t>Residential</w:t>
            </w:r>
          </w:p>
        </w:tc>
        <w:tc>
          <w:tcPr>
            <w:tcW w:w="0" w:type="auto"/>
            <w:tcBorders>
              <w:right w:val="single" w:sz="4" w:space="0" w:color="auto"/>
            </w:tcBorders>
          </w:tcPr>
          <w:p w14:paraId="2205AA5B" w14:textId="0322D777" w:rsidR="004C560E" w:rsidRPr="00F02D8F"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D8F">
              <w:rPr>
                <w:rFonts w:ascii="Times New Roman" w:hAnsi="Times New Roman" w:cs="Times New Roman"/>
                <w:sz w:val="24"/>
                <w:szCs w:val="24"/>
              </w:rPr>
              <w:t>$0</w:t>
            </w:r>
          </w:p>
        </w:tc>
        <w:tc>
          <w:tcPr>
            <w:tcW w:w="0" w:type="auto"/>
            <w:tcBorders>
              <w:left w:val="single" w:sz="4" w:space="0" w:color="auto"/>
            </w:tcBorders>
          </w:tcPr>
          <w:p w14:paraId="4E653455" w14:textId="3ADBC37C" w:rsidR="004C560E" w:rsidRPr="00F02D8F"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D8F">
              <w:rPr>
                <w:rFonts w:ascii="Times New Roman" w:hAnsi="Times New Roman" w:cs="Times New Roman"/>
                <w:sz w:val="24"/>
                <w:szCs w:val="24"/>
              </w:rPr>
              <w:t>$2,896,875</w:t>
            </w:r>
          </w:p>
        </w:tc>
      </w:tr>
      <w:tr w:rsidR="004C560E" w:rsidRPr="00F02D8F" w14:paraId="7805121D" w14:textId="77777777" w:rsidTr="004C560E">
        <w:trPr>
          <w:trHeight w:val="423"/>
        </w:trPr>
        <w:tc>
          <w:tcPr>
            <w:cnfStyle w:val="001000000000" w:firstRow="0" w:lastRow="0" w:firstColumn="1" w:lastColumn="0" w:oddVBand="0" w:evenVBand="0" w:oddHBand="0" w:evenHBand="0" w:firstRowFirstColumn="0" w:firstRowLastColumn="0" w:lastRowFirstColumn="0" w:lastRowLastColumn="0"/>
            <w:tcW w:w="0" w:type="auto"/>
          </w:tcPr>
          <w:p w14:paraId="45D4F981" w14:textId="41FA9FA2" w:rsidR="004C560E" w:rsidRPr="00F02D8F" w:rsidRDefault="004C560E" w:rsidP="006D3BED">
            <w:pPr>
              <w:contextualSpacing/>
              <w:rPr>
                <w:rFonts w:ascii="Times New Roman" w:hAnsi="Times New Roman" w:cs="Times New Roman"/>
                <w:sz w:val="24"/>
                <w:szCs w:val="24"/>
              </w:rPr>
            </w:pPr>
            <w:r w:rsidRPr="00F4619C">
              <w:rPr>
                <w:rFonts w:ascii="Times New Roman" w:hAnsi="Times New Roman" w:cs="Times New Roman"/>
                <w:sz w:val="24"/>
                <w:szCs w:val="24"/>
              </w:rPr>
              <w:t xml:space="preserve">Codes and Standards            </w:t>
            </w:r>
          </w:p>
        </w:tc>
        <w:tc>
          <w:tcPr>
            <w:tcW w:w="0" w:type="auto"/>
            <w:tcBorders>
              <w:right w:val="single" w:sz="4" w:space="0" w:color="auto"/>
            </w:tcBorders>
          </w:tcPr>
          <w:p w14:paraId="16749372" w14:textId="41D39793" w:rsidR="004C560E" w:rsidRPr="00F02D8F"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D8F">
              <w:rPr>
                <w:rFonts w:ascii="Times New Roman" w:hAnsi="Times New Roman" w:cs="Times New Roman"/>
                <w:sz w:val="24"/>
                <w:szCs w:val="24"/>
              </w:rPr>
              <w:t>$0</w:t>
            </w:r>
          </w:p>
        </w:tc>
        <w:tc>
          <w:tcPr>
            <w:tcW w:w="0" w:type="auto"/>
            <w:tcBorders>
              <w:left w:val="single" w:sz="4" w:space="0" w:color="auto"/>
            </w:tcBorders>
          </w:tcPr>
          <w:p w14:paraId="11493E21" w14:textId="16023467" w:rsidR="004C560E" w:rsidRPr="00F02D8F"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D8F">
              <w:rPr>
                <w:rFonts w:ascii="Times New Roman" w:hAnsi="Times New Roman" w:cs="Times New Roman"/>
                <w:sz w:val="24"/>
                <w:szCs w:val="24"/>
              </w:rPr>
              <w:t>$ 1,796,749</w:t>
            </w:r>
          </w:p>
        </w:tc>
      </w:tr>
      <w:tr w:rsidR="004C560E" w:rsidRPr="00F02D8F" w14:paraId="7B39D8CB" w14:textId="77777777" w:rsidTr="004C560E">
        <w:trPr>
          <w:trHeight w:val="486"/>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94D193" w14:textId="6C4699C8" w:rsidR="004C560E" w:rsidRPr="00F4619C" w:rsidRDefault="004C560E" w:rsidP="006D3BED">
            <w:pPr>
              <w:contextualSpacing/>
              <w:rPr>
                <w:rFonts w:ascii="Times New Roman" w:hAnsi="Times New Roman" w:cs="Times New Roman"/>
                <w:sz w:val="24"/>
                <w:szCs w:val="24"/>
              </w:rPr>
            </w:pPr>
            <w:r w:rsidRPr="00F4619C">
              <w:rPr>
                <w:rFonts w:ascii="Times New Roman" w:hAnsi="Times New Roman" w:cs="Times New Roman"/>
                <w:sz w:val="24"/>
                <w:szCs w:val="24"/>
              </w:rPr>
              <w:t>WE&amp;T</w:t>
            </w:r>
          </w:p>
        </w:tc>
        <w:tc>
          <w:tcPr>
            <w:tcW w:w="0" w:type="auto"/>
            <w:tcBorders>
              <w:right w:val="single" w:sz="4" w:space="0" w:color="auto"/>
            </w:tcBorders>
          </w:tcPr>
          <w:p w14:paraId="6938FC18" w14:textId="02DDABCE" w:rsidR="004C560E" w:rsidRPr="00F02D8F"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D8F">
              <w:rPr>
                <w:rFonts w:ascii="Times New Roman" w:hAnsi="Times New Roman" w:cs="Times New Roman"/>
                <w:sz w:val="24"/>
                <w:szCs w:val="24"/>
              </w:rPr>
              <w:t>$0</w:t>
            </w:r>
          </w:p>
        </w:tc>
        <w:tc>
          <w:tcPr>
            <w:tcW w:w="0" w:type="auto"/>
            <w:tcBorders>
              <w:left w:val="single" w:sz="4" w:space="0" w:color="auto"/>
            </w:tcBorders>
          </w:tcPr>
          <w:p w14:paraId="4A2C231F" w14:textId="5668F561" w:rsidR="004C560E" w:rsidRPr="00F02D8F"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02D8F">
              <w:rPr>
                <w:rFonts w:ascii="Times New Roman" w:hAnsi="Times New Roman" w:cs="Times New Roman"/>
                <w:sz w:val="24"/>
                <w:szCs w:val="24"/>
              </w:rPr>
              <w:t xml:space="preserve">$1,270,776 </w:t>
            </w:r>
          </w:p>
        </w:tc>
      </w:tr>
      <w:tr w:rsidR="004C560E" w:rsidRPr="00A60B21" w14:paraId="65DB73B8" w14:textId="77777777" w:rsidTr="004C560E">
        <w:tc>
          <w:tcPr>
            <w:cnfStyle w:val="001000000000" w:firstRow="0" w:lastRow="0" w:firstColumn="1" w:lastColumn="0" w:oddVBand="0" w:evenVBand="0" w:oddHBand="0" w:evenHBand="0" w:firstRowFirstColumn="0" w:firstRowLastColumn="0" w:lastRowFirstColumn="0" w:lastRowLastColumn="0"/>
            <w:tcW w:w="0" w:type="auto"/>
          </w:tcPr>
          <w:p w14:paraId="77B0FE84" w14:textId="77777777" w:rsidR="004C560E" w:rsidRPr="00A60B21" w:rsidRDefault="004C560E" w:rsidP="006D3BED">
            <w:pPr>
              <w:contextualSpacing/>
              <w:rPr>
                <w:rFonts w:ascii="Times New Roman" w:hAnsi="Times New Roman" w:cs="Times New Roman"/>
                <w:b/>
                <w:sz w:val="24"/>
                <w:szCs w:val="24"/>
                <w:u w:val="single"/>
              </w:rPr>
            </w:pPr>
            <w:r w:rsidRPr="00A60B21">
              <w:rPr>
                <w:rFonts w:ascii="Times New Roman" w:hAnsi="Times New Roman" w:cs="Times New Roman"/>
                <w:b/>
                <w:sz w:val="24"/>
                <w:szCs w:val="24"/>
              </w:rPr>
              <w:t>Total Program Portfolio</w:t>
            </w:r>
          </w:p>
        </w:tc>
        <w:tc>
          <w:tcPr>
            <w:tcW w:w="0" w:type="auto"/>
            <w:tcBorders>
              <w:right w:val="single" w:sz="4" w:space="0" w:color="auto"/>
            </w:tcBorders>
          </w:tcPr>
          <w:p w14:paraId="5C2110DA" w14:textId="1CFA688F" w:rsidR="004C560E" w:rsidRPr="00A60B21"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$0</w:t>
            </w:r>
          </w:p>
        </w:tc>
        <w:tc>
          <w:tcPr>
            <w:tcW w:w="0" w:type="auto"/>
            <w:tcBorders>
              <w:left w:val="single" w:sz="4" w:space="0" w:color="auto"/>
            </w:tcBorders>
          </w:tcPr>
          <w:p w14:paraId="7B90619E" w14:textId="63A249C0" w:rsidR="004C560E" w:rsidRPr="00A60B21"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w:t>
            </w:r>
            <w:r>
              <w:rPr>
                <w:rFonts w:ascii="Times New Roman" w:hAnsi="Times New Roman" w:cs="Times New Roman"/>
                <w:b/>
                <w:sz w:val="24"/>
                <w:szCs w:val="24"/>
              </w:rPr>
              <w:t>5,964,400</w:t>
            </w:r>
          </w:p>
        </w:tc>
      </w:tr>
      <w:tr w:rsidR="004C560E" w:rsidRPr="00A60B21" w14:paraId="563BC668" w14:textId="77777777" w:rsidTr="004C560E">
        <w:tc>
          <w:tcPr>
            <w:cnfStyle w:val="001000000000" w:firstRow="0" w:lastRow="0" w:firstColumn="1" w:lastColumn="0" w:oddVBand="0" w:evenVBand="0" w:oddHBand="0" w:evenHBand="0" w:firstRowFirstColumn="0" w:firstRowLastColumn="0" w:lastRowFirstColumn="0" w:lastRowLastColumn="0"/>
            <w:tcW w:w="0" w:type="auto"/>
          </w:tcPr>
          <w:p w14:paraId="2EF34EA9" w14:textId="77777777" w:rsidR="004C560E" w:rsidRPr="00A60B21" w:rsidRDefault="004C560E" w:rsidP="002C7C6A">
            <w:pPr>
              <w:contextualSpacing/>
              <w:rPr>
                <w:rFonts w:ascii="Times New Roman" w:hAnsi="Times New Roman" w:cs="Times New Roman"/>
                <w:b/>
                <w:sz w:val="24"/>
                <w:szCs w:val="24"/>
                <w:u w:val="single"/>
              </w:rPr>
            </w:pPr>
            <w:r w:rsidRPr="00A60B21">
              <w:rPr>
                <w:rFonts w:ascii="Times New Roman" w:hAnsi="Times New Roman" w:cs="Times New Roman"/>
                <w:b/>
                <w:sz w:val="24"/>
                <w:szCs w:val="24"/>
              </w:rPr>
              <w:tab/>
            </w:r>
            <w:r w:rsidRPr="00A60B21">
              <w:rPr>
                <w:rFonts w:ascii="Times New Roman" w:hAnsi="Times New Roman" w:cs="Times New Roman"/>
                <w:sz w:val="24"/>
                <w:szCs w:val="24"/>
              </w:rPr>
              <w:t>EM&amp;V</w:t>
            </w:r>
          </w:p>
        </w:tc>
        <w:tc>
          <w:tcPr>
            <w:tcW w:w="0" w:type="auto"/>
            <w:tcBorders>
              <w:right w:val="single" w:sz="4" w:space="0" w:color="auto"/>
            </w:tcBorders>
          </w:tcPr>
          <w:p w14:paraId="471D63B0" w14:textId="6A303D7A" w:rsidR="004C560E" w:rsidRPr="00A60B21"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0" w:type="auto"/>
            <w:tcBorders>
              <w:left w:val="single" w:sz="4" w:space="0" w:color="auto"/>
            </w:tcBorders>
          </w:tcPr>
          <w:p w14:paraId="4D863CEA" w14:textId="30BDEDEE" w:rsidR="004C560E" w:rsidRPr="00A60B21"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w:t>
            </w:r>
            <w:r>
              <w:rPr>
                <w:rFonts w:ascii="Times New Roman" w:hAnsi="Times New Roman" w:cs="Times New Roman"/>
                <w:sz w:val="24"/>
                <w:szCs w:val="24"/>
              </w:rPr>
              <w:t>235,600</w:t>
            </w:r>
          </w:p>
        </w:tc>
      </w:tr>
      <w:tr w:rsidR="004C560E" w:rsidRPr="00A60B21" w14:paraId="616B0445" w14:textId="77777777" w:rsidTr="004C560E">
        <w:tc>
          <w:tcPr>
            <w:cnfStyle w:val="001000000000" w:firstRow="0" w:lastRow="0" w:firstColumn="1" w:lastColumn="0" w:oddVBand="0" w:evenVBand="0" w:oddHBand="0" w:evenHBand="0" w:firstRowFirstColumn="0" w:firstRowLastColumn="0" w:lastRowFirstColumn="0" w:lastRowLastColumn="0"/>
            <w:tcW w:w="0" w:type="auto"/>
          </w:tcPr>
          <w:p w14:paraId="36622B18" w14:textId="77777777" w:rsidR="004C560E" w:rsidRDefault="004C560E" w:rsidP="006D3BED">
            <w:pPr>
              <w:contextualSpacing/>
              <w:rPr>
                <w:rFonts w:ascii="Times New Roman" w:hAnsi="Times New Roman" w:cs="Times New Roman"/>
                <w:b/>
                <w:sz w:val="24"/>
                <w:szCs w:val="24"/>
              </w:rPr>
            </w:pPr>
          </w:p>
          <w:p w14:paraId="4E376856" w14:textId="29DA4A53" w:rsidR="004C560E" w:rsidRPr="00A60B21" w:rsidRDefault="004C560E" w:rsidP="006D3BED">
            <w:pPr>
              <w:contextualSpacing/>
              <w:rPr>
                <w:rFonts w:ascii="Times New Roman" w:hAnsi="Times New Roman" w:cs="Times New Roman"/>
                <w:b/>
                <w:sz w:val="24"/>
                <w:szCs w:val="24"/>
              </w:rPr>
            </w:pPr>
            <w:r>
              <w:rPr>
                <w:rFonts w:ascii="Times New Roman" w:hAnsi="Times New Roman" w:cs="Times New Roman"/>
                <w:b/>
                <w:sz w:val="24"/>
                <w:szCs w:val="24"/>
              </w:rPr>
              <w:t>Total 3C-</w:t>
            </w:r>
            <w:r w:rsidRPr="00A60B21">
              <w:rPr>
                <w:rFonts w:ascii="Times New Roman" w:hAnsi="Times New Roman" w:cs="Times New Roman"/>
                <w:b/>
                <w:sz w:val="24"/>
                <w:szCs w:val="24"/>
              </w:rPr>
              <w:t>REN 2019 Budget/Request</w:t>
            </w:r>
          </w:p>
        </w:tc>
        <w:tc>
          <w:tcPr>
            <w:tcW w:w="0" w:type="auto"/>
            <w:tcBorders>
              <w:right w:val="single" w:sz="4" w:space="0" w:color="auto"/>
            </w:tcBorders>
          </w:tcPr>
          <w:p w14:paraId="2098A69E" w14:textId="77777777" w:rsidR="004C560E"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3EAA7BF1" w14:textId="6F1C027F" w:rsidR="004C560E" w:rsidRPr="00A60B21"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$0</w:t>
            </w:r>
          </w:p>
        </w:tc>
        <w:tc>
          <w:tcPr>
            <w:tcW w:w="0" w:type="auto"/>
            <w:tcBorders>
              <w:left w:val="single" w:sz="4" w:space="0" w:color="auto"/>
            </w:tcBorders>
          </w:tcPr>
          <w:p w14:paraId="05663283" w14:textId="77777777" w:rsidR="004C560E"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2D619814" w14:textId="1B3CC535" w:rsidR="004C560E" w:rsidRPr="00A60B21" w:rsidRDefault="004C560E" w:rsidP="00F4619C">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w:t>
            </w:r>
            <w:r>
              <w:rPr>
                <w:rFonts w:ascii="Times New Roman" w:hAnsi="Times New Roman" w:cs="Times New Roman"/>
                <w:b/>
                <w:sz w:val="24"/>
                <w:szCs w:val="24"/>
              </w:rPr>
              <w:t>6,200,000</w:t>
            </w:r>
          </w:p>
        </w:tc>
      </w:tr>
    </w:tbl>
    <w:p w14:paraId="618FC4D3" w14:textId="77777777" w:rsidR="008F0356" w:rsidRPr="00A60B21" w:rsidRDefault="008F0356" w:rsidP="008F0356">
      <w:pPr>
        <w:rPr>
          <w:rFonts w:ascii="Times New Roman" w:hAnsi="Times New Roman" w:cs="Times New Roman"/>
          <w:sz w:val="24"/>
          <w:szCs w:val="24"/>
        </w:rPr>
      </w:pPr>
    </w:p>
    <w:p w14:paraId="0EA08475" w14:textId="5E0AD662" w:rsidR="008F0356" w:rsidRPr="00F4619C" w:rsidRDefault="00A5465B" w:rsidP="00F4619C">
      <w:pPr>
        <w:pStyle w:val="ListParagraph"/>
        <w:numPr>
          <w:ilvl w:val="0"/>
          <w:numId w:val="12"/>
        </w:numPr>
        <w:rPr>
          <w:rFonts w:ascii="Times New Roman" w:hAnsi="Times New Roman" w:cs="Times New Roman"/>
          <w:b/>
          <w:szCs w:val="24"/>
        </w:rPr>
      </w:pPr>
      <w:r w:rsidRPr="00F4619C">
        <w:rPr>
          <w:rFonts w:ascii="Times New Roman" w:hAnsi="Times New Roman" w:cs="Times New Roman"/>
          <w:b/>
          <w:szCs w:val="24"/>
        </w:rPr>
        <w:t>Cost-Effectiveness</w:t>
      </w:r>
    </w:p>
    <w:p w14:paraId="33ED14AB" w14:textId="54754995" w:rsidR="00DD40CE" w:rsidRDefault="00DD40CE" w:rsidP="00F4619C">
      <w:pPr>
        <w:pStyle w:val="ListParagraph"/>
        <w:ind w:left="360"/>
        <w:rPr>
          <w:rFonts w:ascii="Times New Roman" w:hAnsi="Times New Roman" w:cs="Times New Roman"/>
          <w:b/>
          <w:szCs w:val="24"/>
        </w:rPr>
      </w:pPr>
    </w:p>
    <w:p w14:paraId="3294C819" w14:textId="53DA33CB" w:rsidR="00DD40CE" w:rsidRDefault="00DD40CE" w:rsidP="00F4619C">
      <w:pPr>
        <w:pStyle w:val="ListParagraph"/>
        <w:rPr>
          <w:rFonts w:ascii="Times New Roman" w:hAnsi="Times New Roman" w:cs="Times New Roman"/>
          <w:b/>
          <w:szCs w:val="24"/>
        </w:rPr>
      </w:pPr>
      <w:r>
        <w:rPr>
          <w:rFonts w:ascii="Times New Roman" w:hAnsi="Times New Roman" w:cs="Times New Roman"/>
          <w:b/>
          <w:szCs w:val="24"/>
        </w:rPr>
        <w:t>Table 2: 3C-</w:t>
      </w:r>
      <w:r w:rsidRPr="00A60B21">
        <w:rPr>
          <w:rFonts w:ascii="Times New Roman" w:hAnsi="Times New Roman" w:cs="Times New Roman"/>
          <w:b/>
          <w:szCs w:val="24"/>
        </w:rPr>
        <w:t xml:space="preserve">REN </w:t>
      </w:r>
      <w:r>
        <w:rPr>
          <w:rFonts w:ascii="Times New Roman" w:hAnsi="Times New Roman" w:cs="Times New Roman"/>
          <w:b/>
          <w:szCs w:val="24"/>
        </w:rPr>
        <w:t>Cost-Effectiveness</w:t>
      </w:r>
    </w:p>
    <w:p w14:paraId="0ED89DC9" w14:textId="77777777" w:rsidR="00DD40CE" w:rsidRPr="00F4619C" w:rsidRDefault="00DD40CE" w:rsidP="00F4619C">
      <w:pPr>
        <w:pStyle w:val="ListParagraph"/>
        <w:rPr>
          <w:rFonts w:ascii="Times New Roman" w:hAnsi="Times New Roman" w:cs="Times New Roman"/>
          <w:b/>
          <w:szCs w:val="24"/>
        </w:rPr>
      </w:pPr>
    </w:p>
    <w:tbl>
      <w:tblPr>
        <w:tblStyle w:val="TableClassic1"/>
        <w:tblW w:w="5670" w:type="dxa"/>
        <w:tblInd w:w="612" w:type="dxa"/>
        <w:tblLook w:val="04A0" w:firstRow="1" w:lastRow="0" w:firstColumn="1" w:lastColumn="0" w:noHBand="0" w:noVBand="1"/>
      </w:tblPr>
      <w:tblGrid>
        <w:gridCol w:w="2879"/>
        <w:gridCol w:w="2791"/>
      </w:tblGrid>
      <w:tr w:rsidR="00911676" w:rsidRPr="00911676" w14:paraId="5934AB7F" w14:textId="77777777" w:rsidTr="00F4619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dxa"/>
            <w:noWrap/>
            <w:hideMark/>
          </w:tcPr>
          <w:p w14:paraId="5B7E009B" w14:textId="3B91F72C" w:rsidR="00911676" w:rsidRPr="00F4619C" w:rsidRDefault="00911676" w:rsidP="00911676">
            <w:pPr>
              <w:rPr>
                <w:rFonts w:ascii="Times New Roman" w:hAnsi="Times New Roman" w:cs="Times New Roman"/>
                <w:bCs/>
                <w:i w:val="0"/>
                <w:sz w:val="24"/>
                <w:szCs w:val="24"/>
              </w:rPr>
            </w:pPr>
            <w:r w:rsidRPr="00F4619C">
              <w:rPr>
                <w:rFonts w:ascii="Times New Roman" w:hAnsi="Times New Roman" w:cs="Times New Roman"/>
                <w:bCs/>
                <w:sz w:val="24"/>
                <w:szCs w:val="24"/>
              </w:rPr>
              <w:t>REN Forecast Portfolio PY TRC</w:t>
            </w:r>
          </w:p>
        </w:tc>
        <w:tc>
          <w:tcPr>
            <w:tcW w:w="1050" w:type="dxa"/>
            <w:noWrap/>
            <w:hideMark/>
          </w:tcPr>
          <w:p w14:paraId="30416E63" w14:textId="77777777" w:rsidR="00911676" w:rsidRPr="00F4619C" w:rsidRDefault="00911676" w:rsidP="009116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F4619C">
              <w:rPr>
                <w:rFonts w:ascii="Times New Roman" w:hAnsi="Times New Roman" w:cs="Times New Roman"/>
                <w:sz w:val="24"/>
                <w:szCs w:val="24"/>
              </w:rPr>
              <w:t>0.142</w:t>
            </w:r>
          </w:p>
        </w:tc>
      </w:tr>
      <w:tr w:rsidR="00911676" w:rsidRPr="00911676" w14:paraId="0B857DED" w14:textId="77777777" w:rsidTr="00F4619C">
        <w:trPr>
          <w:trHeight w:val="330"/>
        </w:trPr>
        <w:tc>
          <w:tcPr>
            <w:cnfStyle w:val="001000000000" w:firstRow="0" w:lastRow="0" w:firstColumn="1" w:lastColumn="0" w:oddVBand="0" w:evenVBand="0" w:oddHBand="0" w:evenHBand="0" w:firstRowFirstColumn="0" w:firstRowLastColumn="0" w:lastRowFirstColumn="0" w:lastRowLastColumn="0"/>
            <w:tcW w:w="0" w:type="dxa"/>
            <w:noWrap/>
            <w:hideMark/>
          </w:tcPr>
          <w:p w14:paraId="54A417AE" w14:textId="21164E6A" w:rsidR="00911676" w:rsidRPr="00F4619C" w:rsidRDefault="00911676" w:rsidP="00911676">
            <w:pPr>
              <w:rPr>
                <w:rFonts w:ascii="Times New Roman" w:hAnsi="Times New Roman" w:cs="Times New Roman"/>
                <w:bCs/>
                <w:sz w:val="24"/>
                <w:szCs w:val="24"/>
              </w:rPr>
            </w:pPr>
            <w:r w:rsidRPr="00F4619C">
              <w:rPr>
                <w:rFonts w:ascii="Times New Roman" w:hAnsi="Times New Roman" w:cs="Times New Roman"/>
                <w:bCs/>
                <w:sz w:val="24"/>
                <w:szCs w:val="24"/>
              </w:rPr>
              <w:t>REN Forecast Portfolio PY PAC</w:t>
            </w:r>
          </w:p>
        </w:tc>
        <w:tc>
          <w:tcPr>
            <w:tcW w:w="1050" w:type="dxa"/>
            <w:noWrap/>
            <w:hideMark/>
          </w:tcPr>
          <w:p w14:paraId="012F380A" w14:textId="77777777" w:rsidR="00911676" w:rsidRPr="00F4619C" w:rsidRDefault="00911676" w:rsidP="009116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4619C">
              <w:rPr>
                <w:rFonts w:ascii="Times New Roman" w:hAnsi="Times New Roman" w:cs="Times New Roman"/>
                <w:sz w:val="24"/>
                <w:szCs w:val="24"/>
              </w:rPr>
              <w:t>0.162</w:t>
            </w:r>
          </w:p>
        </w:tc>
      </w:tr>
    </w:tbl>
    <w:p w14:paraId="0D4923A5" w14:textId="316C1E34" w:rsidR="002C7C6A" w:rsidRDefault="002C7C6A" w:rsidP="006B09F8">
      <w:pPr>
        <w:rPr>
          <w:rFonts w:ascii="Times New Roman" w:hAnsi="Times New Roman" w:cs="Times New Roman"/>
          <w:b/>
          <w:sz w:val="24"/>
          <w:szCs w:val="24"/>
        </w:rPr>
      </w:pPr>
    </w:p>
    <w:p w14:paraId="1BCF814B" w14:textId="77777777" w:rsidR="004C560E" w:rsidRPr="00A60B21" w:rsidRDefault="004C560E" w:rsidP="006B09F8">
      <w:pPr>
        <w:rPr>
          <w:rFonts w:ascii="Times New Roman" w:hAnsi="Times New Roman" w:cs="Times New Roman"/>
          <w:b/>
          <w:sz w:val="24"/>
          <w:szCs w:val="24"/>
        </w:rPr>
      </w:pPr>
    </w:p>
    <w:p w14:paraId="49E924CB" w14:textId="030DD67A" w:rsidR="00A5465B" w:rsidRPr="00F4619C" w:rsidRDefault="00A5465B" w:rsidP="00F4619C">
      <w:pPr>
        <w:pStyle w:val="ListParagraph"/>
        <w:numPr>
          <w:ilvl w:val="0"/>
          <w:numId w:val="12"/>
        </w:numPr>
        <w:spacing w:line="360" w:lineRule="auto"/>
        <w:rPr>
          <w:rFonts w:ascii="Times New Roman" w:hAnsi="Times New Roman" w:cs="Times New Roman"/>
          <w:b/>
          <w:szCs w:val="24"/>
        </w:rPr>
      </w:pPr>
      <w:r w:rsidRPr="00F4619C">
        <w:rPr>
          <w:rFonts w:ascii="Times New Roman" w:hAnsi="Times New Roman" w:cs="Times New Roman"/>
          <w:b/>
          <w:szCs w:val="24"/>
        </w:rPr>
        <w:t>Forecasted Energy Savings</w:t>
      </w:r>
      <w:r w:rsidR="00394839" w:rsidRPr="00F4619C">
        <w:rPr>
          <w:rFonts w:ascii="Times New Roman" w:hAnsi="Times New Roman" w:cs="Times New Roman"/>
          <w:b/>
          <w:szCs w:val="24"/>
        </w:rPr>
        <w:t xml:space="preserve"> </w:t>
      </w:r>
    </w:p>
    <w:p w14:paraId="3884ABF6" w14:textId="5DAEDABD" w:rsidR="00524C05" w:rsidRPr="00A60B21" w:rsidRDefault="00DD40CE" w:rsidP="00F4619C">
      <w:pPr>
        <w:ind w:left="720"/>
        <w:rPr>
          <w:rFonts w:ascii="Times New Roman" w:hAnsi="Times New Roman" w:cs="Times New Roman"/>
          <w:b/>
          <w:sz w:val="24"/>
          <w:szCs w:val="24"/>
        </w:rPr>
      </w:pPr>
      <w:r>
        <w:rPr>
          <w:rFonts w:ascii="Times New Roman" w:hAnsi="Times New Roman" w:cs="Times New Roman"/>
          <w:b/>
          <w:sz w:val="24"/>
          <w:szCs w:val="24"/>
        </w:rPr>
        <w:lastRenderedPageBreak/>
        <w:t xml:space="preserve">Table 3: </w:t>
      </w:r>
      <w:r w:rsidR="00C3765B">
        <w:rPr>
          <w:rFonts w:ascii="Times New Roman" w:hAnsi="Times New Roman" w:cs="Times New Roman"/>
          <w:b/>
          <w:sz w:val="24"/>
          <w:szCs w:val="24"/>
        </w:rPr>
        <w:t>3C-REN Forecasted Energy Savings</w:t>
      </w:r>
    </w:p>
    <w:tbl>
      <w:tblPr>
        <w:tblStyle w:val="TableClassic1"/>
        <w:tblW w:w="9104" w:type="dxa"/>
        <w:tblInd w:w="612" w:type="dxa"/>
        <w:tblLook w:val="04A0" w:firstRow="1" w:lastRow="0" w:firstColumn="1" w:lastColumn="0" w:noHBand="0" w:noVBand="1"/>
      </w:tblPr>
      <w:tblGrid>
        <w:gridCol w:w="3049"/>
        <w:gridCol w:w="2207"/>
        <w:gridCol w:w="1845"/>
        <w:gridCol w:w="2003"/>
      </w:tblGrid>
      <w:tr w:rsidR="002C7C6A" w:rsidRPr="00A60B21" w14:paraId="56AA8E98" w14:textId="77777777" w:rsidTr="004C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9" w:type="dxa"/>
            <w:shd w:val="clear" w:color="auto" w:fill="DBE5F1" w:themeFill="accent1" w:themeFillTint="33"/>
          </w:tcPr>
          <w:p w14:paraId="10354DE6" w14:textId="77777777" w:rsidR="002C7C6A" w:rsidRPr="00A60B21" w:rsidRDefault="002C7C6A" w:rsidP="00A7171C">
            <w:pPr>
              <w:contextualSpacing/>
              <w:rPr>
                <w:rFonts w:ascii="Times New Roman" w:hAnsi="Times New Roman" w:cs="Times New Roman"/>
                <w:b/>
                <w:sz w:val="24"/>
                <w:szCs w:val="24"/>
              </w:rPr>
            </w:pPr>
            <w:r w:rsidRPr="00A60B21">
              <w:rPr>
                <w:rFonts w:ascii="Times New Roman" w:hAnsi="Times New Roman" w:cs="Times New Roman"/>
                <w:b/>
                <w:sz w:val="24"/>
                <w:szCs w:val="24"/>
              </w:rPr>
              <w:t>Sector/Program</w:t>
            </w:r>
          </w:p>
        </w:tc>
        <w:tc>
          <w:tcPr>
            <w:tcW w:w="2207" w:type="dxa"/>
            <w:tcBorders>
              <w:right w:val="single" w:sz="4" w:space="0" w:color="auto"/>
            </w:tcBorders>
            <w:shd w:val="clear" w:color="auto" w:fill="DBE5F1" w:themeFill="accent1" w:themeFillTint="33"/>
          </w:tcPr>
          <w:p w14:paraId="67FA3556"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Forecast kWh</w:t>
            </w:r>
          </w:p>
        </w:tc>
        <w:tc>
          <w:tcPr>
            <w:tcW w:w="1845" w:type="dxa"/>
            <w:tcBorders>
              <w:right w:val="single" w:sz="4" w:space="0" w:color="auto"/>
            </w:tcBorders>
            <w:shd w:val="clear" w:color="auto" w:fill="DBE5F1" w:themeFill="accent1" w:themeFillTint="33"/>
          </w:tcPr>
          <w:p w14:paraId="04DD1AB5"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Forecast kW</w:t>
            </w:r>
          </w:p>
        </w:tc>
        <w:tc>
          <w:tcPr>
            <w:tcW w:w="2003" w:type="dxa"/>
            <w:tcBorders>
              <w:left w:val="single" w:sz="4" w:space="0" w:color="auto"/>
            </w:tcBorders>
            <w:shd w:val="clear" w:color="auto" w:fill="DBE5F1" w:themeFill="accent1" w:themeFillTint="33"/>
          </w:tcPr>
          <w:p w14:paraId="31564BE6" w14:textId="77777777" w:rsidR="002C7C6A" w:rsidRPr="00A60B21" w:rsidRDefault="002C7C6A" w:rsidP="00A7171C">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60B21">
              <w:rPr>
                <w:rFonts w:ascii="Times New Roman" w:hAnsi="Times New Roman" w:cs="Times New Roman"/>
                <w:b/>
                <w:sz w:val="24"/>
                <w:szCs w:val="24"/>
              </w:rPr>
              <w:t>Forecast therms</w:t>
            </w:r>
          </w:p>
        </w:tc>
      </w:tr>
      <w:tr w:rsidR="002C7C6A" w:rsidRPr="00A60B21" w14:paraId="5B5D88C1" w14:textId="77777777" w:rsidTr="004C560E">
        <w:trPr>
          <w:trHeight w:val="426"/>
        </w:trPr>
        <w:tc>
          <w:tcPr>
            <w:cnfStyle w:val="001000000000" w:firstRow="0" w:lastRow="0" w:firstColumn="1" w:lastColumn="0" w:oddVBand="0" w:evenVBand="0" w:oddHBand="0" w:evenHBand="0" w:firstRowFirstColumn="0" w:firstRowLastColumn="0" w:lastRowFirstColumn="0" w:lastRowLastColumn="0"/>
            <w:tcW w:w="3049" w:type="dxa"/>
          </w:tcPr>
          <w:p w14:paraId="682D4777" w14:textId="77777777" w:rsidR="002C7C6A" w:rsidRPr="00F4619C" w:rsidRDefault="002C7C6A" w:rsidP="002C7C6A">
            <w:pPr>
              <w:contextualSpacing/>
              <w:rPr>
                <w:rFonts w:ascii="Times New Roman" w:hAnsi="Times New Roman" w:cs="Times New Roman"/>
                <w:sz w:val="24"/>
                <w:szCs w:val="24"/>
              </w:rPr>
            </w:pPr>
            <w:r w:rsidRPr="00F4619C">
              <w:rPr>
                <w:rFonts w:ascii="Times New Roman" w:hAnsi="Times New Roman" w:cs="Times New Roman"/>
                <w:sz w:val="24"/>
                <w:szCs w:val="24"/>
              </w:rPr>
              <w:t>Residential</w:t>
            </w:r>
          </w:p>
        </w:tc>
        <w:tc>
          <w:tcPr>
            <w:tcW w:w="2207" w:type="dxa"/>
            <w:tcBorders>
              <w:right w:val="single" w:sz="4" w:space="0" w:color="auto"/>
            </w:tcBorders>
          </w:tcPr>
          <w:p w14:paraId="2C1B8FCD" w14:textId="00C935FF" w:rsidR="002C7C6A" w:rsidRPr="00A60B21" w:rsidRDefault="003F174D"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611,246.69</w:t>
            </w:r>
          </w:p>
        </w:tc>
        <w:tc>
          <w:tcPr>
            <w:tcW w:w="1845" w:type="dxa"/>
            <w:tcBorders>
              <w:right w:val="single" w:sz="4" w:space="0" w:color="auto"/>
            </w:tcBorders>
          </w:tcPr>
          <w:p w14:paraId="386870B5" w14:textId="4275A693" w:rsidR="002C7C6A" w:rsidRPr="00A60B21" w:rsidRDefault="003F174D"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388.05</w:t>
            </w:r>
          </w:p>
        </w:tc>
        <w:tc>
          <w:tcPr>
            <w:tcW w:w="2003" w:type="dxa"/>
            <w:tcBorders>
              <w:left w:val="single" w:sz="4" w:space="0" w:color="auto"/>
            </w:tcBorders>
          </w:tcPr>
          <w:p w14:paraId="19B8A34D" w14:textId="79E9DD1F" w:rsidR="002C7C6A" w:rsidRPr="00A60B21" w:rsidRDefault="003F174D"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49,259.13</w:t>
            </w:r>
          </w:p>
        </w:tc>
      </w:tr>
      <w:tr w:rsidR="004C560E" w:rsidRPr="00A60B21" w14:paraId="2B0422FA" w14:textId="77777777" w:rsidTr="004C560E">
        <w:trPr>
          <w:trHeight w:val="486"/>
        </w:trPr>
        <w:tc>
          <w:tcPr>
            <w:cnfStyle w:val="001000000000" w:firstRow="0" w:lastRow="0" w:firstColumn="1" w:lastColumn="0" w:oddVBand="0" w:evenVBand="0" w:oddHBand="0" w:evenHBand="0" w:firstRowFirstColumn="0" w:firstRowLastColumn="0" w:lastRowFirstColumn="0" w:lastRowLastColumn="0"/>
            <w:tcW w:w="3049" w:type="dxa"/>
            <w:vAlign w:val="center"/>
          </w:tcPr>
          <w:p w14:paraId="63908B18" w14:textId="77777777" w:rsidR="004C560E" w:rsidRPr="00F4619C" w:rsidRDefault="004C560E" w:rsidP="00450C82">
            <w:pPr>
              <w:contextualSpacing/>
              <w:rPr>
                <w:rFonts w:ascii="Times New Roman" w:hAnsi="Times New Roman" w:cs="Times New Roman"/>
                <w:sz w:val="24"/>
                <w:szCs w:val="24"/>
              </w:rPr>
            </w:pPr>
            <w:r w:rsidRPr="00F4619C">
              <w:rPr>
                <w:rFonts w:ascii="Times New Roman" w:hAnsi="Times New Roman" w:cs="Times New Roman"/>
                <w:sz w:val="24"/>
                <w:szCs w:val="24"/>
              </w:rPr>
              <w:t xml:space="preserve">Codes and Standards            </w:t>
            </w:r>
          </w:p>
        </w:tc>
        <w:tc>
          <w:tcPr>
            <w:tcW w:w="2207" w:type="dxa"/>
            <w:tcBorders>
              <w:right w:val="single" w:sz="4" w:space="0" w:color="auto"/>
            </w:tcBorders>
          </w:tcPr>
          <w:p w14:paraId="3B350018" w14:textId="77777777" w:rsidR="004C560E" w:rsidRPr="00A60B21" w:rsidRDefault="004C560E"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1845" w:type="dxa"/>
            <w:tcBorders>
              <w:right w:val="single" w:sz="4" w:space="0" w:color="auto"/>
            </w:tcBorders>
          </w:tcPr>
          <w:p w14:paraId="7B517387" w14:textId="77777777" w:rsidR="004C560E" w:rsidRPr="00A60B21" w:rsidRDefault="004C560E"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2003" w:type="dxa"/>
            <w:tcBorders>
              <w:left w:val="single" w:sz="4" w:space="0" w:color="auto"/>
            </w:tcBorders>
          </w:tcPr>
          <w:p w14:paraId="7ECA07F0" w14:textId="77777777" w:rsidR="004C560E" w:rsidRPr="00A60B21" w:rsidRDefault="004C560E"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r>
      <w:tr w:rsidR="004C560E" w:rsidRPr="00A60B21" w14:paraId="079AFBC3" w14:textId="77777777" w:rsidTr="004C560E">
        <w:trPr>
          <w:trHeight w:val="531"/>
        </w:trPr>
        <w:tc>
          <w:tcPr>
            <w:cnfStyle w:val="001000000000" w:firstRow="0" w:lastRow="0" w:firstColumn="1" w:lastColumn="0" w:oddVBand="0" w:evenVBand="0" w:oddHBand="0" w:evenHBand="0" w:firstRowFirstColumn="0" w:firstRowLastColumn="0" w:lastRowFirstColumn="0" w:lastRowLastColumn="0"/>
            <w:tcW w:w="3049" w:type="dxa"/>
            <w:vAlign w:val="center"/>
          </w:tcPr>
          <w:p w14:paraId="58BE9800" w14:textId="68EC1DE4" w:rsidR="004C560E" w:rsidRPr="00F4619C" w:rsidRDefault="004C560E" w:rsidP="00450C82">
            <w:pPr>
              <w:contextualSpacing/>
              <w:rPr>
                <w:rFonts w:ascii="Times New Roman" w:hAnsi="Times New Roman" w:cs="Times New Roman"/>
                <w:sz w:val="24"/>
                <w:szCs w:val="24"/>
              </w:rPr>
            </w:pPr>
            <w:r w:rsidRPr="00F4619C">
              <w:rPr>
                <w:rFonts w:ascii="Times New Roman" w:hAnsi="Times New Roman" w:cs="Times New Roman"/>
                <w:sz w:val="24"/>
                <w:szCs w:val="24"/>
              </w:rPr>
              <w:t>WE&amp;T</w:t>
            </w:r>
          </w:p>
        </w:tc>
        <w:tc>
          <w:tcPr>
            <w:tcW w:w="2207" w:type="dxa"/>
            <w:tcBorders>
              <w:right w:val="single" w:sz="4" w:space="0" w:color="auto"/>
            </w:tcBorders>
          </w:tcPr>
          <w:p w14:paraId="22DA2745" w14:textId="77777777" w:rsidR="004C560E" w:rsidRPr="00A60B21" w:rsidRDefault="004C560E"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1845" w:type="dxa"/>
            <w:tcBorders>
              <w:right w:val="single" w:sz="4" w:space="0" w:color="auto"/>
            </w:tcBorders>
          </w:tcPr>
          <w:p w14:paraId="262151CB" w14:textId="77777777" w:rsidR="004C560E" w:rsidRPr="00A60B21" w:rsidRDefault="004C560E"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c>
          <w:tcPr>
            <w:tcW w:w="2003" w:type="dxa"/>
            <w:tcBorders>
              <w:left w:val="single" w:sz="4" w:space="0" w:color="auto"/>
            </w:tcBorders>
          </w:tcPr>
          <w:p w14:paraId="674B9669" w14:textId="77777777" w:rsidR="004C560E" w:rsidRPr="00A60B21" w:rsidRDefault="004C560E" w:rsidP="00450C8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60B21">
              <w:rPr>
                <w:rFonts w:ascii="Times New Roman" w:hAnsi="Times New Roman" w:cs="Times New Roman"/>
                <w:sz w:val="24"/>
                <w:szCs w:val="24"/>
              </w:rPr>
              <w:t>n/a</w:t>
            </w:r>
          </w:p>
        </w:tc>
      </w:tr>
      <w:tr w:rsidR="004C560E" w:rsidRPr="00A60B21" w14:paraId="3B0920C7" w14:textId="77777777" w:rsidTr="004C560E">
        <w:trPr>
          <w:trHeight w:val="459"/>
        </w:trPr>
        <w:tc>
          <w:tcPr>
            <w:cnfStyle w:val="001000000000" w:firstRow="0" w:lastRow="0" w:firstColumn="1" w:lastColumn="0" w:oddVBand="0" w:evenVBand="0" w:oddHBand="0" w:evenHBand="0" w:firstRowFirstColumn="0" w:firstRowLastColumn="0" w:lastRowFirstColumn="0" w:lastRowLastColumn="0"/>
            <w:tcW w:w="3049" w:type="dxa"/>
          </w:tcPr>
          <w:p w14:paraId="5FB91C4A" w14:textId="77777777" w:rsidR="004C560E" w:rsidRPr="00F4619C" w:rsidRDefault="004C560E" w:rsidP="00450C82">
            <w:pPr>
              <w:contextualSpacing/>
              <w:rPr>
                <w:rFonts w:ascii="Times New Roman" w:hAnsi="Times New Roman" w:cs="Times New Roman"/>
                <w:b/>
                <w:sz w:val="24"/>
                <w:szCs w:val="24"/>
              </w:rPr>
            </w:pPr>
            <w:r w:rsidRPr="00F4619C">
              <w:rPr>
                <w:rFonts w:ascii="Times New Roman" w:hAnsi="Times New Roman" w:cs="Times New Roman"/>
                <w:b/>
                <w:sz w:val="24"/>
                <w:szCs w:val="24"/>
              </w:rPr>
              <w:t>Total Portfolio</w:t>
            </w:r>
          </w:p>
        </w:tc>
        <w:tc>
          <w:tcPr>
            <w:tcW w:w="2207" w:type="dxa"/>
            <w:tcBorders>
              <w:right w:val="single" w:sz="4" w:space="0" w:color="auto"/>
            </w:tcBorders>
          </w:tcPr>
          <w:p w14:paraId="5B7F226A" w14:textId="50D800ED" w:rsidR="004C560E" w:rsidRPr="00F4619C" w:rsidRDefault="004C560E"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19C">
              <w:rPr>
                <w:rFonts w:ascii="Times New Roman" w:hAnsi="Times New Roman" w:cs="Times New Roman"/>
                <w:b/>
                <w:sz w:val="24"/>
                <w:szCs w:val="24"/>
              </w:rPr>
              <w:t>611,246.69</w:t>
            </w:r>
          </w:p>
        </w:tc>
        <w:tc>
          <w:tcPr>
            <w:tcW w:w="1845" w:type="dxa"/>
            <w:tcBorders>
              <w:right w:val="single" w:sz="4" w:space="0" w:color="auto"/>
            </w:tcBorders>
          </w:tcPr>
          <w:p w14:paraId="37582D0D" w14:textId="7025EF41" w:rsidR="004C560E" w:rsidRPr="00F4619C" w:rsidRDefault="004C560E"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19C">
              <w:rPr>
                <w:rFonts w:ascii="Times New Roman" w:hAnsi="Times New Roman" w:cs="Times New Roman"/>
                <w:b/>
                <w:sz w:val="24"/>
                <w:szCs w:val="24"/>
              </w:rPr>
              <w:t>388.05</w:t>
            </w:r>
          </w:p>
        </w:tc>
        <w:tc>
          <w:tcPr>
            <w:tcW w:w="2003" w:type="dxa"/>
            <w:tcBorders>
              <w:left w:val="single" w:sz="4" w:space="0" w:color="auto"/>
            </w:tcBorders>
          </w:tcPr>
          <w:p w14:paraId="4CC51ED1" w14:textId="1177F320" w:rsidR="004C560E" w:rsidRPr="00F4619C" w:rsidRDefault="004C560E" w:rsidP="00450C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F4619C">
              <w:rPr>
                <w:rFonts w:ascii="Times New Roman" w:hAnsi="Times New Roman" w:cs="Times New Roman"/>
                <w:b/>
                <w:sz w:val="24"/>
                <w:szCs w:val="24"/>
              </w:rPr>
              <w:t>49,259.13</w:t>
            </w:r>
          </w:p>
        </w:tc>
      </w:tr>
    </w:tbl>
    <w:p w14:paraId="683B4529" w14:textId="77777777" w:rsidR="002C7C6A" w:rsidRPr="00A60B21" w:rsidRDefault="002C7C6A" w:rsidP="006B09F8">
      <w:pPr>
        <w:rPr>
          <w:rFonts w:ascii="Times New Roman" w:hAnsi="Times New Roman" w:cs="Times New Roman"/>
          <w:b/>
          <w:sz w:val="24"/>
          <w:szCs w:val="24"/>
        </w:rPr>
      </w:pPr>
    </w:p>
    <w:p w14:paraId="44D9320D" w14:textId="777D79CE" w:rsidR="000415C0" w:rsidRPr="00A60B21" w:rsidRDefault="000415C0" w:rsidP="006B09F8">
      <w:pPr>
        <w:rPr>
          <w:rFonts w:ascii="Times New Roman" w:hAnsi="Times New Roman" w:cs="Times New Roman"/>
          <w:b/>
          <w:sz w:val="24"/>
          <w:szCs w:val="24"/>
        </w:rPr>
      </w:pPr>
      <w:r w:rsidRPr="00D54DFA">
        <w:rPr>
          <w:rFonts w:ascii="Times New Roman" w:hAnsi="Times New Roman" w:cs="Times New Roman"/>
          <w:b/>
          <w:sz w:val="24"/>
          <w:szCs w:val="24"/>
          <w:highlight w:val="lightGray"/>
        </w:rPr>
        <w:t xml:space="preserve">4. </w:t>
      </w:r>
      <w:r w:rsidR="00A5465B" w:rsidRPr="00D54DFA">
        <w:rPr>
          <w:rFonts w:ascii="Times New Roman" w:hAnsi="Times New Roman" w:cs="Times New Roman"/>
          <w:b/>
          <w:sz w:val="24"/>
          <w:szCs w:val="24"/>
          <w:highlight w:val="lightGray"/>
        </w:rPr>
        <w:t xml:space="preserve">Discussion of Proposed Program and Portfolio </w:t>
      </w:r>
    </w:p>
    <w:p w14:paraId="5B61F5BC" w14:textId="2E1D42EF" w:rsidR="000415C0" w:rsidRPr="00A60B21" w:rsidRDefault="00A86586" w:rsidP="006B09F8">
      <w:pPr>
        <w:rPr>
          <w:rFonts w:ascii="Times New Roman" w:hAnsi="Times New Roman" w:cs="Times New Roman"/>
          <w:sz w:val="24"/>
          <w:szCs w:val="24"/>
        </w:rPr>
      </w:pPr>
      <w:r>
        <w:rPr>
          <w:rFonts w:ascii="Times New Roman" w:hAnsi="Times New Roman" w:cs="Times New Roman"/>
          <w:sz w:val="24"/>
          <w:szCs w:val="24"/>
        </w:rPr>
        <w:t>All 3C-REN programs</w:t>
      </w:r>
      <w:r w:rsidR="000415C0" w:rsidRPr="00A60B21">
        <w:rPr>
          <w:rFonts w:ascii="Times New Roman" w:hAnsi="Times New Roman" w:cs="Times New Roman"/>
          <w:sz w:val="24"/>
          <w:szCs w:val="24"/>
        </w:rPr>
        <w:t xml:space="preserve"> </w:t>
      </w:r>
      <w:r>
        <w:rPr>
          <w:rFonts w:ascii="Times New Roman" w:hAnsi="Times New Roman" w:cs="Times New Roman"/>
          <w:sz w:val="24"/>
          <w:szCs w:val="24"/>
        </w:rPr>
        <w:t xml:space="preserve">are designed </w:t>
      </w:r>
      <w:r w:rsidR="000415C0" w:rsidRPr="00A60B21">
        <w:rPr>
          <w:rFonts w:ascii="Times New Roman" w:hAnsi="Times New Roman" w:cs="Times New Roman"/>
          <w:sz w:val="24"/>
          <w:szCs w:val="24"/>
        </w:rPr>
        <w:t xml:space="preserve">to </w:t>
      </w:r>
      <w:r w:rsidR="0059651A" w:rsidRPr="00A60B21">
        <w:rPr>
          <w:rFonts w:ascii="Times New Roman" w:hAnsi="Times New Roman" w:cs="Times New Roman"/>
          <w:sz w:val="24"/>
          <w:szCs w:val="24"/>
        </w:rPr>
        <w:t xml:space="preserve">align with the </w:t>
      </w:r>
      <w:r w:rsidR="000415C0" w:rsidRPr="00A60B21">
        <w:rPr>
          <w:rFonts w:ascii="Times New Roman" w:hAnsi="Times New Roman" w:cs="Times New Roman"/>
          <w:sz w:val="24"/>
          <w:szCs w:val="24"/>
        </w:rPr>
        <w:t>criteria established in D.12-11-005.</w:t>
      </w:r>
    </w:p>
    <w:p w14:paraId="1ECB4C6C" w14:textId="27767E88" w:rsidR="00A86586" w:rsidRDefault="00A86586" w:rsidP="00A86586">
      <w:pPr>
        <w:rPr>
          <w:rFonts w:ascii="Times New Roman" w:hAnsi="Times New Roman" w:cs="Times New Roman"/>
          <w:sz w:val="24"/>
          <w:szCs w:val="24"/>
          <w:u w:val="single"/>
        </w:rPr>
      </w:pPr>
      <w:r>
        <w:rPr>
          <w:rFonts w:ascii="Times New Roman" w:hAnsi="Times New Roman" w:cs="Times New Roman"/>
          <w:sz w:val="24"/>
          <w:szCs w:val="24"/>
          <w:u w:val="single"/>
        </w:rPr>
        <w:t>Residential Direct Install (DI)</w:t>
      </w:r>
    </w:p>
    <w:p w14:paraId="21791B3B"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The 3C-REN proposed a residential direct install (RES DI) program designed to fill a gap in current IOU offerings for the 3C-REN territory, as the region is far removed from IOU training &amp; resources hubs and experiences significant market confusion. The 3C-REN Region is served by three different IOUs – PG&amp;E to the north, SCE to south, SCG in all three counties – with overlapping electrical services in Santa Barbara and Ventura. This increased coverage has not resulted in a higher level of service, but instead led to increased confusion due to different programs, requirements and providers. The 3C-REN program will deliver a direct install (DI) program that targets hard-to-reach (HTR) residential customers, including single family and multifamily, renters and owners, and Disadvantaged Communities (DACs) in Ventura, Santa Barbara and San Luis Obispo Counties, offering a single, unified program to regional residents. </w:t>
      </w:r>
    </w:p>
    <w:p w14:paraId="3E167D5A"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The program will provide energy and behavior change education, installation of simple energy saving measures to build customers trust and interest and deliver a pathway to deeper savings by offering co-pay options for more substantial upgrades. 3C-REN will partner with local non-profits (e.g. Community Action Partnerships, or CAPs), who currently deliver the Energy Savings Assistance (ESA), Middle Income Direct Install (MIDI), and Low-Income Home Energy Assistance Programs (LIHEAP) to leverage their experience and infrastructure to provide 3C-REN program services to a broader audience than they currently serve. </w:t>
      </w:r>
    </w:p>
    <w:p w14:paraId="7FD3B424" w14:textId="155E6548"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Qualifying customers will receive an in-home visit from a trained assessor who will collect information on the home, provide consumer education. and install DI measures.  Education will focus on behavioral changes and easy actions the customer can take to reduce energy use.  The program will employ digital education tools such as energy education videos that customer can watch while DI measures are being installed to reduce time spent in the home.  Assessors will also cross promote utility </w:t>
      </w:r>
      <w:r w:rsidR="004A4CEA">
        <w:rPr>
          <w:rFonts w:ascii="Times New Roman" w:hAnsi="Times New Roman" w:cs="Times New Roman"/>
          <w:sz w:val="24"/>
          <w:szCs w:val="24"/>
        </w:rPr>
        <w:t>and third-party energy</w:t>
      </w:r>
      <w:r w:rsidR="004A4CEA" w:rsidRPr="00A86586">
        <w:rPr>
          <w:rFonts w:ascii="Times New Roman" w:hAnsi="Times New Roman" w:cs="Times New Roman"/>
          <w:sz w:val="24"/>
          <w:szCs w:val="24"/>
        </w:rPr>
        <w:t xml:space="preserve"> </w:t>
      </w:r>
      <w:r w:rsidRPr="00A86586">
        <w:rPr>
          <w:rFonts w:ascii="Times New Roman" w:hAnsi="Times New Roman" w:cs="Times New Roman"/>
          <w:sz w:val="24"/>
          <w:szCs w:val="24"/>
        </w:rPr>
        <w:t xml:space="preserve">management tools (e.g. </w:t>
      </w:r>
      <w:r w:rsidR="004A4CEA">
        <w:rPr>
          <w:rFonts w:ascii="Times New Roman" w:hAnsi="Times New Roman" w:cs="Times New Roman"/>
          <w:sz w:val="24"/>
          <w:szCs w:val="24"/>
        </w:rPr>
        <w:t xml:space="preserve">through </w:t>
      </w:r>
      <w:r w:rsidRPr="00A86586">
        <w:rPr>
          <w:rFonts w:ascii="Times New Roman" w:hAnsi="Times New Roman" w:cs="Times New Roman"/>
          <w:sz w:val="24"/>
          <w:szCs w:val="24"/>
        </w:rPr>
        <w:t xml:space="preserve">Green Button) </w:t>
      </w:r>
      <w:r w:rsidRPr="00A86586">
        <w:rPr>
          <w:rFonts w:ascii="Times New Roman" w:hAnsi="Times New Roman" w:cs="Times New Roman"/>
          <w:sz w:val="24"/>
          <w:szCs w:val="24"/>
        </w:rPr>
        <w:lastRenderedPageBreak/>
        <w:t>and demand response programs (e.g. SCE Summer Rate Program). Additionally, assessors will provide initial information on co-pay options for more substantial upgrades. </w:t>
      </w:r>
    </w:p>
    <w:p w14:paraId="77B2D019" w14:textId="56D7D5F0"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A WE&amp;T and C&amp;S overlay is included in this program as 3C-REN will work with local non-profit low-income providers to help build their staffing capacity and provide training, as well as code coaching for permitted projects.  Some projects may also be used as hands-on, in the field training opportunities that will result in increased quality </w:t>
      </w:r>
      <w:r w:rsidR="004A4CEA" w:rsidRPr="004A4CEA">
        <w:rPr>
          <w:rFonts w:ascii="Times New Roman" w:hAnsi="Times New Roman" w:cs="Times New Roman"/>
          <w:sz w:val="24"/>
          <w:szCs w:val="24"/>
        </w:rPr>
        <w:t xml:space="preserve">assurance.  Partnering with local non-profit and low-income service providers also provides an opportunity to create career pathways for disadvantaged workers as many of the crew members and contractors live in the disadvantaged communities that they serve. </w:t>
      </w:r>
    </w:p>
    <w:p w14:paraId="21E63536"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The program budget for 3C-REN RES DI, (3C-R-001) shall be $2,896,875.</w:t>
      </w:r>
    </w:p>
    <w:p w14:paraId="17942246" w14:textId="1222344B"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The 3C-REN Residential DI program will target hard-to-reach (HTR) residential customers, including single-family and multifamily, renters and owners, and moderate-income families not currently </w:t>
      </w:r>
      <w:r w:rsidR="004A4CEA">
        <w:rPr>
          <w:rFonts w:ascii="Times New Roman" w:hAnsi="Times New Roman" w:cs="Times New Roman"/>
          <w:sz w:val="24"/>
          <w:szCs w:val="24"/>
        </w:rPr>
        <w:t>being</w:t>
      </w:r>
      <w:r w:rsidR="004A4CEA" w:rsidRPr="00A86586">
        <w:rPr>
          <w:rFonts w:ascii="Times New Roman" w:hAnsi="Times New Roman" w:cs="Times New Roman"/>
          <w:sz w:val="24"/>
          <w:szCs w:val="24"/>
        </w:rPr>
        <w:t xml:space="preserve"> </w:t>
      </w:r>
      <w:r w:rsidRPr="00A86586">
        <w:rPr>
          <w:rFonts w:ascii="Times New Roman" w:hAnsi="Times New Roman" w:cs="Times New Roman"/>
          <w:sz w:val="24"/>
          <w:szCs w:val="24"/>
        </w:rPr>
        <w:t>served by, nor meet</w:t>
      </w:r>
      <w:r w:rsidR="004A4CEA">
        <w:rPr>
          <w:rFonts w:ascii="Times New Roman" w:hAnsi="Times New Roman" w:cs="Times New Roman"/>
          <w:sz w:val="24"/>
          <w:szCs w:val="24"/>
        </w:rPr>
        <w:t>ing</w:t>
      </w:r>
      <w:r w:rsidRPr="00A86586">
        <w:rPr>
          <w:rFonts w:ascii="Times New Roman" w:hAnsi="Times New Roman" w:cs="Times New Roman"/>
          <w:sz w:val="24"/>
          <w:szCs w:val="24"/>
        </w:rPr>
        <w:t xml:space="preserve"> the criteria of current ESA, LIHEAP, or MIDI in Ventura, Santa Barbara and San Luis Obispo Counties. </w:t>
      </w:r>
    </w:p>
    <w:p w14:paraId="28F3A01D"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This resource program will include measure types including lighting, air sealing, insulation, HVAC measures, water flow controls, smart thermostat, power strip, plug load feedback device, duct system servicing, appliances, pool pumps, and water heating measures.</w:t>
      </w:r>
      <w:r w:rsidRPr="00A86586">
        <w:rPr>
          <w:rFonts w:ascii="Times New Roman" w:hAnsi="Times New Roman" w:cs="Times New Roman"/>
          <w:sz w:val="24"/>
          <w:szCs w:val="24"/>
          <w:vertAlign w:val="superscript"/>
        </w:rPr>
        <w:footnoteReference w:id="3"/>
      </w:r>
      <w:r w:rsidRPr="00A86586">
        <w:rPr>
          <w:rFonts w:ascii="Times New Roman" w:hAnsi="Times New Roman" w:cs="Times New Roman"/>
          <w:sz w:val="24"/>
          <w:szCs w:val="24"/>
        </w:rPr>
        <w:t xml:space="preserve"> 3C-REN is currently engaging IOUs and organizations that contract DI services to identify additional measures beyond those offered by ESA, MIDI, and LIHEAP that have potential to enhance service and savings, as well as overcome any administrative barriers that may inhibit successful delivery. Single measures will be allowed.  Savings will be deemed per measure. </w:t>
      </w:r>
    </w:p>
    <w:p w14:paraId="3EF63C29" w14:textId="77777777" w:rsidR="00A86586" w:rsidRPr="00A60B21" w:rsidRDefault="00A86586" w:rsidP="00A86586">
      <w:pPr>
        <w:rPr>
          <w:rFonts w:ascii="Times New Roman" w:hAnsi="Times New Roman" w:cs="Times New Roman"/>
          <w:sz w:val="24"/>
          <w:szCs w:val="24"/>
          <w:u w:val="single"/>
        </w:rPr>
      </w:pPr>
      <w:r w:rsidRPr="00A60B21">
        <w:rPr>
          <w:rFonts w:ascii="Times New Roman" w:hAnsi="Times New Roman" w:cs="Times New Roman"/>
          <w:sz w:val="24"/>
          <w:szCs w:val="24"/>
          <w:u w:val="single"/>
        </w:rPr>
        <w:t>C</w:t>
      </w:r>
      <w:r>
        <w:rPr>
          <w:rFonts w:ascii="Times New Roman" w:hAnsi="Times New Roman" w:cs="Times New Roman"/>
          <w:sz w:val="24"/>
          <w:szCs w:val="24"/>
          <w:u w:val="single"/>
        </w:rPr>
        <w:t>odes and Standards (C&amp;S)</w:t>
      </w:r>
    </w:p>
    <w:p w14:paraId="291C0324"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The 3C-REN proposes a cross-cutting C&amp;S program designed to fill gaps in current IOU offerings for the 3C-REN territory. The 3C-REN program will offer local, person-to-person trainings and mentorship opportunities, as well as counter and on-call expert assistance for codes and standards. In addition to coordinating with the IOUs to leverage existing Statewide C&amp;S resources, for classroom and online trainings, the 3C-REN will establish a Code Coach offering to run concurrent to and alongside other training efforts. </w:t>
      </w:r>
    </w:p>
    <w:p w14:paraId="32B13F4A"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Building departments in the Central Coast Region will receive building performance support and mentoring for plan review and field compliance. All design-side stakeholders, from the architect to field inspector and from the mechanical engineer to the plan checker, will be encouraged to attend trainings. The Code Coach approach, having local counter-to-counter and on-call experts for the region, will foster an environment where stakeholders have a deeper understanding of building performance and interrelated concerns. The goal is to ensure consistency throughout the </w:t>
      </w:r>
      <w:r w:rsidRPr="00A86586">
        <w:rPr>
          <w:rFonts w:ascii="Times New Roman" w:hAnsi="Times New Roman" w:cs="Times New Roman"/>
          <w:sz w:val="24"/>
          <w:szCs w:val="24"/>
        </w:rPr>
        <w:lastRenderedPageBreak/>
        <w:t xml:space="preserve">Central Coast Region, providing the workforce with a more stable business climate and known code compliance resources. </w:t>
      </w:r>
    </w:p>
    <w:p w14:paraId="54D5D119" w14:textId="48220D7A"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The program budget for 3C-REN C&amp;S, </w:t>
      </w:r>
      <w:r w:rsidR="00B60E8C">
        <w:rPr>
          <w:rFonts w:ascii="Times New Roman" w:hAnsi="Times New Roman" w:cs="Times New Roman"/>
          <w:sz w:val="24"/>
          <w:szCs w:val="24"/>
        </w:rPr>
        <w:t>(</w:t>
      </w:r>
      <w:r w:rsidRPr="00A86586">
        <w:rPr>
          <w:rFonts w:ascii="Times New Roman" w:hAnsi="Times New Roman" w:cs="Times New Roman"/>
          <w:sz w:val="24"/>
          <w:szCs w:val="24"/>
        </w:rPr>
        <w:t>3C-CS-001</w:t>
      </w:r>
      <w:r w:rsidR="00B60E8C">
        <w:rPr>
          <w:rFonts w:ascii="Times New Roman" w:hAnsi="Times New Roman" w:cs="Times New Roman"/>
          <w:sz w:val="24"/>
          <w:szCs w:val="24"/>
        </w:rPr>
        <w:t>)</w:t>
      </w:r>
      <w:r w:rsidRPr="00A86586">
        <w:rPr>
          <w:rFonts w:ascii="Times New Roman" w:hAnsi="Times New Roman" w:cs="Times New Roman"/>
          <w:sz w:val="24"/>
          <w:szCs w:val="24"/>
        </w:rPr>
        <w:t xml:space="preserve"> shall be $1,796,749.</w:t>
      </w:r>
    </w:p>
    <w:p w14:paraId="5B1B3CBE" w14:textId="163E82C0" w:rsidR="00A86586" w:rsidRPr="00A60B21" w:rsidRDefault="00A86586" w:rsidP="00A86586">
      <w:pPr>
        <w:rPr>
          <w:rFonts w:ascii="Times New Roman" w:hAnsi="Times New Roman" w:cs="Times New Roman"/>
          <w:sz w:val="24"/>
          <w:szCs w:val="24"/>
          <w:u w:val="single"/>
        </w:rPr>
      </w:pPr>
      <w:r w:rsidRPr="00A86586">
        <w:rPr>
          <w:rFonts w:ascii="Times New Roman" w:hAnsi="Times New Roman" w:cs="Times New Roman"/>
          <w:sz w:val="24"/>
          <w:szCs w:val="24"/>
        </w:rPr>
        <w:t>The target audience is all construction design-side stakeholders, including building departments, architects, field inspectors, mechanical engineers, and plan checkers. This is a non-resource program.</w:t>
      </w:r>
    </w:p>
    <w:p w14:paraId="581D2568" w14:textId="5F87DED9" w:rsidR="000415C0" w:rsidRPr="00A60B21" w:rsidRDefault="00A86586" w:rsidP="006B09F8">
      <w:pPr>
        <w:rPr>
          <w:rFonts w:ascii="Times New Roman" w:hAnsi="Times New Roman" w:cs="Times New Roman"/>
          <w:sz w:val="24"/>
          <w:szCs w:val="24"/>
          <w:u w:val="single"/>
        </w:rPr>
      </w:pPr>
      <w:r>
        <w:rPr>
          <w:rFonts w:ascii="Times New Roman" w:hAnsi="Times New Roman" w:cs="Times New Roman"/>
          <w:sz w:val="24"/>
          <w:szCs w:val="24"/>
          <w:u w:val="single"/>
        </w:rPr>
        <w:t xml:space="preserve">Workforce, Education and Training (“WE&amp;T”) </w:t>
      </w:r>
    </w:p>
    <w:p w14:paraId="75A21ACD" w14:textId="28F63F8C"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The 3C-REN proposes a cross-cutting WE&amp;T program designed to fill gaps in current investor-owned utilities</w:t>
      </w:r>
      <w:r w:rsidRPr="00A86586">
        <w:rPr>
          <w:rFonts w:ascii="Times New Roman" w:hAnsi="Times New Roman" w:cs="Times New Roman"/>
          <w:sz w:val="24"/>
          <w:szCs w:val="24"/>
          <w:vertAlign w:val="superscript"/>
        </w:rPr>
        <w:footnoteReference w:id="4"/>
      </w:r>
      <w:r w:rsidRPr="00A86586">
        <w:rPr>
          <w:rFonts w:ascii="Times New Roman" w:hAnsi="Times New Roman" w:cs="Times New Roman"/>
          <w:sz w:val="24"/>
          <w:szCs w:val="24"/>
        </w:rPr>
        <w:t xml:space="preserve"> (IOU) offerings for the 3C-REN territory, as the region is far removed from IOU training &amp; resource hubs. The current IOU training and education programs require substantial travel to energy centers outside of the Tri-County area and are often not designed to meet the needs of local building professionals. The 3C-REN program will offer career pathways and enrichment by providing access to in-person trainings, mentorship opportunities and cross promotion of IOU workforce trainings, including hard-to-reach (HTR) workers and those in identified disadvantaged communities (DACs).</w:t>
      </w:r>
    </w:p>
    <w:p w14:paraId="66EB11CC"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Building professionals living and working in the 3C-REN territory face unique challenges given the dispersed nature of communities within the Tri-County Central Coast Region. The region, and its building professional workforce, have historically struggled to fill key positions in energy efficiency, including the retrofit market and energy code compliant new construction. The 3C-REN WE&amp;T activities will address these challenges through collaboration with existing providers, programs, apprenticeship-style learning, targeted management, technical trainings for building professionals, and integrated resources for design and compliance professionals. </w:t>
      </w:r>
    </w:p>
    <w:p w14:paraId="6316AB87"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The 3C-REN territory has two primary needs for training and education in addition to local, in-person mentorship:</w:t>
      </w:r>
    </w:p>
    <w:p w14:paraId="77BF53E0" w14:textId="77777777" w:rsidR="00A86586" w:rsidRPr="00A86586" w:rsidRDefault="00A86586" w:rsidP="00A86586">
      <w:pPr>
        <w:numPr>
          <w:ilvl w:val="0"/>
          <w:numId w:val="11"/>
        </w:numPr>
        <w:rPr>
          <w:rFonts w:ascii="Times New Roman" w:hAnsi="Times New Roman" w:cs="Times New Roman"/>
          <w:sz w:val="24"/>
          <w:szCs w:val="24"/>
        </w:rPr>
      </w:pPr>
      <w:r w:rsidRPr="00A86586">
        <w:rPr>
          <w:rFonts w:ascii="Times New Roman" w:hAnsi="Times New Roman" w:cs="Times New Roman"/>
          <w:sz w:val="24"/>
          <w:szCs w:val="24"/>
        </w:rPr>
        <w:t xml:space="preserve">Technical Code Compliance, Home Performance and zero net energy (ZNE); </w:t>
      </w:r>
    </w:p>
    <w:p w14:paraId="02019F8E" w14:textId="77777777" w:rsidR="00A86586" w:rsidRPr="00A86586" w:rsidRDefault="00A86586" w:rsidP="00A86586">
      <w:pPr>
        <w:numPr>
          <w:ilvl w:val="0"/>
          <w:numId w:val="11"/>
        </w:numPr>
        <w:rPr>
          <w:rFonts w:ascii="Times New Roman" w:hAnsi="Times New Roman" w:cs="Times New Roman"/>
          <w:sz w:val="24"/>
          <w:szCs w:val="24"/>
        </w:rPr>
      </w:pPr>
      <w:r w:rsidRPr="00A86586">
        <w:rPr>
          <w:rFonts w:ascii="Times New Roman" w:hAnsi="Times New Roman" w:cs="Times New Roman"/>
          <w:sz w:val="24"/>
          <w:szCs w:val="24"/>
        </w:rPr>
        <w:t>“Soft Skills” Training for better communications, sales and marketing training and business management.</w:t>
      </w:r>
    </w:p>
    <w:p w14:paraId="69047577"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The 3C-REN will leverage established contractor and program relationships to provide technical trainings, Energy Advisor in-field job and installation mentoring, construction firm specific trainings and provide certification opportunities. The 3C-REN’s partnerships and Residential Energy Advisor service provide a direct connection to the workforce, leverage and improve the existing labor force and provide apprenticeship-style trainings with real-time experience that </w:t>
      </w:r>
      <w:r w:rsidRPr="00A86586">
        <w:rPr>
          <w:rFonts w:ascii="Times New Roman" w:hAnsi="Times New Roman" w:cs="Times New Roman"/>
          <w:sz w:val="24"/>
          <w:szCs w:val="24"/>
        </w:rPr>
        <w:lastRenderedPageBreak/>
        <w:t>business owners value most. This will set up a network of building professionals and connection to the workforce seeking training and career development.</w:t>
      </w:r>
    </w:p>
    <w:p w14:paraId="6B1B53A8"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 xml:space="preserve">The 3C-REN will apply a holistic approach to the market with highly targeted training events, using apprenticeship and mentoring style models to enhance the workforce within the 3C-REN territory. Workforce training will be real world reinforced while simultaneously influencing direct energy savings. </w:t>
      </w:r>
      <w:proofErr w:type="gramStart"/>
      <w:r w:rsidRPr="00A86586">
        <w:rPr>
          <w:rFonts w:ascii="Times New Roman" w:hAnsi="Times New Roman" w:cs="Times New Roman"/>
          <w:sz w:val="24"/>
          <w:szCs w:val="24"/>
        </w:rPr>
        <w:t>As a result of</w:t>
      </w:r>
      <w:proofErr w:type="gramEnd"/>
      <w:r w:rsidRPr="00A86586">
        <w:rPr>
          <w:rFonts w:ascii="Times New Roman" w:hAnsi="Times New Roman" w:cs="Times New Roman"/>
          <w:sz w:val="24"/>
          <w:szCs w:val="24"/>
        </w:rPr>
        <w:t xml:space="preserve"> a stronger workforce, building departments will increase efficiency and efficacy with existing resources.</w:t>
      </w:r>
    </w:p>
    <w:p w14:paraId="126556C9" w14:textId="77777777" w:rsidR="00A86586" w:rsidRPr="00A86586" w:rsidRDefault="00A86586" w:rsidP="00A86586">
      <w:pPr>
        <w:rPr>
          <w:rFonts w:ascii="Times New Roman" w:hAnsi="Times New Roman" w:cs="Times New Roman"/>
          <w:b/>
          <w:sz w:val="24"/>
          <w:szCs w:val="24"/>
        </w:rPr>
      </w:pPr>
      <w:r w:rsidRPr="00A86586">
        <w:rPr>
          <w:rFonts w:ascii="Times New Roman" w:hAnsi="Times New Roman" w:cs="Times New Roman"/>
          <w:sz w:val="24"/>
          <w:szCs w:val="24"/>
        </w:rPr>
        <w:t>The program budget for 3C-REN WE&amp;T, 3C-WET-001 $1,270,776.</w:t>
      </w:r>
    </w:p>
    <w:p w14:paraId="54BF0F25" w14:textId="77777777" w:rsidR="00A86586" w:rsidRPr="00A86586" w:rsidRDefault="00A86586" w:rsidP="00A86586">
      <w:pPr>
        <w:rPr>
          <w:rFonts w:ascii="Times New Roman" w:hAnsi="Times New Roman" w:cs="Times New Roman"/>
          <w:sz w:val="24"/>
          <w:szCs w:val="24"/>
        </w:rPr>
      </w:pPr>
      <w:r w:rsidRPr="00A86586">
        <w:rPr>
          <w:rFonts w:ascii="Times New Roman" w:hAnsi="Times New Roman" w:cs="Times New Roman"/>
          <w:sz w:val="24"/>
          <w:szCs w:val="24"/>
        </w:rPr>
        <w:t>The program targets local building professionals needing more in-depth training, such as contractors, HVAC, engineers, architects, designers, certified energy managers, local jurisdictions’ building &amp; safety department staff, lighting professionals, real estate professionals, raters, including professionals in DACs and HTR areas, as well as other key market actors.</w:t>
      </w:r>
    </w:p>
    <w:p w14:paraId="4E5332CB" w14:textId="15D15CF6" w:rsidR="00A86586" w:rsidRPr="00A60B21" w:rsidRDefault="00A86586" w:rsidP="00F94873">
      <w:pPr>
        <w:rPr>
          <w:rFonts w:ascii="Times New Roman" w:hAnsi="Times New Roman" w:cs="Times New Roman"/>
          <w:sz w:val="24"/>
          <w:szCs w:val="24"/>
          <w:u w:val="single"/>
        </w:rPr>
      </w:pPr>
      <w:r w:rsidRPr="00A86586">
        <w:rPr>
          <w:rFonts w:ascii="Times New Roman" w:hAnsi="Times New Roman" w:cs="Times New Roman"/>
          <w:sz w:val="24"/>
          <w:szCs w:val="24"/>
        </w:rPr>
        <w:t xml:space="preserve">The 3C-REN’s WE&amp;T program is non-resource and will serve to support 3C-REN and IOU programs in the region by training the workforce that can deliver resource programs. </w:t>
      </w:r>
    </w:p>
    <w:p w14:paraId="5E76EA76" w14:textId="77777777" w:rsidR="00566720" w:rsidRPr="00F4619C" w:rsidRDefault="001110B4" w:rsidP="000415C0">
      <w:pPr>
        <w:rPr>
          <w:rFonts w:ascii="Times New Roman" w:hAnsi="Times New Roman" w:cs="Times New Roman"/>
          <w:b/>
          <w:sz w:val="24"/>
          <w:szCs w:val="24"/>
        </w:rPr>
      </w:pPr>
      <w:r w:rsidRPr="00F4619C">
        <w:rPr>
          <w:rFonts w:ascii="Times New Roman" w:hAnsi="Times New Roman" w:cs="Times New Roman"/>
          <w:b/>
          <w:sz w:val="24"/>
          <w:szCs w:val="24"/>
        </w:rPr>
        <w:t xml:space="preserve">5.  Strategies for increased </w:t>
      </w:r>
      <w:r w:rsidR="00566720" w:rsidRPr="00F4619C">
        <w:rPr>
          <w:rFonts w:ascii="Times New Roman" w:hAnsi="Times New Roman" w:cs="Times New Roman"/>
          <w:b/>
          <w:sz w:val="24"/>
          <w:szCs w:val="24"/>
        </w:rPr>
        <w:t>cost-effective</w:t>
      </w:r>
      <w:r w:rsidRPr="00F4619C">
        <w:rPr>
          <w:rFonts w:ascii="Times New Roman" w:hAnsi="Times New Roman" w:cs="Times New Roman"/>
          <w:b/>
          <w:sz w:val="24"/>
          <w:szCs w:val="24"/>
        </w:rPr>
        <w:t>ness</w:t>
      </w:r>
    </w:p>
    <w:p w14:paraId="130DA17D" w14:textId="47622FBD" w:rsidR="00566720" w:rsidRPr="00A60B21" w:rsidRDefault="00F520BD" w:rsidP="000415C0">
      <w:pPr>
        <w:rPr>
          <w:rFonts w:ascii="Times New Roman" w:hAnsi="Times New Roman" w:cs="Times New Roman"/>
          <w:sz w:val="24"/>
          <w:szCs w:val="24"/>
        </w:rPr>
      </w:pPr>
      <w:r>
        <w:rPr>
          <w:rFonts w:ascii="Times New Roman" w:hAnsi="Times New Roman" w:cs="Times New Roman"/>
          <w:sz w:val="24"/>
          <w:szCs w:val="24"/>
        </w:rPr>
        <w:t>3C-</w:t>
      </w:r>
      <w:r w:rsidR="00C813B4" w:rsidRPr="00A60B21">
        <w:rPr>
          <w:rFonts w:ascii="Times New Roman" w:hAnsi="Times New Roman" w:cs="Times New Roman"/>
          <w:sz w:val="24"/>
          <w:szCs w:val="24"/>
        </w:rPr>
        <w:t xml:space="preserve">REN’s </w:t>
      </w:r>
      <w:r>
        <w:rPr>
          <w:rFonts w:ascii="Times New Roman" w:hAnsi="Times New Roman" w:cs="Times New Roman"/>
          <w:sz w:val="24"/>
          <w:szCs w:val="24"/>
        </w:rPr>
        <w:t>programs are designed with the intent of</w:t>
      </w:r>
      <w:r w:rsidR="00C813B4" w:rsidRPr="00A60B21">
        <w:rPr>
          <w:rFonts w:ascii="Times New Roman" w:hAnsi="Times New Roman" w:cs="Times New Roman"/>
          <w:sz w:val="24"/>
          <w:szCs w:val="24"/>
        </w:rPr>
        <w:t xml:space="preserve"> targeting hard-to-reach customers.  </w:t>
      </w:r>
      <w:r>
        <w:rPr>
          <w:rFonts w:ascii="Times New Roman" w:hAnsi="Times New Roman" w:cs="Times New Roman"/>
          <w:sz w:val="24"/>
          <w:szCs w:val="24"/>
        </w:rPr>
        <w:t>While 2019 is 3C-REN’s baseline year</w:t>
      </w:r>
      <w:r w:rsidR="00D75A93">
        <w:rPr>
          <w:rFonts w:ascii="Times New Roman" w:hAnsi="Times New Roman" w:cs="Times New Roman"/>
          <w:sz w:val="24"/>
          <w:szCs w:val="24"/>
        </w:rPr>
        <w:t>, yet, w</w:t>
      </w:r>
      <w:r>
        <w:rPr>
          <w:rFonts w:ascii="Times New Roman" w:hAnsi="Times New Roman" w:cs="Times New Roman"/>
          <w:sz w:val="24"/>
          <w:szCs w:val="24"/>
        </w:rPr>
        <w:t xml:space="preserve">ith a directive to </w:t>
      </w:r>
      <w:r w:rsidR="00C813B4" w:rsidRPr="00A60B21">
        <w:rPr>
          <w:rFonts w:ascii="Times New Roman" w:hAnsi="Times New Roman" w:cs="Times New Roman"/>
          <w:sz w:val="24"/>
          <w:szCs w:val="24"/>
        </w:rPr>
        <w:t>be more cost-effective</w:t>
      </w:r>
      <w:r>
        <w:rPr>
          <w:rFonts w:ascii="Times New Roman" w:hAnsi="Times New Roman" w:cs="Times New Roman"/>
          <w:sz w:val="24"/>
          <w:szCs w:val="24"/>
        </w:rPr>
        <w:t>,</w:t>
      </w:r>
      <w:r w:rsidR="00C813B4" w:rsidRPr="00A60B21">
        <w:rPr>
          <w:rFonts w:ascii="Times New Roman" w:hAnsi="Times New Roman" w:cs="Times New Roman"/>
          <w:sz w:val="24"/>
          <w:szCs w:val="24"/>
        </w:rPr>
        <w:t xml:space="preserve"> </w:t>
      </w:r>
      <w:r>
        <w:rPr>
          <w:rFonts w:ascii="Times New Roman" w:hAnsi="Times New Roman" w:cs="Times New Roman"/>
          <w:sz w:val="24"/>
          <w:szCs w:val="24"/>
        </w:rPr>
        <w:t>3C-REN’s forecasted energy</w:t>
      </w:r>
      <w:r w:rsidR="00DC7CBD" w:rsidRPr="00A60B21">
        <w:rPr>
          <w:rFonts w:ascii="Times New Roman" w:hAnsi="Times New Roman" w:cs="Times New Roman"/>
          <w:sz w:val="24"/>
          <w:szCs w:val="24"/>
        </w:rPr>
        <w:t xml:space="preserve"> savings</w:t>
      </w:r>
      <w:r w:rsidR="004801AF">
        <w:rPr>
          <w:rFonts w:ascii="Times New Roman" w:hAnsi="Times New Roman" w:cs="Times New Roman"/>
          <w:sz w:val="24"/>
          <w:szCs w:val="24"/>
        </w:rPr>
        <w:t xml:space="preserve"> are projected to </w:t>
      </w:r>
      <w:r>
        <w:rPr>
          <w:rFonts w:ascii="Times New Roman" w:hAnsi="Times New Roman" w:cs="Times New Roman"/>
          <w:sz w:val="24"/>
          <w:szCs w:val="24"/>
        </w:rPr>
        <w:t>improve over time</w:t>
      </w:r>
      <w:r w:rsidR="00C813B4" w:rsidRPr="00A60B21">
        <w:rPr>
          <w:rFonts w:ascii="Times New Roman" w:hAnsi="Times New Roman" w:cs="Times New Roman"/>
          <w:sz w:val="24"/>
          <w:szCs w:val="24"/>
        </w:rPr>
        <w:t xml:space="preserve">.  </w:t>
      </w:r>
      <w:r>
        <w:rPr>
          <w:rFonts w:ascii="Times New Roman" w:hAnsi="Times New Roman" w:cs="Times New Roman"/>
          <w:sz w:val="24"/>
          <w:szCs w:val="24"/>
        </w:rPr>
        <w:t>3C-</w:t>
      </w:r>
      <w:r w:rsidR="001110B4" w:rsidRPr="00A60B21">
        <w:rPr>
          <w:rFonts w:ascii="Times New Roman" w:hAnsi="Times New Roman" w:cs="Times New Roman"/>
          <w:sz w:val="24"/>
          <w:szCs w:val="24"/>
        </w:rPr>
        <w:t xml:space="preserve">REN has </w:t>
      </w:r>
      <w:r>
        <w:rPr>
          <w:rFonts w:ascii="Times New Roman" w:hAnsi="Times New Roman" w:cs="Times New Roman"/>
          <w:sz w:val="24"/>
          <w:szCs w:val="24"/>
        </w:rPr>
        <w:t>one resource program, Residential Direct Install</w:t>
      </w:r>
      <w:r w:rsidR="001110B4" w:rsidRPr="00A60B21">
        <w:rPr>
          <w:rFonts w:ascii="Times New Roman" w:hAnsi="Times New Roman" w:cs="Times New Roman"/>
          <w:sz w:val="24"/>
          <w:szCs w:val="24"/>
        </w:rPr>
        <w:t>.  Strategies for increasi</w:t>
      </w:r>
      <w:r>
        <w:rPr>
          <w:rFonts w:ascii="Times New Roman" w:hAnsi="Times New Roman" w:cs="Times New Roman"/>
          <w:sz w:val="24"/>
          <w:szCs w:val="24"/>
        </w:rPr>
        <w:t>ng the cost effectiveness of thi</w:t>
      </w:r>
      <w:r w:rsidR="001110B4" w:rsidRPr="00A60B21">
        <w:rPr>
          <w:rFonts w:ascii="Times New Roman" w:hAnsi="Times New Roman" w:cs="Times New Roman"/>
          <w:sz w:val="24"/>
          <w:szCs w:val="24"/>
        </w:rPr>
        <w:t>s</w:t>
      </w:r>
      <w:r>
        <w:rPr>
          <w:rFonts w:ascii="Times New Roman" w:hAnsi="Times New Roman" w:cs="Times New Roman"/>
          <w:sz w:val="24"/>
          <w:szCs w:val="24"/>
        </w:rPr>
        <w:t xml:space="preserve"> program</w:t>
      </w:r>
      <w:r w:rsidR="001110B4" w:rsidRPr="00A60B21">
        <w:rPr>
          <w:rFonts w:ascii="Times New Roman" w:hAnsi="Times New Roman" w:cs="Times New Roman"/>
          <w:sz w:val="24"/>
          <w:szCs w:val="24"/>
        </w:rPr>
        <w:t xml:space="preserve"> i</w:t>
      </w:r>
      <w:r w:rsidR="00566720" w:rsidRPr="00A60B21">
        <w:rPr>
          <w:rFonts w:ascii="Times New Roman" w:hAnsi="Times New Roman" w:cs="Times New Roman"/>
          <w:sz w:val="24"/>
          <w:szCs w:val="24"/>
        </w:rPr>
        <w:t>n 2019</w:t>
      </w:r>
      <w:r w:rsidR="001110B4" w:rsidRPr="00A60B21">
        <w:rPr>
          <w:rFonts w:ascii="Times New Roman" w:hAnsi="Times New Roman" w:cs="Times New Roman"/>
          <w:sz w:val="24"/>
          <w:szCs w:val="24"/>
        </w:rPr>
        <w:t xml:space="preserve"> </w:t>
      </w:r>
      <w:r>
        <w:rPr>
          <w:rFonts w:ascii="Times New Roman" w:hAnsi="Times New Roman" w:cs="Times New Roman"/>
          <w:sz w:val="24"/>
          <w:szCs w:val="24"/>
        </w:rPr>
        <w:t>include</w:t>
      </w:r>
      <w:r w:rsidR="00566720" w:rsidRPr="00A60B21">
        <w:rPr>
          <w:rFonts w:ascii="Times New Roman" w:hAnsi="Times New Roman" w:cs="Times New Roman"/>
          <w:sz w:val="24"/>
          <w:szCs w:val="24"/>
        </w:rPr>
        <w:t>:</w:t>
      </w:r>
    </w:p>
    <w:p w14:paraId="0CF8EC1D" w14:textId="5C91D795" w:rsidR="00242B9C" w:rsidRPr="00F4619C" w:rsidRDefault="00D75A93" w:rsidP="00F4619C">
      <w:pPr>
        <w:pStyle w:val="ListParagraph"/>
        <w:numPr>
          <w:ilvl w:val="0"/>
          <w:numId w:val="13"/>
        </w:numPr>
        <w:rPr>
          <w:rFonts w:ascii="Times New Roman" w:hAnsi="Times New Roman" w:cs="Times New Roman"/>
          <w:szCs w:val="24"/>
        </w:rPr>
      </w:pPr>
      <w:r w:rsidRPr="00F4619C">
        <w:rPr>
          <w:rFonts w:ascii="Times New Roman" w:hAnsi="Times New Roman" w:cs="Times New Roman"/>
          <w:szCs w:val="24"/>
        </w:rPr>
        <w:t>Residential Direct Install Program</w:t>
      </w:r>
    </w:p>
    <w:p w14:paraId="62084824" w14:textId="772FFDDF" w:rsidR="00B8175F" w:rsidRDefault="00B8175F" w:rsidP="00F4619C">
      <w:pPr>
        <w:pStyle w:val="ListParagraph"/>
        <w:numPr>
          <w:ilvl w:val="1"/>
          <w:numId w:val="13"/>
        </w:numPr>
        <w:rPr>
          <w:rFonts w:ascii="Times New Roman" w:hAnsi="Times New Roman" w:cs="Times New Roman"/>
          <w:szCs w:val="24"/>
        </w:rPr>
      </w:pPr>
      <w:r>
        <w:rPr>
          <w:rFonts w:ascii="Times New Roman" w:hAnsi="Times New Roman" w:cs="Times New Roman"/>
          <w:szCs w:val="24"/>
        </w:rPr>
        <w:t xml:space="preserve">Agile </w:t>
      </w:r>
      <w:r w:rsidR="007A6D56">
        <w:rPr>
          <w:rFonts w:ascii="Times New Roman" w:hAnsi="Times New Roman" w:cs="Times New Roman"/>
          <w:szCs w:val="24"/>
        </w:rPr>
        <w:t>program design and deployment</w:t>
      </w:r>
      <w:r>
        <w:rPr>
          <w:rFonts w:ascii="Times New Roman" w:hAnsi="Times New Roman" w:cs="Times New Roman"/>
          <w:szCs w:val="24"/>
        </w:rPr>
        <w:t xml:space="preserve"> </w:t>
      </w:r>
    </w:p>
    <w:p w14:paraId="73C69C21" w14:textId="359D1755" w:rsidR="00B8175F" w:rsidRPr="00F4619C" w:rsidRDefault="00B8175F" w:rsidP="00F4619C">
      <w:pPr>
        <w:pStyle w:val="ListParagraph"/>
        <w:numPr>
          <w:ilvl w:val="1"/>
          <w:numId w:val="13"/>
        </w:numPr>
        <w:rPr>
          <w:rFonts w:ascii="Times New Roman" w:hAnsi="Times New Roman" w:cs="Times New Roman"/>
          <w:szCs w:val="24"/>
        </w:rPr>
      </w:pPr>
      <w:r>
        <w:rPr>
          <w:rFonts w:ascii="Times New Roman" w:hAnsi="Times New Roman" w:cs="Times New Roman"/>
          <w:szCs w:val="24"/>
        </w:rPr>
        <w:t xml:space="preserve">Collaborative and coordinated approach with PG&amp;E, SCE, and SCG </w:t>
      </w:r>
    </w:p>
    <w:p w14:paraId="7D85D2DF" w14:textId="458077B1" w:rsidR="00DC7CBD" w:rsidRPr="00F4619C" w:rsidRDefault="00B8175F" w:rsidP="00F4619C">
      <w:pPr>
        <w:pStyle w:val="ListParagraph"/>
        <w:numPr>
          <w:ilvl w:val="1"/>
          <w:numId w:val="13"/>
        </w:numPr>
        <w:rPr>
          <w:rFonts w:ascii="Times New Roman" w:hAnsi="Times New Roman" w:cs="Times New Roman"/>
          <w:szCs w:val="24"/>
        </w:rPr>
      </w:pPr>
      <w:r>
        <w:rPr>
          <w:rFonts w:ascii="Times New Roman" w:hAnsi="Times New Roman" w:cs="Times New Roman"/>
          <w:szCs w:val="24"/>
        </w:rPr>
        <w:t>S</w:t>
      </w:r>
      <w:r w:rsidR="00242B9C" w:rsidRPr="00F4619C">
        <w:rPr>
          <w:rFonts w:ascii="Times New Roman" w:hAnsi="Times New Roman" w:cs="Times New Roman"/>
          <w:szCs w:val="24"/>
        </w:rPr>
        <w:t xml:space="preserve">cale up participation </w:t>
      </w:r>
      <w:r>
        <w:rPr>
          <w:rFonts w:ascii="Times New Roman" w:hAnsi="Times New Roman" w:cs="Times New Roman"/>
          <w:szCs w:val="24"/>
        </w:rPr>
        <w:t>to improve</w:t>
      </w:r>
      <w:r w:rsidRPr="00F4619C">
        <w:rPr>
          <w:rFonts w:ascii="Times New Roman" w:hAnsi="Times New Roman" w:cs="Times New Roman"/>
          <w:szCs w:val="24"/>
        </w:rPr>
        <w:t xml:space="preserve"> </w:t>
      </w:r>
      <w:r w:rsidR="00242B9C" w:rsidRPr="00F4619C">
        <w:rPr>
          <w:rFonts w:ascii="Times New Roman" w:hAnsi="Times New Roman" w:cs="Times New Roman"/>
          <w:szCs w:val="24"/>
        </w:rPr>
        <w:t xml:space="preserve">cost effectiveness  </w:t>
      </w:r>
    </w:p>
    <w:p w14:paraId="11F7C1E1" w14:textId="77777777" w:rsidR="00566720" w:rsidRPr="00A60B21" w:rsidRDefault="00566720" w:rsidP="00BB1058">
      <w:pPr>
        <w:rPr>
          <w:rFonts w:ascii="Times New Roman" w:hAnsi="Times New Roman" w:cs="Times New Roman"/>
          <w:sz w:val="24"/>
          <w:szCs w:val="24"/>
        </w:rPr>
      </w:pPr>
    </w:p>
    <w:p w14:paraId="68D59ACB" w14:textId="77777777" w:rsidR="004F46C8" w:rsidRPr="00A60B21" w:rsidRDefault="004F46C8" w:rsidP="00F4619C">
      <w:pPr>
        <w:pStyle w:val="Heading1"/>
        <w:spacing w:line="360" w:lineRule="auto"/>
        <w:rPr>
          <w:rFonts w:ascii="Times New Roman" w:hAnsi="Times New Roman" w:cs="Times New Roman"/>
          <w:b w:val="0"/>
          <w:color w:val="auto"/>
          <w:sz w:val="24"/>
          <w:szCs w:val="24"/>
        </w:rPr>
      </w:pPr>
      <w:r w:rsidRPr="00A60B21">
        <w:rPr>
          <w:rFonts w:ascii="Times New Roman" w:hAnsi="Times New Roman" w:cs="Times New Roman"/>
          <w:color w:val="auto"/>
          <w:sz w:val="24"/>
          <w:szCs w:val="24"/>
        </w:rPr>
        <w:t>Protest</w:t>
      </w:r>
    </w:p>
    <w:p w14:paraId="65A05794" w14:textId="5D62B2DA"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 xml:space="preserve">Anyone may protest this Advice Letter. The protest must state the grounds upon which it is based.  The protest must be made in writing and received by the Commission within 20 days of the date this Advice Letter was filed with the Commission, </w:t>
      </w:r>
      <w:r w:rsidR="00B8175F">
        <w:rPr>
          <w:rFonts w:ascii="Times New Roman" w:hAnsi="Times New Roman" w:cs="Times New Roman"/>
          <w:sz w:val="24"/>
          <w:szCs w:val="24"/>
        </w:rPr>
        <w:t>which is</w:t>
      </w:r>
      <w:r w:rsidR="00B8175F" w:rsidRPr="00A60B21">
        <w:rPr>
          <w:rFonts w:ascii="Times New Roman" w:hAnsi="Times New Roman" w:cs="Times New Roman"/>
          <w:sz w:val="24"/>
          <w:szCs w:val="24"/>
        </w:rPr>
        <w:t xml:space="preserve"> </w:t>
      </w:r>
      <w:r w:rsidRPr="00A60B21">
        <w:rPr>
          <w:rFonts w:ascii="Times New Roman" w:hAnsi="Times New Roman" w:cs="Times New Roman"/>
          <w:sz w:val="24"/>
          <w:szCs w:val="24"/>
        </w:rPr>
        <w:t xml:space="preserve">September </w:t>
      </w:r>
      <w:r w:rsidR="00B8175F">
        <w:rPr>
          <w:rFonts w:ascii="Times New Roman" w:hAnsi="Times New Roman" w:cs="Times New Roman"/>
          <w:sz w:val="24"/>
          <w:szCs w:val="24"/>
        </w:rPr>
        <w:t>1</w:t>
      </w:r>
      <w:r w:rsidRPr="00A60B21">
        <w:rPr>
          <w:rFonts w:ascii="Times New Roman" w:hAnsi="Times New Roman" w:cs="Times New Roman"/>
          <w:sz w:val="24"/>
          <w:szCs w:val="24"/>
        </w:rPr>
        <w:t>, 201</w:t>
      </w:r>
      <w:r w:rsidR="000A0A9D" w:rsidRPr="00A60B21">
        <w:rPr>
          <w:rFonts w:ascii="Times New Roman" w:hAnsi="Times New Roman" w:cs="Times New Roman"/>
          <w:sz w:val="24"/>
          <w:szCs w:val="24"/>
        </w:rPr>
        <w:t>8</w:t>
      </w:r>
      <w:r w:rsidRPr="00A60B21">
        <w:rPr>
          <w:rFonts w:ascii="Times New Roman" w:hAnsi="Times New Roman" w:cs="Times New Roman"/>
          <w:sz w:val="24"/>
          <w:szCs w:val="24"/>
        </w:rPr>
        <w:t>. There is no restriction on who may file a protest. The address for mailing or delivering a protest to the Commission is:</w:t>
      </w:r>
    </w:p>
    <w:p w14:paraId="40068EF6"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Public Utilities Commission</w:t>
      </w:r>
    </w:p>
    <w:p w14:paraId="56A7481C"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CPUC Energy Division</w:t>
      </w:r>
    </w:p>
    <w:p w14:paraId="6A8644B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Attention: Tariff Unit</w:t>
      </w:r>
    </w:p>
    <w:p w14:paraId="3C072BEC"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505 Van Ness Avenue</w:t>
      </w:r>
    </w:p>
    <w:p w14:paraId="7A2CD7D8" w14:textId="77777777" w:rsidR="004F46C8" w:rsidRPr="00A60B21" w:rsidRDefault="004F46C8" w:rsidP="00BB1058">
      <w:pPr>
        <w:contextualSpacing/>
        <w:rPr>
          <w:rFonts w:ascii="Times New Roman" w:hAnsi="Times New Roman" w:cs="Times New Roman"/>
          <w:sz w:val="24"/>
          <w:szCs w:val="24"/>
        </w:rPr>
      </w:pPr>
      <w:r w:rsidRPr="00A60B21">
        <w:rPr>
          <w:rFonts w:ascii="Times New Roman" w:hAnsi="Times New Roman" w:cs="Times New Roman"/>
          <w:sz w:val="24"/>
          <w:szCs w:val="24"/>
        </w:rPr>
        <w:t>San Francisco, CA  94102</w:t>
      </w:r>
    </w:p>
    <w:p w14:paraId="256174E1" w14:textId="77777777" w:rsidR="004F46C8" w:rsidRPr="00A60B21" w:rsidRDefault="004F46C8" w:rsidP="00BB1058">
      <w:pPr>
        <w:rPr>
          <w:rFonts w:ascii="Times New Roman" w:hAnsi="Times New Roman" w:cs="Times New Roman"/>
          <w:sz w:val="24"/>
          <w:szCs w:val="24"/>
        </w:rPr>
      </w:pPr>
    </w:p>
    <w:p w14:paraId="26CD9583" w14:textId="77777777" w:rsidR="004F46C8" w:rsidRPr="00A60B21" w:rsidRDefault="004F46C8" w:rsidP="00BB1058">
      <w:pPr>
        <w:rPr>
          <w:rFonts w:ascii="Times New Roman" w:hAnsi="Times New Roman" w:cs="Times New Roman"/>
          <w:sz w:val="24"/>
          <w:szCs w:val="24"/>
        </w:rPr>
      </w:pPr>
      <w:r w:rsidRPr="00A60B21">
        <w:rPr>
          <w:rFonts w:ascii="Times New Roman" w:hAnsi="Times New Roman" w:cs="Times New Roman"/>
          <w:sz w:val="24"/>
          <w:szCs w:val="24"/>
        </w:rPr>
        <w:t xml:space="preserve">Copies of the protest should also be sent via e-mail to the attention of the Energy Division at </w:t>
      </w:r>
      <w:hyperlink r:id="rId11" w:history="1">
        <w:r w:rsidRPr="00A60B21">
          <w:rPr>
            <w:rStyle w:val="Hyperlink"/>
            <w:rFonts w:ascii="Times New Roman" w:hAnsi="Times New Roman" w:cs="Times New Roman"/>
            <w:color w:val="auto"/>
            <w:sz w:val="24"/>
            <w:szCs w:val="24"/>
          </w:rPr>
          <w:t>EDTariffUnit@cpuc.ca.gov</w:t>
        </w:r>
      </w:hyperlink>
      <w:r w:rsidRPr="00A60B21">
        <w:rPr>
          <w:rFonts w:ascii="Times New Roman" w:hAnsi="Times New Roman" w:cs="Times New Roman"/>
          <w:sz w:val="24"/>
          <w:szCs w:val="24"/>
        </w:rPr>
        <w:t>. It is also requested that a copy of the protest be sent by email to address shown below on the same date it is mailed or delivered to the Commission.</w:t>
      </w:r>
    </w:p>
    <w:tbl>
      <w:tblPr>
        <w:tblW w:w="0" w:type="auto"/>
        <w:tblLook w:val="01E0" w:firstRow="1" w:lastRow="1" w:firstColumn="1" w:lastColumn="1" w:noHBand="0" w:noVBand="0"/>
      </w:tblPr>
      <w:tblGrid>
        <w:gridCol w:w="4788"/>
      </w:tblGrid>
      <w:tr w:rsidR="004F46C8" w:rsidRPr="00A60B21" w14:paraId="1C6571EA" w14:textId="77777777" w:rsidTr="004C560E">
        <w:trPr>
          <w:trHeight w:val="2016"/>
        </w:trPr>
        <w:tc>
          <w:tcPr>
            <w:tcW w:w="4788" w:type="dxa"/>
            <w:hideMark/>
          </w:tcPr>
          <w:p w14:paraId="53100AB3" w14:textId="77777777" w:rsidR="00F4619C" w:rsidRPr="004C560E" w:rsidRDefault="00F4619C" w:rsidP="004C560E">
            <w:pPr>
              <w:pStyle w:val="NoSpacing"/>
              <w:rPr>
                <w:rFonts w:ascii="Times New Roman" w:hAnsi="Times New Roman" w:cs="Times New Roman"/>
                <w:color w:val="auto"/>
                <w:sz w:val="24"/>
                <w:szCs w:val="24"/>
              </w:rPr>
            </w:pPr>
            <w:r w:rsidRPr="004C560E">
              <w:rPr>
                <w:rFonts w:ascii="Times New Roman" w:hAnsi="Times New Roman" w:cs="Times New Roman"/>
                <w:sz w:val="24"/>
                <w:szCs w:val="24"/>
              </w:rPr>
              <w:t>Susan Hughes</w:t>
            </w:r>
          </w:p>
          <w:p w14:paraId="29774859"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Senior Deputy Executive Officer</w:t>
            </w:r>
          </w:p>
          <w:p w14:paraId="601F5792"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County</w:t>
            </w:r>
          </w:p>
          <w:p w14:paraId="2D6F62B1"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800 S. Victoria Avenue</w:t>
            </w:r>
          </w:p>
          <w:p w14:paraId="2529F44C"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Ventura, CA 93009</w:t>
            </w:r>
          </w:p>
          <w:p w14:paraId="558DD2D6"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Telephone: 805-654-3836</w:t>
            </w:r>
          </w:p>
          <w:p w14:paraId="3CDE43AB"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Facsimile:  805-654-5106</w:t>
            </w:r>
          </w:p>
          <w:p w14:paraId="35D6CE7D" w14:textId="77777777" w:rsidR="00F4619C" w:rsidRPr="004C560E" w:rsidRDefault="00F4619C" w:rsidP="004C560E">
            <w:pPr>
              <w:pStyle w:val="NoSpacing"/>
              <w:rPr>
                <w:rFonts w:ascii="Times New Roman" w:hAnsi="Times New Roman" w:cs="Times New Roman"/>
                <w:sz w:val="24"/>
                <w:szCs w:val="24"/>
              </w:rPr>
            </w:pPr>
            <w:r w:rsidRPr="004C560E">
              <w:rPr>
                <w:rFonts w:ascii="Times New Roman" w:hAnsi="Times New Roman" w:cs="Times New Roman"/>
                <w:sz w:val="24"/>
                <w:szCs w:val="24"/>
              </w:rPr>
              <w:t xml:space="preserve">Email: </w:t>
            </w:r>
            <w:hyperlink r:id="rId12" w:history="1">
              <w:r w:rsidRPr="004C560E">
                <w:rPr>
                  <w:rStyle w:val="Hyperlink"/>
                  <w:rFonts w:ascii="Times New Roman" w:hAnsi="Times New Roman" w:cs="Times New Roman"/>
                  <w:sz w:val="24"/>
                  <w:szCs w:val="24"/>
                </w:rPr>
                <w:t>susan.hughes@ventura.org</w:t>
              </w:r>
            </w:hyperlink>
          </w:p>
          <w:p w14:paraId="41420277" w14:textId="08041479" w:rsidR="004F46C8" w:rsidRPr="00A60B21" w:rsidRDefault="004F46C8" w:rsidP="00EF2CBF">
            <w:pPr>
              <w:pStyle w:val="BodyText"/>
            </w:pPr>
          </w:p>
        </w:tc>
      </w:tr>
    </w:tbl>
    <w:p w14:paraId="7ACFD9F2" w14:textId="77777777" w:rsidR="004F46C8" w:rsidRPr="00A60B21" w:rsidRDefault="004F46C8" w:rsidP="00BB1058">
      <w:pPr>
        <w:rPr>
          <w:rFonts w:ascii="Times New Roman" w:hAnsi="Times New Roman" w:cs="Times New Roman"/>
          <w:sz w:val="24"/>
          <w:szCs w:val="24"/>
        </w:rPr>
      </w:pPr>
    </w:p>
    <w:p w14:paraId="12E9251C" w14:textId="77777777" w:rsidR="004F46C8" w:rsidRPr="00A60B21" w:rsidRDefault="004F46C8" w:rsidP="00BB1058">
      <w:pPr>
        <w:rPr>
          <w:rFonts w:ascii="Times New Roman" w:hAnsi="Times New Roman" w:cs="Times New Roman"/>
          <w:b/>
          <w:sz w:val="24"/>
          <w:szCs w:val="24"/>
        </w:rPr>
      </w:pPr>
      <w:r w:rsidRPr="00A60B21">
        <w:rPr>
          <w:rFonts w:ascii="Times New Roman" w:hAnsi="Times New Roman" w:cs="Times New Roman"/>
          <w:b/>
          <w:sz w:val="24"/>
          <w:szCs w:val="24"/>
        </w:rPr>
        <w:t xml:space="preserve">Effective Date  </w:t>
      </w:r>
    </w:p>
    <w:p w14:paraId="154150F5" w14:textId="36C499A9" w:rsidR="004F46C8" w:rsidRPr="00A60B21" w:rsidRDefault="00AE3B9C" w:rsidP="00BB1058">
      <w:pPr>
        <w:rPr>
          <w:rFonts w:ascii="Times New Roman" w:hAnsi="Times New Roman" w:cs="Times New Roman"/>
          <w:sz w:val="24"/>
          <w:szCs w:val="24"/>
        </w:rPr>
      </w:pPr>
      <w:r>
        <w:rPr>
          <w:rFonts w:ascii="Times New Roman" w:hAnsi="Times New Roman" w:cs="Times New Roman"/>
          <w:sz w:val="24"/>
          <w:szCs w:val="24"/>
        </w:rPr>
        <w:t>3C-</w:t>
      </w:r>
      <w:r w:rsidR="004F46C8" w:rsidRPr="00A60B21">
        <w:rPr>
          <w:rFonts w:ascii="Times New Roman" w:hAnsi="Times New Roman" w:cs="Times New Roman"/>
          <w:sz w:val="24"/>
          <w:szCs w:val="24"/>
        </w:rPr>
        <w:t xml:space="preserve">REN requests that this Tier 2 advice filing become effective on regular notice, October </w:t>
      </w:r>
      <w:r w:rsidR="00B8175F">
        <w:rPr>
          <w:rFonts w:ascii="Times New Roman" w:hAnsi="Times New Roman" w:cs="Times New Roman"/>
          <w:sz w:val="24"/>
          <w:szCs w:val="24"/>
        </w:rPr>
        <w:t>2</w:t>
      </w:r>
      <w:r w:rsidR="004F46C8" w:rsidRPr="00A60B21">
        <w:rPr>
          <w:rFonts w:ascii="Times New Roman" w:hAnsi="Times New Roman" w:cs="Times New Roman"/>
          <w:sz w:val="24"/>
          <w:szCs w:val="24"/>
        </w:rPr>
        <w:t>, 201</w:t>
      </w:r>
      <w:r w:rsidR="005A1608" w:rsidRPr="00A60B21">
        <w:rPr>
          <w:rFonts w:ascii="Times New Roman" w:hAnsi="Times New Roman" w:cs="Times New Roman"/>
          <w:sz w:val="24"/>
          <w:szCs w:val="24"/>
        </w:rPr>
        <w:t>8</w:t>
      </w:r>
      <w:r w:rsidR="004F46C8" w:rsidRPr="00A60B21">
        <w:rPr>
          <w:rFonts w:ascii="Times New Roman" w:hAnsi="Times New Roman" w:cs="Times New Roman"/>
          <w:sz w:val="24"/>
          <w:szCs w:val="24"/>
        </w:rPr>
        <w:t>, which is 30 calendar days from the date of this filing.</w:t>
      </w:r>
    </w:p>
    <w:p w14:paraId="05CB79CF" w14:textId="77777777" w:rsidR="004F46C8" w:rsidRPr="004C560E" w:rsidRDefault="004F46C8" w:rsidP="00BB1058">
      <w:pPr>
        <w:rPr>
          <w:rFonts w:ascii="Times New Roman" w:hAnsi="Times New Roman" w:cs="Times New Roman"/>
          <w:b/>
          <w:sz w:val="24"/>
          <w:szCs w:val="24"/>
        </w:rPr>
      </w:pPr>
      <w:r w:rsidRPr="004C560E">
        <w:rPr>
          <w:rFonts w:ascii="Times New Roman" w:hAnsi="Times New Roman" w:cs="Times New Roman"/>
          <w:b/>
          <w:sz w:val="24"/>
          <w:szCs w:val="24"/>
        </w:rPr>
        <w:t>Notice</w:t>
      </w:r>
    </w:p>
    <w:p w14:paraId="6A0CB384" w14:textId="30E71D83" w:rsidR="004F46C8" w:rsidRPr="00A60B21" w:rsidRDefault="004F46C8" w:rsidP="00BB1058">
      <w:pPr>
        <w:rPr>
          <w:rFonts w:ascii="Times New Roman" w:hAnsi="Times New Roman" w:cs="Times New Roman"/>
          <w:sz w:val="24"/>
          <w:szCs w:val="24"/>
        </w:rPr>
      </w:pPr>
      <w:r w:rsidRPr="004C560E">
        <w:rPr>
          <w:rFonts w:ascii="Times New Roman" w:hAnsi="Times New Roman" w:cs="Times New Roman"/>
          <w:sz w:val="24"/>
          <w:szCs w:val="24"/>
        </w:rPr>
        <w:t>In accordance with General Order 96-B, Section IV, a copy of this advice letter is being sent electronically and via U.S. mail to service list for R.13-11-005</w:t>
      </w:r>
      <w:r w:rsidR="00B8175F" w:rsidRPr="004C560E">
        <w:rPr>
          <w:rFonts w:ascii="Times New Roman" w:hAnsi="Times New Roman" w:cs="Times New Roman"/>
          <w:sz w:val="24"/>
          <w:szCs w:val="24"/>
        </w:rPr>
        <w:t xml:space="preserve"> and A17-01-013</w:t>
      </w:r>
      <w:r w:rsidRPr="004C560E">
        <w:rPr>
          <w:rFonts w:ascii="Times New Roman" w:hAnsi="Times New Roman" w:cs="Times New Roman"/>
          <w:sz w:val="24"/>
          <w:szCs w:val="24"/>
        </w:rPr>
        <w:t xml:space="preserve">.  Address changes to the General Order 96-B service list should be directed to </w:t>
      </w:r>
      <w:r w:rsidR="00AE3B9C" w:rsidRPr="004C560E">
        <w:rPr>
          <w:rFonts w:ascii="Times New Roman" w:hAnsi="Times New Roman" w:cs="Times New Roman"/>
          <w:sz w:val="24"/>
          <w:szCs w:val="24"/>
        </w:rPr>
        <w:t>Alejandra Tellez</w:t>
      </w:r>
      <w:r w:rsidRPr="004C560E">
        <w:rPr>
          <w:rFonts w:ascii="Times New Roman" w:hAnsi="Times New Roman" w:cs="Times New Roman"/>
          <w:sz w:val="24"/>
          <w:szCs w:val="24"/>
        </w:rPr>
        <w:t xml:space="preserve"> at</w:t>
      </w:r>
      <w:r w:rsidR="00AE3B9C" w:rsidRPr="004C560E">
        <w:rPr>
          <w:rFonts w:ascii="Times New Roman" w:hAnsi="Times New Roman" w:cs="Times New Roman"/>
          <w:sz w:val="24"/>
          <w:szCs w:val="24"/>
        </w:rPr>
        <w:t xml:space="preserve"> Alejandra.tellez@ventura.org</w:t>
      </w:r>
      <w:r w:rsidRPr="004C560E">
        <w:rPr>
          <w:rFonts w:ascii="Times New Roman" w:hAnsi="Times New Roman" w:cs="Times New Roman"/>
          <w:sz w:val="24"/>
          <w:szCs w:val="24"/>
        </w:rPr>
        <w:t xml:space="preserve"> or by calling </w:t>
      </w:r>
      <w:r w:rsidR="00AE3B9C" w:rsidRPr="004C560E">
        <w:rPr>
          <w:rFonts w:ascii="Times New Roman" w:hAnsi="Times New Roman" w:cs="Times New Roman"/>
          <w:sz w:val="24"/>
          <w:szCs w:val="24"/>
        </w:rPr>
        <w:t>805-654-3874</w:t>
      </w:r>
      <w:r w:rsidRPr="004C560E">
        <w:rPr>
          <w:rFonts w:ascii="Times New Roman" w:hAnsi="Times New Roman" w:cs="Times New Roman"/>
          <w:sz w:val="24"/>
          <w:szCs w:val="24"/>
        </w:rPr>
        <w:t>.</w:t>
      </w:r>
      <w:r w:rsidR="007A6D56">
        <w:rPr>
          <w:rFonts w:ascii="Times New Roman" w:hAnsi="Times New Roman" w:cs="Times New Roman"/>
          <w:sz w:val="24"/>
          <w:szCs w:val="24"/>
        </w:rPr>
        <w:t xml:space="preserve"> </w:t>
      </w:r>
      <w:r w:rsidR="007A6D56" w:rsidRPr="007A6D56">
        <w:rPr>
          <w:rFonts w:ascii="Times New Roman" w:hAnsi="Times New Roman" w:cs="Times New Roman"/>
          <w:sz w:val="24"/>
          <w:szCs w:val="24"/>
        </w:rPr>
        <w:t>For changes to all other service lists, please contact the Commission’s Process Office at 415-703-2021 or by electronic mail at Process_Office@cpuc.ca.gov.</w:t>
      </w:r>
    </w:p>
    <w:p w14:paraId="6B601A2F" w14:textId="2D18995F" w:rsidR="004F46C8" w:rsidRPr="00A60B21" w:rsidRDefault="00EF2CBF" w:rsidP="00EF2CBF">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4F46C8" w:rsidRPr="00A60B21">
        <w:rPr>
          <w:rFonts w:ascii="Times New Roman" w:hAnsi="Times New Roman" w:cs="Times New Roman"/>
          <w:color w:val="auto"/>
        </w:rPr>
        <w:t>__________________</w:t>
      </w:r>
      <w:r>
        <w:rPr>
          <w:rFonts w:ascii="Times New Roman" w:hAnsi="Times New Roman" w:cs="Times New Roman"/>
          <w:color w:val="auto"/>
        </w:rPr>
        <w:t>___</w:t>
      </w:r>
      <w:r w:rsidR="004F46C8" w:rsidRPr="00A60B21">
        <w:rPr>
          <w:rFonts w:ascii="Times New Roman" w:hAnsi="Times New Roman" w:cs="Times New Roman"/>
          <w:color w:val="auto"/>
        </w:rPr>
        <w:t>___</w:t>
      </w:r>
    </w:p>
    <w:p w14:paraId="6517849B" w14:textId="6C9C7C14" w:rsidR="00EF2CBF" w:rsidRPr="006F054B" w:rsidRDefault="00EF2CBF" w:rsidP="00EF2CBF">
      <w:pPr>
        <w:widowControl w:val="0"/>
        <w:tabs>
          <w:tab w:val="left" w:pos="5319"/>
          <w:tab w:val="left" w:pos="8739"/>
        </w:tabs>
        <w:autoSpaceDE w:val="0"/>
        <w:autoSpaceDN w:val="0"/>
        <w:spacing w:before="232" w:after="0"/>
        <w:ind w:left="4980" w:right="838" w:hanging="660"/>
        <w:jc w:val="both"/>
        <w:rPr>
          <w:rFonts w:ascii="Times New Roman" w:hAnsi="Times New Roman" w:cs="Times New Roman"/>
          <w:sz w:val="24"/>
          <w:szCs w:val="24"/>
        </w:rPr>
      </w:pPr>
      <w:r w:rsidRPr="006F054B">
        <w:rPr>
          <w:rFonts w:ascii="Times New Roman" w:hAnsi="Times New Roman" w:cs="Times New Roman"/>
          <w:sz w:val="24"/>
          <w:szCs w:val="24"/>
        </w:rPr>
        <w:t>ALEJANDRA TELLEZ</w:t>
      </w:r>
      <w:r>
        <w:rPr>
          <w:rFonts w:ascii="Times New Roman" w:hAnsi="Times New Roman" w:cs="Times New Roman"/>
          <w:sz w:val="24"/>
          <w:szCs w:val="24"/>
        </w:rPr>
        <w:t xml:space="preserve">, </w:t>
      </w:r>
    </w:p>
    <w:p w14:paraId="51C4CA42" w14:textId="77777777" w:rsidR="004C560E" w:rsidRDefault="004C560E" w:rsidP="00EF2CBF">
      <w:pPr>
        <w:pStyle w:val="BodyText"/>
        <w:ind w:left="4320"/>
        <w:jc w:val="both"/>
      </w:pPr>
      <w:r>
        <w:t xml:space="preserve">Program </w:t>
      </w:r>
      <w:r w:rsidR="00EF2CBF" w:rsidRPr="006F054B">
        <w:t>Management Analyst</w:t>
      </w:r>
      <w:r w:rsidR="00EF2CBF">
        <w:t xml:space="preserve">, </w:t>
      </w:r>
    </w:p>
    <w:p w14:paraId="0C4991E0" w14:textId="10BCD23B" w:rsidR="00EF2CBF" w:rsidRPr="006F054B" w:rsidRDefault="00EF2CBF" w:rsidP="00EF2CBF">
      <w:pPr>
        <w:pStyle w:val="BodyText"/>
        <w:ind w:left="4320"/>
        <w:jc w:val="both"/>
      </w:pPr>
      <w:r>
        <w:t>County Executive Office</w:t>
      </w:r>
      <w:r w:rsidR="004C560E">
        <w:t xml:space="preserve">, </w:t>
      </w:r>
      <w:r w:rsidRPr="006F054B">
        <w:t>County of Ventura</w:t>
      </w:r>
    </w:p>
    <w:p w14:paraId="7D6DE70F" w14:textId="77777777" w:rsidR="00EF2CBF" w:rsidRPr="004C560E" w:rsidRDefault="00EF2CBF" w:rsidP="00EF2CBF">
      <w:pPr>
        <w:pStyle w:val="BodyText"/>
        <w:ind w:left="4320"/>
        <w:jc w:val="both"/>
      </w:pPr>
      <w:r w:rsidRPr="004C560E">
        <w:t>800 S. Victoria Avenue, L#1940, Ventura, CA 93009</w:t>
      </w:r>
    </w:p>
    <w:p w14:paraId="7C461C7D" w14:textId="77777777" w:rsidR="00EF2CBF" w:rsidRPr="006F054B" w:rsidRDefault="00EF2CBF" w:rsidP="00EF2CBF">
      <w:pPr>
        <w:pStyle w:val="BodyText"/>
        <w:ind w:left="4320"/>
        <w:jc w:val="both"/>
      </w:pPr>
      <w:r w:rsidRPr="006F054B">
        <w:t>Tel: 805-654-3835</w:t>
      </w:r>
    </w:p>
    <w:p w14:paraId="28BFD2EF" w14:textId="77777777" w:rsidR="00EF2CBF" w:rsidRDefault="00EF2CBF" w:rsidP="00EF2CBF">
      <w:pPr>
        <w:pStyle w:val="BodyText"/>
        <w:ind w:left="4320"/>
        <w:jc w:val="both"/>
        <w:rPr>
          <w:rStyle w:val="Hyperlink"/>
        </w:rPr>
      </w:pPr>
      <w:r w:rsidRPr="006F054B">
        <w:t xml:space="preserve">E-mail: </w:t>
      </w:r>
      <w:hyperlink r:id="rId13" w:history="1">
        <w:r w:rsidRPr="006F054B">
          <w:rPr>
            <w:rStyle w:val="Hyperlink"/>
          </w:rPr>
          <w:t>Alejandra.Tellez@ventura.org</w:t>
        </w:r>
      </w:hyperlink>
    </w:p>
    <w:p w14:paraId="47116A79" w14:textId="77777777" w:rsidR="004C560E" w:rsidRDefault="004C560E" w:rsidP="00EF2CBF">
      <w:pPr>
        <w:pStyle w:val="BodyText"/>
        <w:ind w:left="4320"/>
        <w:jc w:val="both"/>
        <w:rPr>
          <w:sz w:val="22"/>
        </w:rPr>
      </w:pPr>
    </w:p>
    <w:p w14:paraId="7DBC0630" w14:textId="029FC9E8" w:rsidR="00EF2CBF" w:rsidRPr="00EF2CBF" w:rsidRDefault="00EF2CBF" w:rsidP="00EF2CBF">
      <w:pPr>
        <w:pStyle w:val="BodyText"/>
        <w:ind w:left="4320"/>
        <w:jc w:val="both"/>
        <w:rPr>
          <w:sz w:val="22"/>
        </w:rPr>
      </w:pPr>
      <w:r w:rsidRPr="00EF2CBF">
        <w:rPr>
          <w:sz w:val="22"/>
        </w:rPr>
        <w:t xml:space="preserve">For the 3C-REN, Tri-County Regional Energy Network </w:t>
      </w:r>
    </w:p>
    <w:p w14:paraId="31465B98" w14:textId="77777777" w:rsidR="00EF2CBF" w:rsidRPr="00EF2CBF" w:rsidRDefault="00EF2CBF" w:rsidP="00EF2CBF">
      <w:pPr>
        <w:pStyle w:val="BodyText"/>
        <w:ind w:left="4320"/>
        <w:jc w:val="both"/>
        <w:rPr>
          <w:sz w:val="22"/>
        </w:rPr>
      </w:pPr>
      <w:r w:rsidRPr="00EF2CBF">
        <w:rPr>
          <w:sz w:val="22"/>
        </w:rPr>
        <w:t>San Luis Obispo County, Santa Barbara County and Ventura County</w:t>
      </w:r>
    </w:p>
    <w:p w14:paraId="1300FA9C" w14:textId="5F30902A" w:rsidR="004F46C8" w:rsidRPr="00A60B21" w:rsidRDefault="004F46C8" w:rsidP="00EF2CBF">
      <w:pPr>
        <w:pStyle w:val="Default"/>
        <w:ind w:left="3660"/>
        <w:rPr>
          <w:rFonts w:ascii="Times New Roman" w:hAnsi="Times New Roman" w:cs="Times New Roman"/>
          <w:color w:val="auto"/>
        </w:rPr>
      </w:pPr>
    </w:p>
    <w:p w14:paraId="7BBDDB81" w14:textId="50A7257B" w:rsidR="004F46C8" w:rsidRPr="00A60B21" w:rsidRDefault="004F46C8" w:rsidP="004C560E">
      <w:pPr>
        <w:rPr>
          <w:rFonts w:ascii="Times New Roman" w:hAnsi="Times New Roman" w:cs="Times New Roman"/>
          <w:sz w:val="24"/>
          <w:szCs w:val="24"/>
        </w:rPr>
      </w:pPr>
      <w:r w:rsidRPr="00A60B21">
        <w:rPr>
          <w:rFonts w:ascii="Times New Roman" w:hAnsi="Times New Roman" w:cs="Times New Roman"/>
          <w:sz w:val="24"/>
          <w:szCs w:val="24"/>
        </w:rPr>
        <w:t>Attachment:</w:t>
      </w:r>
      <w:r w:rsidR="004C560E">
        <w:rPr>
          <w:rFonts w:ascii="Times New Roman" w:hAnsi="Times New Roman" w:cs="Times New Roman"/>
          <w:sz w:val="24"/>
          <w:szCs w:val="24"/>
        </w:rPr>
        <w:t xml:space="preserve"> </w:t>
      </w:r>
      <w:r w:rsidRPr="00A60B21">
        <w:rPr>
          <w:rFonts w:ascii="Times New Roman" w:hAnsi="Times New Roman" w:cs="Times New Roman"/>
          <w:sz w:val="24"/>
          <w:szCs w:val="24"/>
        </w:rPr>
        <w:t xml:space="preserve">CEDARS Filing Submission </w:t>
      </w:r>
      <w:r w:rsidR="000A0A9D" w:rsidRPr="00A60B21">
        <w:rPr>
          <w:rFonts w:ascii="Times New Roman" w:hAnsi="Times New Roman" w:cs="Times New Roman"/>
          <w:sz w:val="24"/>
          <w:szCs w:val="24"/>
        </w:rPr>
        <w:t>Receipt</w:t>
      </w:r>
      <w:bookmarkStart w:id="0" w:name="_GoBack"/>
      <w:bookmarkEnd w:id="0"/>
      <w:r w:rsidRPr="00A60B21">
        <w:rPr>
          <w:rFonts w:ascii="Times New Roman" w:hAnsi="Times New Roman" w:cs="Times New Roman"/>
          <w:sz w:val="24"/>
          <w:szCs w:val="24"/>
        </w:rPr>
        <w:br w:type="page"/>
      </w:r>
    </w:p>
    <w:p w14:paraId="3D9ADC93" w14:textId="77777777" w:rsidR="004F46C8" w:rsidRPr="00A60B21" w:rsidRDefault="004F46C8" w:rsidP="004F46C8">
      <w:pPr>
        <w:rPr>
          <w:rFonts w:ascii="Times New Roman" w:hAnsi="Times New Roman" w:cs="Times New Roman"/>
          <w:b/>
          <w:sz w:val="24"/>
          <w:szCs w:val="24"/>
        </w:rPr>
      </w:pPr>
    </w:p>
    <w:p w14:paraId="790CBEDA" w14:textId="77777777" w:rsidR="004F46C8" w:rsidRPr="00A60B21" w:rsidRDefault="004F46C8" w:rsidP="004F46C8">
      <w:pPr>
        <w:rPr>
          <w:rFonts w:ascii="Times New Roman" w:hAnsi="Times New Roman" w:cs="Times New Roman"/>
          <w:b/>
          <w:sz w:val="24"/>
          <w:szCs w:val="24"/>
        </w:rPr>
      </w:pPr>
    </w:p>
    <w:p w14:paraId="7902AE06" w14:textId="77777777" w:rsidR="004F46C8" w:rsidRPr="00A60B21" w:rsidRDefault="004F46C8" w:rsidP="004F46C8">
      <w:pPr>
        <w:rPr>
          <w:rFonts w:ascii="Times New Roman" w:hAnsi="Times New Roman" w:cs="Times New Roman"/>
          <w:b/>
          <w:sz w:val="24"/>
          <w:szCs w:val="24"/>
        </w:rPr>
      </w:pPr>
    </w:p>
    <w:p w14:paraId="76DB0DB1" w14:textId="77777777" w:rsidR="004F46C8" w:rsidRPr="00A60B21" w:rsidRDefault="004F46C8" w:rsidP="004F46C8">
      <w:pPr>
        <w:rPr>
          <w:rFonts w:ascii="Times New Roman" w:hAnsi="Times New Roman" w:cs="Times New Roman"/>
          <w:b/>
          <w:sz w:val="24"/>
          <w:szCs w:val="24"/>
        </w:rPr>
      </w:pPr>
    </w:p>
    <w:p w14:paraId="4CA946B2" w14:textId="77777777" w:rsidR="004F46C8" w:rsidRPr="00A60B21" w:rsidRDefault="004F46C8" w:rsidP="004F46C8">
      <w:pPr>
        <w:rPr>
          <w:rFonts w:ascii="Times New Roman" w:hAnsi="Times New Roman" w:cs="Times New Roman"/>
          <w:b/>
          <w:sz w:val="24"/>
          <w:szCs w:val="24"/>
        </w:rPr>
      </w:pPr>
    </w:p>
    <w:p w14:paraId="1509FD33" w14:textId="77777777" w:rsidR="004F46C8" w:rsidRPr="00A60B21" w:rsidRDefault="004F46C8" w:rsidP="004F46C8">
      <w:pPr>
        <w:rPr>
          <w:rFonts w:ascii="Times New Roman" w:hAnsi="Times New Roman" w:cs="Times New Roman"/>
          <w:b/>
          <w:sz w:val="24"/>
          <w:szCs w:val="24"/>
        </w:rPr>
      </w:pPr>
    </w:p>
    <w:p w14:paraId="3B433B89" w14:textId="77777777" w:rsidR="004F46C8" w:rsidRPr="00A60B21" w:rsidRDefault="004F46C8" w:rsidP="004F46C8">
      <w:pPr>
        <w:rPr>
          <w:rFonts w:ascii="Times New Roman" w:hAnsi="Times New Roman" w:cs="Times New Roman"/>
          <w:b/>
          <w:sz w:val="24"/>
          <w:szCs w:val="24"/>
        </w:rPr>
      </w:pPr>
    </w:p>
    <w:p w14:paraId="1D4FBE7A" w14:textId="77777777" w:rsidR="004F46C8" w:rsidRPr="00A60B21" w:rsidRDefault="004F46C8" w:rsidP="004F46C8">
      <w:pPr>
        <w:rPr>
          <w:rFonts w:ascii="Times New Roman" w:hAnsi="Times New Roman" w:cs="Times New Roman"/>
          <w:b/>
          <w:sz w:val="24"/>
          <w:szCs w:val="24"/>
        </w:rPr>
      </w:pPr>
    </w:p>
    <w:p w14:paraId="174B21A5" w14:textId="77777777" w:rsidR="004F46C8" w:rsidRPr="00A60B21" w:rsidRDefault="004F46C8" w:rsidP="004F46C8">
      <w:pPr>
        <w:rPr>
          <w:rFonts w:ascii="Times New Roman" w:hAnsi="Times New Roman" w:cs="Times New Roman"/>
          <w:b/>
          <w:sz w:val="24"/>
          <w:szCs w:val="24"/>
        </w:rPr>
      </w:pPr>
    </w:p>
    <w:p w14:paraId="385669D2" w14:textId="77777777" w:rsidR="004F46C8" w:rsidRPr="00A60B21" w:rsidRDefault="004F46C8" w:rsidP="004F46C8">
      <w:pPr>
        <w:jc w:val="center"/>
        <w:rPr>
          <w:rFonts w:ascii="Times New Roman" w:hAnsi="Times New Roman" w:cs="Times New Roman"/>
          <w:b/>
          <w:sz w:val="24"/>
          <w:szCs w:val="24"/>
        </w:rPr>
      </w:pPr>
    </w:p>
    <w:p w14:paraId="66265D93" w14:textId="77777777" w:rsidR="004F46C8" w:rsidRPr="00A60B21" w:rsidRDefault="004F46C8" w:rsidP="004F46C8">
      <w:pPr>
        <w:jc w:val="center"/>
        <w:rPr>
          <w:rFonts w:ascii="Times New Roman" w:hAnsi="Times New Roman" w:cs="Times New Roman"/>
          <w:b/>
          <w:sz w:val="24"/>
          <w:szCs w:val="24"/>
        </w:rPr>
      </w:pPr>
    </w:p>
    <w:p w14:paraId="68E0CAC2" w14:textId="77777777" w:rsidR="004F46C8" w:rsidRPr="00A60B21" w:rsidRDefault="004F46C8" w:rsidP="004F46C8">
      <w:pPr>
        <w:jc w:val="center"/>
        <w:rPr>
          <w:rFonts w:ascii="Times New Roman" w:hAnsi="Times New Roman" w:cs="Times New Roman"/>
          <w:b/>
          <w:sz w:val="24"/>
          <w:szCs w:val="24"/>
        </w:rPr>
      </w:pPr>
    </w:p>
    <w:p w14:paraId="12CF6612" w14:textId="57BB4F9C" w:rsidR="004F46C8" w:rsidRPr="00A60B21" w:rsidRDefault="00EF2CBF" w:rsidP="004F46C8">
      <w:pPr>
        <w:jc w:val="center"/>
        <w:rPr>
          <w:rFonts w:ascii="Times New Roman" w:hAnsi="Times New Roman" w:cs="Times New Roman"/>
          <w:b/>
          <w:sz w:val="24"/>
          <w:szCs w:val="24"/>
        </w:rPr>
      </w:pPr>
      <w:r>
        <w:rPr>
          <w:rFonts w:ascii="Times New Roman" w:hAnsi="Times New Roman" w:cs="Times New Roman"/>
          <w:b/>
          <w:sz w:val="24"/>
          <w:szCs w:val="24"/>
        </w:rPr>
        <w:t>ATTACHMENT TO 3C-</w:t>
      </w:r>
      <w:r w:rsidR="004F46C8" w:rsidRPr="00A60B21">
        <w:rPr>
          <w:rFonts w:ascii="Times New Roman" w:hAnsi="Times New Roman" w:cs="Times New Roman"/>
          <w:b/>
          <w:sz w:val="24"/>
          <w:szCs w:val="24"/>
        </w:rPr>
        <w:t>REN A</w:t>
      </w:r>
      <w:r>
        <w:rPr>
          <w:rFonts w:ascii="Times New Roman" w:hAnsi="Times New Roman" w:cs="Times New Roman"/>
          <w:b/>
          <w:sz w:val="24"/>
          <w:szCs w:val="24"/>
        </w:rPr>
        <w:t>BA</w:t>
      </w:r>
      <w:r w:rsidR="004F46C8" w:rsidRPr="00A60B21">
        <w:rPr>
          <w:rFonts w:ascii="Times New Roman" w:hAnsi="Times New Roman" w:cs="Times New Roman"/>
          <w:b/>
          <w:sz w:val="24"/>
          <w:szCs w:val="24"/>
        </w:rPr>
        <w:t>L</w:t>
      </w:r>
    </w:p>
    <w:p w14:paraId="398B821A" w14:textId="77777777" w:rsidR="004F46C8" w:rsidRPr="00A60B21" w:rsidRDefault="004F46C8" w:rsidP="004F46C8">
      <w:pPr>
        <w:rPr>
          <w:rFonts w:ascii="Times New Roman" w:hAnsi="Times New Roman" w:cs="Times New Roman"/>
          <w:sz w:val="24"/>
          <w:szCs w:val="24"/>
        </w:rPr>
      </w:pPr>
    </w:p>
    <w:p w14:paraId="380AF6D0" w14:textId="77777777" w:rsidR="004F46C8" w:rsidRPr="00A60B21" w:rsidRDefault="004F46C8" w:rsidP="004F46C8">
      <w:pPr>
        <w:rPr>
          <w:rFonts w:ascii="Times New Roman" w:hAnsi="Times New Roman" w:cs="Times New Roman"/>
          <w:sz w:val="24"/>
          <w:szCs w:val="24"/>
        </w:rPr>
      </w:pPr>
    </w:p>
    <w:sectPr w:rsidR="004F46C8" w:rsidRPr="00A60B21" w:rsidSect="000F7C4C">
      <w:headerReference w:type="even" r:id="rId14"/>
      <w:headerReference w:type="default" r:id="rId15"/>
      <w:footerReference w:type="default" r:id="rId16"/>
      <w:headerReference w:type="first" r:id="rId17"/>
      <w:footerReference w:type="first" r:id="rId18"/>
      <w:pgSz w:w="12240" w:h="15840"/>
      <w:pgMar w:top="188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558C" w14:textId="77777777" w:rsidR="00E94529" w:rsidRDefault="00E94529" w:rsidP="006B09F8">
      <w:r>
        <w:separator/>
      </w:r>
    </w:p>
  </w:endnote>
  <w:endnote w:type="continuationSeparator" w:id="0">
    <w:p w14:paraId="3C244074" w14:textId="77777777" w:rsidR="00E94529" w:rsidRDefault="00E94529" w:rsidP="006B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579935093"/>
      <w:docPartObj>
        <w:docPartGallery w:val="Page Numbers (Top of Page)"/>
        <w:docPartUnique/>
      </w:docPartObj>
    </w:sdtPr>
    <w:sdtEndPr/>
    <w:sdtContent>
      <w:p w14:paraId="5BF5CFE9" w14:textId="39936597" w:rsidR="007A488A" w:rsidRPr="007A488A" w:rsidRDefault="007A488A">
        <w:pPr>
          <w:pStyle w:val="Footer"/>
          <w:rPr>
            <w:rFonts w:asciiTheme="majorHAnsi" w:hAnsiTheme="majorHAnsi" w:cstheme="majorHAnsi"/>
            <w:sz w:val="18"/>
          </w:rPr>
        </w:pPr>
        <w:r w:rsidRPr="007A488A">
          <w:rPr>
            <w:rFonts w:asciiTheme="majorHAnsi" w:hAnsiTheme="majorHAnsi" w:cstheme="majorHAnsi"/>
            <w:b/>
            <w:sz w:val="18"/>
          </w:rPr>
          <w:t>3C-REN ABAL 2019</w:t>
        </w:r>
        <w:r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Pr>
            <w:rFonts w:asciiTheme="majorHAnsi" w:hAnsiTheme="majorHAnsi" w:cstheme="majorHAnsi"/>
            <w:bCs/>
            <w:sz w:val="18"/>
          </w:rPr>
          <w:t>1</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Pr>
            <w:rFonts w:asciiTheme="majorHAnsi" w:hAnsiTheme="majorHAnsi" w:cstheme="majorHAnsi"/>
            <w:bCs/>
            <w:sz w:val="18"/>
          </w:rPr>
          <w:t>9</w:t>
        </w:r>
        <w:r w:rsidRPr="007A488A">
          <w:rPr>
            <w:rFonts w:asciiTheme="majorHAnsi" w:hAnsiTheme="majorHAnsi" w:cstheme="majorHAnsi"/>
            <w:bCs/>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rPr>
      <w:id w:val="1217168417"/>
      <w:docPartObj>
        <w:docPartGallery w:val="Page Numbers (Bottom of Page)"/>
        <w:docPartUnique/>
      </w:docPartObj>
    </w:sdtPr>
    <w:sdtEndPr/>
    <w:sdtContent>
      <w:sdt>
        <w:sdtPr>
          <w:rPr>
            <w:rFonts w:asciiTheme="majorHAnsi" w:hAnsiTheme="majorHAnsi" w:cstheme="majorHAnsi"/>
            <w:sz w:val="18"/>
          </w:rPr>
          <w:id w:val="1240372012"/>
          <w:docPartObj>
            <w:docPartGallery w:val="Page Numbers (Top of Page)"/>
            <w:docPartUnique/>
          </w:docPartObj>
        </w:sdtPr>
        <w:sdtEndPr/>
        <w:sdtContent>
          <w:p w14:paraId="1EC013BE" w14:textId="498D153E" w:rsidR="00E77C19" w:rsidRPr="007A488A" w:rsidRDefault="007A488A" w:rsidP="007A488A">
            <w:pPr>
              <w:pStyle w:val="Footer"/>
              <w:rPr>
                <w:rFonts w:asciiTheme="majorHAnsi" w:hAnsiTheme="majorHAnsi" w:cstheme="majorHAnsi"/>
                <w:sz w:val="18"/>
              </w:rPr>
            </w:pPr>
            <w:r w:rsidRPr="007A488A">
              <w:rPr>
                <w:rFonts w:asciiTheme="majorHAnsi" w:hAnsiTheme="majorHAnsi" w:cstheme="majorHAnsi"/>
                <w:b/>
                <w:sz w:val="18"/>
              </w:rPr>
              <w:t>3C-REN ABAL 2019</w:t>
            </w:r>
            <w:r w:rsidRPr="007A488A">
              <w:rPr>
                <w:rFonts w:asciiTheme="majorHAnsi" w:hAnsiTheme="majorHAnsi" w:cstheme="majorHAnsi"/>
                <w:sz w:val="18"/>
              </w:rPr>
              <w:t xml:space="preserve"> </w:t>
            </w:r>
            <w:r w:rsidRPr="007A488A">
              <w:rPr>
                <w:rFonts w:asciiTheme="majorHAnsi" w:hAnsiTheme="majorHAnsi" w:cstheme="majorHAnsi"/>
                <w:sz w:val="18"/>
              </w:rPr>
              <w:tab/>
              <w:t xml:space="preserve">www.ventura.org/environment/energy-efficiency </w:t>
            </w:r>
            <w:r w:rsidRPr="007A488A">
              <w:rPr>
                <w:rFonts w:asciiTheme="majorHAnsi" w:hAnsiTheme="majorHAnsi" w:cstheme="majorHAnsi"/>
                <w:sz w:val="18"/>
              </w:rPr>
              <w:tab/>
              <w:t xml:space="preserve">Page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PAGE </w:instrText>
            </w:r>
            <w:r w:rsidRPr="007A488A">
              <w:rPr>
                <w:rFonts w:asciiTheme="majorHAnsi" w:hAnsiTheme="majorHAnsi" w:cstheme="majorHAnsi"/>
                <w:bCs/>
                <w:sz w:val="18"/>
              </w:rPr>
              <w:fldChar w:fldCharType="separate"/>
            </w:r>
            <w:r w:rsidRPr="007A488A">
              <w:rPr>
                <w:rFonts w:asciiTheme="majorHAnsi" w:hAnsiTheme="majorHAnsi" w:cstheme="majorHAnsi"/>
                <w:bCs/>
                <w:noProof/>
                <w:sz w:val="18"/>
              </w:rPr>
              <w:t>2</w:t>
            </w:r>
            <w:r w:rsidRPr="007A488A">
              <w:rPr>
                <w:rFonts w:asciiTheme="majorHAnsi" w:hAnsiTheme="majorHAnsi" w:cstheme="majorHAnsi"/>
                <w:bCs/>
                <w:sz w:val="18"/>
              </w:rPr>
              <w:fldChar w:fldCharType="end"/>
            </w:r>
            <w:r w:rsidRPr="007A488A">
              <w:rPr>
                <w:rFonts w:asciiTheme="majorHAnsi" w:hAnsiTheme="majorHAnsi" w:cstheme="majorHAnsi"/>
                <w:sz w:val="18"/>
              </w:rPr>
              <w:t xml:space="preserve"> of </w:t>
            </w:r>
            <w:r w:rsidRPr="007A488A">
              <w:rPr>
                <w:rFonts w:asciiTheme="majorHAnsi" w:hAnsiTheme="majorHAnsi" w:cstheme="majorHAnsi"/>
                <w:bCs/>
                <w:sz w:val="18"/>
              </w:rPr>
              <w:fldChar w:fldCharType="begin"/>
            </w:r>
            <w:r w:rsidRPr="007A488A">
              <w:rPr>
                <w:rFonts w:asciiTheme="majorHAnsi" w:hAnsiTheme="majorHAnsi" w:cstheme="majorHAnsi"/>
                <w:bCs/>
                <w:sz w:val="18"/>
              </w:rPr>
              <w:instrText xml:space="preserve"> NUMPAGES  </w:instrText>
            </w:r>
            <w:r w:rsidRPr="007A488A">
              <w:rPr>
                <w:rFonts w:asciiTheme="majorHAnsi" w:hAnsiTheme="majorHAnsi" w:cstheme="majorHAnsi"/>
                <w:bCs/>
                <w:sz w:val="18"/>
              </w:rPr>
              <w:fldChar w:fldCharType="separate"/>
            </w:r>
            <w:r w:rsidRPr="007A488A">
              <w:rPr>
                <w:rFonts w:asciiTheme="majorHAnsi" w:hAnsiTheme="majorHAnsi" w:cstheme="majorHAnsi"/>
                <w:bCs/>
                <w:noProof/>
                <w:sz w:val="18"/>
              </w:rPr>
              <w:t>2</w:t>
            </w:r>
            <w:r w:rsidRPr="007A488A">
              <w:rPr>
                <w:rFonts w:asciiTheme="majorHAnsi" w:hAnsiTheme="majorHAnsi" w:cstheme="majorHAnsi"/>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0763" w14:textId="77777777" w:rsidR="00E94529" w:rsidRDefault="00E94529" w:rsidP="006B09F8">
      <w:r>
        <w:separator/>
      </w:r>
    </w:p>
  </w:footnote>
  <w:footnote w:type="continuationSeparator" w:id="0">
    <w:p w14:paraId="0A15A771" w14:textId="77777777" w:rsidR="00E94529" w:rsidRDefault="00E94529" w:rsidP="006B09F8">
      <w:r>
        <w:continuationSeparator/>
      </w:r>
    </w:p>
  </w:footnote>
  <w:footnote w:id="1">
    <w:p w14:paraId="78376DCB" w14:textId="055081E7" w:rsidR="00E475CC" w:rsidRDefault="00E475CC">
      <w:pPr>
        <w:pStyle w:val="FootnoteText"/>
      </w:pPr>
      <w:r>
        <w:rPr>
          <w:rStyle w:val="FootnoteReference"/>
        </w:rPr>
        <w:footnoteRef/>
      </w:r>
      <w:r>
        <w:t xml:space="preserve"> </w:t>
      </w:r>
      <w:r w:rsidR="00B32326">
        <w:t xml:space="preserve">See </w:t>
      </w:r>
      <w:r>
        <w:t xml:space="preserve">D. </w:t>
      </w:r>
      <w:r w:rsidRPr="00E475CC">
        <w:t>18-05-041</w:t>
      </w:r>
      <w:r w:rsidR="00B32326">
        <w:t xml:space="preserve"> page 58.</w:t>
      </w:r>
    </w:p>
  </w:footnote>
  <w:footnote w:id="2">
    <w:p w14:paraId="4E965B70" w14:textId="53104513" w:rsidR="00874389" w:rsidRDefault="00874389">
      <w:pPr>
        <w:pStyle w:val="FootnoteText"/>
      </w:pPr>
      <w:r>
        <w:rPr>
          <w:rStyle w:val="FootnoteReference"/>
        </w:rPr>
        <w:footnoteRef/>
      </w:r>
      <w:r>
        <w:t xml:space="preserve"> </w:t>
      </w:r>
      <w:r w:rsidR="00B32326">
        <w:t xml:space="preserve">See </w:t>
      </w:r>
      <w:r>
        <w:t>D.16-08-019 page 10.</w:t>
      </w:r>
    </w:p>
  </w:footnote>
  <w:footnote w:id="3">
    <w:p w14:paraId="2552335B" w14:textId="2FF0CC49" w:rsidR="00A86586" w:rsidRDefault="00A86586" w:rsidP="00A86586">
      <w:pPr>
        <w:pStyle w:val="FootnoteText"/>
      </w:pPr>
      <w:r>
        <w:rPr>
          <w:rStyle w:val="FootnoteReference"/>
        </w:rPr>
        <w:footnoteRef/>
      </w:r>
      <w:r>
        <w:t xml:space="preserve"> </w:t>
      </w:r>
      <w:r w:rsidR="004A4CEA">
        <w:t>T</w:t>
      </w:r>
      <w:r>
        <w:t>his is a preliminary list of measure types</w:t>
      </w:r>
      <w:r w:rsidR="00270A00">
        <w:t xml:space="preserve">. The </w:t>
      </w:r>
      <w:r>
        <w:t>final measures will be provided in the program Implementation Plan.</w:t>
      </w:r>
    </w:p>
  </w:footnote>
  <w:footnote w:id="4">
    <w:p w14:paraId="19B7F05C" w14:textId="77777777" w:rsidR="00A86586" w:rsidRDefault="00A86586" w:rsidP="00A86586">
      <w:pPr>
        <w:pStyle w:val="FootnoteText"/>
      </w:pPr>
      <w:r>
        <w:rPr>
          <w:rStyle w:val="FootnoteReference"/>
        </w:rPr>
        <w:footnoteRef/>
      </w:r>
      <w:r>
        <w:t xml:space="preserve"> For the purposes of this Joint Cooperation Memo, the IOUs consist of SoCalGas, SCE and PG&amp;E.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2F39" w14:textId="77777777" w:rsidR="00A5465B" w:rsidRDefault="004C560E">
    <w:pPr>
      <w:pStyle w:val="Header"/>
    </w:pPr>
    <w:r>
      <w:rPr>
        <w:noProof/>
      </w:rPr>
      <w:pict w14:anchorId="2D516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2" o:spid="_x0000_s205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7551" w14:textId="77777777" w:rsidR="00A5465B" w:rsidRDefault="004C560E">
    <w:pPr>
      <w:pStyle w:val="Header"/>
    </w:pPr>
    <w:r>
      <w:rPr>
        <w:noProof/>
      </w:rPr>
      <w:pict w14:anchorId="26B4C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3" o:spid="_x0000_s205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111D" w14:textId="77777777" w:rsidR="00E77C19" w:rsidRPr="007A488A" w:rsidRDefault="004C560E" w:rsidP="007A488A">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r>
      <w:rPr>
        <w:noProof/>
      </w:rPr>
      <w:drawing>
        <wp:anchor distT="0" distB="0" distL="114300" distR="114300" simplePos="0" relativeHeight="251665408" behindDoc="1" locked="0" layoutInCell="1" allowOverlap="1" wp14:anchorId="1B15C43D" wp14:editId="536A565B">
          <wp:simplePos x="0" y="0"/>
          <wp:positionH relativeFrom="column">
            <wp:posOffset>-620962</wp:posOffset>
          </wp:positionH>
          <wp:positionV relativeFrom="paragraph">
            <wp:posOffset>24130</wp:posOffset>
          </wp:positionV>
          <wp:extent cx="7223760" cy="60815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 LH Logo_464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3760" cy="608152"/>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004DB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926421" o:spid="_x0000_s2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Open 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2A7A"/>
    <w:multiLevelType w:val="hybridMultilevel"/>
    <w:tmpl w:val="CDF4A42A"/>
    <w:lvl w:ilvl="0" w:tplc="68423188">
      <w:start w:val="1"/>
      <w:numFmt w:val="bullet"/>
      <w:lvlText w:val=""/>
      <w:lvlJc w:val="left"/>
      <w:pPr>
        <w:tabs>
          <w:tab w:val="num" w:pos="720"/>
        </w:tabs>
        <w:ind w:left="720" w:hanging="360"/>
      </w:pPr>
      <w:rPr>
        <w:rFonts w:ascii="Wingdings" w:hAnsi="Wingdings" w:hint="default"/>
      </w:rPr>
    </w:lvl>
    <w:lvl w:ilvl="1" w:tplc="A78AC76E">
      <w:start w:val="1"/>
      <w:numFmt w:val="bullet"/>
      <w:lvlText w:val=""/>
      <w:lvlJc w:val="left"/>
      <w:pPr>
        <w:tabs>
          <w:tab w:val="num" w:pos="1440"/>
        </w:tabs>
        <w:ind w:left="1440" w:hanging="360"/>
      </w:pPr>
      <w:rPr>
        <w:rFonts w:ascii="Wingdings" w:hAnsi="Wingdings" w:hint="default"/>
      </w:rPr>
    </w:lvl>
    <w:lvl w:ilvl="2" w:tplc="44B416A8" w:tentative="1">
      <w:start w:val="1"/>
      <w:numFmt w:val="bullet"/>
      <w:lvlText w:val=""/>
      <w:lvlJc w:val="left"/>
      <w:pPr>
        <w:tabs>
          <w:tab w:val="num" w:pos="2160"/>
        </w:tabs>
        <w:ind w:left="2160" w:hanging="360"/>
      </w:pPr>
      <w:rPr>
        <w:rFonts w:ascii="Wingdings" w:hAnsi="Wingdings" w:hint="default"/>
      </w:rPr>
    </w:lvl>
    <w:lvl w:ilvl="3" w:tplc="8468FB68" w:tentative="1">
      <w:start w:val="1"/>
      <w:numFmt w:val="bullet"/>
      <w:lvlText w:val=""/>
      <w:lvlJc w:val="left"/>
      <w:pPr>
        <w:tabs>
          <w:tab w:val="num" w:pos="2880"/>
        </w:tabs>
        <w:ind w:left="2880" w:hanging="360"/>
      </w:pPr>
      <w:rPr>
        <w:rFonts w:ascii="Wingdings" w:hAnsi="Wingdings" w:hint="default"/>
      </w:rPr>
    </w:lvl>
    <w:lvl w:ilvl="4" w:tplc="7040BFA6" w:tentative="1">
      <w:start w:val="1"/>
      <w:numFmt w:val="bullet"/>
      <w:lvlText w:val=""/>
      <w:lvlJc w:val="left"/>
      <w:pPr>
        <w:tabs>
          <w:tab w:val="num" w:pos="3600"/>
        </w:tabs>
        <w:ind w:left="3600" w:hanging="360"/>
      </w:pPr>
      <w:rPr>
        <w:rFonts w:ascii="Wingdings" w:hAnsi="Wingdings" w:hint="default"/>
      </w:rPr>
    </w:lvl>
    <w:lvl w:ilvl="5" w:tplc="E2685578" w:tentative="1">
      <w:start w:val="1"/>
      <w:numFmt w:val="bullet"/>
      <w:lvlText w:val=""/>
      <w:lvlJc w:val="left"/>
      <w:pPr>
        <w:tabs>
          <w:tab w:val="num" w:pos="4320"/>
        </w:tabs>
        <w:ind w:left="4320" w:hanging="360"/>
      </w:pPr>
      <w:rPr>
        <w:rFonts w:ascii="Wingdings" w:hAnsi="Wingdings" w:hint="default"/>
      </w:rPr>
    </w:lvl>
    <w:lvl w:ilvl="6" w:tplc="2D987278" w:tentative="1">
      <w:start w:val="1"/>
      <w:numFmt w:val="bullet"/>
      <w:lvlText w:val=""/>
      <w:lvlJc w:val="left"/>
      <w:pPr>
        <w:tabs>
          <w:tab w:val="num" w:pos="5040"/>
        </w:tabs>
        <w:ind w:left="5040" w:hanging="360"/>
      </w:pPr>
      <w:rPr>
        <w:rFonts w:ascii="Wingdings" w:hAnsi="Wingdings" w:hint="default"/>
      </w:rPr>
    </w:lvl>
    <w:lvl w:ilvl="7" w:tplc="CBD8D1A6" w:tentative="1">
      <w:start w:val="1"/>
      <w:numFmt w:val="bullet"/>
      <w:lvlText w:val=""/>
      <w:lvlJc w:val="left"/>
      <w:pPr>
        <w:tabs>
          <w:tab w:val="num" w:pos="5760"/>
        </w:tabs>
        <w:ind w:left="5760" w:hanging="360"/>
      </w:pPr>
      <w:rPr>
        <w:rFonts w:ascii="Wingdings" w:hAnsi="Wingdings" w:hint="default"/>
      </w:rPr>
    </w:lvl>
    <w:lvl w:ilvl="8" w:tplc="73FCE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BDD"/>
    <w:multiLevelType w:val="hybridMultilevel"/>
    <w:tmpl w:val="0E344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AE778A">
      <w:numFmt w:val="bullet"/>
      <w:lvlText w:val="-"/>
      <w:lvlJc w:val="left"/>
      <w:pPr>
        <w:ind w:left="2340" w:hanging="360"/>
      </w:pPr>
      <w:rPr>
        <w:rFonts w:ascii="Calibri" w:eastAsia="Times New Roman"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E0C"/>
    <w:multiLevelType w:val="hybridMultilevel"/>
    <w:tmpl w:val="5D04D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462B5"/>
    <w:multiLevelType w:val="hybridMultilevel"/>
    <w:tmpl w:val="26D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6CE"/>
    <w:multiLevelType w:val="hybridMultilevel"/>
    <w:tmpl w:val="C69A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4033"/>
    <w:multiLevelType w:val="hybridMultilevel"/>
    <w:tmpl w:val="2812A7EA"/>
    <w:lvl w:ilvl="0" w:tplc="3B86D05E">
      <w:start w:val="1"/>
      <w:numFmt w:val="bullet"/>
      <w:lvlText w:val=""/>
      <w:lvlJc w:val="left"/>
      <w:pPr>
        <w:tabs>
          <w:tab w:val="num" w:pos="720"/>
        </w:tabs>
        <w:ind w:left="720" w:hanging="360"/>
      </w:pPr>
      <w:rPr>
        <w:rFonts w:ascii="Wingdings" w:hAnsi="Wingdings" w:hint="default"/>
      </w:rPr>
    </w:lvl>
    <w:lvl w:ilvl="1" w:tplc="401CF60E" w:tentative="1">
      <w:start w:val="1"/>
      <w:numFmt w:val="bullet"/>
      <w:lvlText w:val=""/>
      <w:lvlJc w:val="left"/>
      <w:pPr>
        <w:tabs>
          <w:tab w:val="num" w:pos="1440"/>
        </w:tabs>
        <w:ind w:left="1440" w:hanging="360"/>
      </w:pPr>
      <w:rPr>
        <w:rFonts w:ascii="Wingdings" w:hAnsi="Wingdings" w:hint="default"/>
      </w:rPr>
    </w:lvl>
    <w:lvl w:ilvl="2" w:tplc="122451DC" w:tentative="1">
      <w:start w:val="1"/>
      <w:numFmt w:val="bullet"/>
      <w:lvlText w:val=""/>
      <w:lvlJc w:val="left"/>
      <w:pPr>
        <w:tabs>
          <w:tab w:val="num" w:pos="2160"/>
        </w:tabs>
        <w:ind w:left="2160" w:hanging="360"/>
      </w:pPr>
      <w:rPr>
        <w:rFonts w:ascii="Wingdings" w:hAnsi="Wingdings" w:hint="default"/>
      </w:rPr>
    </w:lvl>
    <w:lvl w:ilvl="3" w:tplc="F4DE9B5E" w:tentative="1">
      <w:start w:val="1"/>
      <w:numFmt w:val="bullet"/>
      <w:lvlText w:val=""/>
      <w:lvlJc w:val="left"/>
      <w:pPr>
        <w:tabs>
          <w:tab w:val="num" w:pos="2880"/>
        </w:tabs>
        <w:ind w:left="2880" w:hanging="360"/>
      </w:pPr>
      <w:rPr>
        <w:rFonts w:ascii="Wingdings" w:hAnsi="Wingdings" w:hint="default"/>
      </w:rPr>
    </w:lvl>
    <w:lvl w:ilvl="4" w:tplc="0D6E8D12" w:tentative="1">
      <w:start w:val="1"/>
      <w:numFmt w:val="bullet"/>
      <w:lvlText w:val=""/>
      <w:lvlJc w:val="left"/>
      <w:pPr>
        <w:tabs>
          <w:tab w:val="num" w:pos="3600"/>
        </w:tabs>
        <w:ind w:left="3600" w:hanging="360"/>
      </w:pPr>
      <w:rPr>
        <w:rFonts w:ascii="Wingdings" w:hAnsi="Wingdings" w:hint="default"/>
      </w:rPr>
    </w:lvl>
    <w:lvl w:ilvl="5" w:tplc="5584309E" w:tentative="1">
      <w:start w:val="1"/>
      <w:numFmt w:val="bullet"/>
      <w:lvlText w:val=""/>
      <w:lvlJc w:val="left"/>
      <w:pPr>
        <w:tabs>
          <w:tab w:val="num" w:pos="4320"/>
        </w:tabs>
        <w:ind w:left="4320" w:hanging="360"/>
      </w:pPr>
      <w:rPr>
        <w:rFonts w:ascii="Wingdings" w:hAnsi="Wingdings" w:hint="default"/>
      </w:rPr>
    </w:lvl>
    <w:lvl w:ilvl="6" w:tplc="AD308026" w:tentative="1">
      <w:start w:val="1"/>
      <w:numFmt w:val="bullet"/>
      <w:lvlText w:val=""/>
      <w:lvlJc w:val="left"/>
      <w:pPr>
        <w:tabs>
          <w:tab w:val="num" w:pos="5040"/>
        </w:tabs>
        <w:ind w:left="5040" w:hanging="360"/>
      </w:pPr>
      <w:rPr>
        <w:rFonts w:ascii="Wingdings" w:hAnsi="Wingdings" w:hint="default"/>
      </w:rPr>
    </w:lvl>
    <w:lvl w:ilvl="7" w:tplc="8EB2CA2E" w:tentative="1">
      <w:start w:val="1"/>
      <w:numFmt w:val="bullet"/>
      <w:lvlText w:val=""/>
      <w:lvlJc w:val="left"/>
      <w:pPr>
        <w:tabs>
          <w:tab w:val="num" w:pos="5760"/>
        </w:tabs>
        <w:ind w:left="5760" w:hanging="360"/>
      </w:pPr>
      <w:rPr>
        <w:rFonts w:ascii="Wingdings" w:hAnsi="Wingdings" w:hint="default"/>
      </w:rPr>
    </w:lvl>
    <w:lvl w:ilvl="8" w:tplc="005AC0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9553F2"/>
    <w:multiLevelType w:val="hybridMultilevel"/>
    <w:tmpl w:val="7FBA8C80"/>
    <w:lvl w:ilvl="0" w:tplc="F610642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CAB5ADB"/>
    <w:multiLevelType w:val="hybridMultilevel"/>
    <w:tmpl w:val="A9E4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05EC6"/>
    <w:multiLevelType w:val="hybridMultilevel"/>
    <w:tmpl w:val="B4500602"/>
    <w:lvl w:ilvl="0" w:tplc="F610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B3221F"/>
    <w:multiLevelType w:val="hybridMultilevel"/>
    <w:tmpl w:val="68CCB32E"/>
    <w:lvl w:ilvl="0" w:tplc="78748EE2">
      <w:start w:val="1"/>
      <w:numFmt w:val="bullet"/>
      <w:lvlText w:val=""/>
      <w:lvlJc w:val="left"/>
      <w:pPr>
        <w:tabs>
          <w:tab w:val="num" w:pos="720"/>
        </w:tabs>
        <w:ind w:left="720" w:hanging="360"/>
      </w:pPr>
      <w:rPr>
        <w:rFonts w:ascii="Wingdings" w:hAnsi="Wingdings" w:hint="default"/>
      </w:rPr>
    </w:lvl>
    <w:lvl w:ilvl="1" w:tplc="191EDFE6" w:tentative="1">
      <w:start w:val="1"/>
      <w:numFmt w:val="bullet"/>
      <w:lvlText w:val=""/>
      <w:lvlJc w:val="left"/>
      <w:pPr>
        <w:tabs>
          <w:tab w:val="num" w:pos="1440"/>
        </w:tabs>
        <w:ind w:left="1440" w:hanging="360"/>
      </w:pPr>
      <w:rPr>
        <w:rFonts w:ascii="Wingdings" w:hAnsi="Wingdings" w:hint="default"/>
      </w:rPr>
    </w:lvl>
    <w:lvl w:ilvl="2" w:tplc="0A023900" w:tentative="1">
      <w:start w:val="1"/>
      <w:numFmt w:val="bullet"/>
      <w:lvlText w:val=""/>
      <w:lvlJc w:val="left"/>
      <w:pPr>
        <w:tabs>
          <w:tab w:val="num" w:pos="2160"/>
        </w:tabs>
        <w:ind w:left="2160" w:hanging="360"/>
      </w:pPr>
      <w:rPr>
        <w:rFonts w:ascii="Wingdings" w:hAnsi="Wingdings" w:hint="default"/>
      </w:rPr>
    </w:lvl>
    <w:lvl w:ilvl="3" w:tplc="20E071B2" w:tentative="1">
      <w:start w:val="1"/>
      <w:numFmt w:val="bullet"/>
      <w:lvlText w:val=""/>
      <w:lvlJc w:val="left"/>
      <w:pPr>
        <w:tabs>
          <w:tab w:val="num" w:pos="2880"/>
        </w:tabs>
        <w:ind w:left="2880" w:hanging="360"/>
      </w:pPr>
      <w:rPr>
        <w:rFonts w:ascii="Wingdings" w:hAnsi="Wingdings" w:hint="default"/>
      </w:rPr>
    </w:lvl>
    <w:lvl w:ilvl="4" w:tplc="4E4AE6D6" w:tentative="1">
      <w:start w:val="1"/>
      <w:numFmt w:val="bullet"/>
      <w:lvlText w:val=""/>
      <w:lvlJc w:val="left"/>
      <w:pPr>
        <w:tabs>
          <w:tab w:val="num" w:pos="3600"/>
        </w:tabs>
        <w:ind w:left="3600" w:hanging="360"/>
      </w:pPr>
      <w:rPr>
        <w:rFonts w:ascii="Wingdings" w:hAnsi="Wingdings" w:hint="default"/>
      </w:rPr>
    </w:lvl>
    <w:lvl w:ilvl="5" w:tplc="6726922E" w:tentative="1">
      <w:start w:val="1"/>
      <w:numFmt w:val="bullet"/>
      <w:lvlText w:val=""/>
      <w:lvlJc w:val="left"/>
      <w:pPr>
        <w:tabs>
          <w:tab w:val="num" w:pos="4320"/>
        </w:tabs>
        <w:ind w:left="4320" w:hanging="360"/>
      </w:pPr>
      <w:rPr>
        <w:rFonts w:ascii="Wingdings" w:hAnsi="Wingdings" w:hint="default"/>
      </w:rPr>
    </w:lvl>
    <w:lvl w:ilvl="6" w:tplc="60760CB2" w:tentative="1">
      <w:start w:val="1"/>
      <w:numFmt w:val="bullet"/>
      <w:lvlText w:val=""/>
      <w:lvlJc w:val="left"/>
      <w:pPr>
        <w:tabs>
          <w:tab w:val="num" w:pos="5040"/>
        </w:tabs>
        <w:ind w:left="5040" w:hanging="360"/>
      </w:pPr>
      <w:rPr>
        <w:rFonts w:ascii="Wingdings" w:hAnsi="Wingdings" w:hint="default"/>
      </w:rPr>
    </w:lvl>
    <w:lvl w:ilvl="7" w:tplc="4A46F4B8" w:tentative="1">
      <w:start w:val="1"/>
      <w:numFmt w:val="bullet"/>
      <w:lvlText w:val=""/>
      <w:lvlJc w:val="left"/>
      <w:pPr>
        <w:tabs>
          <w:tab w:val="num" w:pos="5760"/>
        </w:tabs>
        <w:ind w:left="5760" w:hanging="360"/>
      </w:pPr>
      <w:rPr>
        <w:rFonts w:ascii="Wingdings" w:hAnsi="Wingdings" w:hint="default"/>
      </w:rPr>
    </w:lvl>
    <w:lvl w:ilvl="8" w:tplc="02F4B7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E221A"/>
    <w:multiLevelType w:val="hybridMultilevel"/>
    <w:tmpl w:val="E23C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F7EB1"/>
    <w:multiLevelType w:val="hybridMultilevel"/>
    <w:tmpl w:val="604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9"/>
  </w:num>
  <w:num w:numId="5">
    <w:abstractNumId w:val="0"/>
  </w:num>
  <w:num w:numId="6">
    <w:abstractNumId w:val="12"/>
  </w:num>
  <w:num w:numId="7">
    <w:abstractNumId w:val="5"/>
  </w:num>
  <w:num w:numId="8">
    <w:abstractNumId w:val="10"/>
  </w:num>
  <w:num w:numId="9">
    <w:abstractNumId w:val="7"/>
  </w:num>
  <w:num w:numId="10">
    <w:abstractNumId w:val="2"/>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19"/>
    <w:rsid w:val="00000DA7"/>
    <w:rsid w:val="000415C0"/>
    <w:rsid w:val="00054820"/>
    <w:rsid w:val="000819C1"/>
    <w:rsid w:val="00091649"/>
    <w:rsid w:val="000A0A9D"/>
    <w:rsid w:val="000F7C4C"/>
    <w:rsid w:val="000F7FCC"/>
    <w:rsid w:val="00104126"/>
    <w:rsid w:val="0010752C"/>
    <w:rsid w:val="001110B4"/>
    <w:rsid w:val="001162CD"/>
    <w:rsid w:val="00116E12"/>
    <w:rsid w:val="00141364"/>
    <w:rsid w:val="001444D1"/>
    <w:rsid w:val="0022224F"/>
    <w:rsid w:val="00242B9C"/>
    <w:rsid w:val="00247325"/>
    <w:rsid w:val="0025528E"/>
    <w:rsid w:val="00255675"/>
    <w:rsid w:val="00270A00"/>
    <w:rsid w:val="00272D39"/>
    <w:rsid w:val="002A4CD5"/>
    <w:rsid w:val="002C7C6A"/>
    <w:rsid w:val="002E446E"/>
    <w:rsid w:val="003625C2"/>
    <w:rsid w:val="00394839"/>
    <w:rsid w:val="003C260C"/>
    <w:rsid w:val="003E6F08"/>
    <w:rsid w:val="003F174D"/>
    <w:rsid w:val="00450C82"/>
    <w:rsid w:val="00461B4D"/>
    <w:rsid w:val="00473216"/>
    <w:rsid w:val="00476E86"/>
    <w:rsid w:val="004801AF"/>
    <w:rsid w:val="00495EFB"/>
    <w:rsid w:val="004A4CEA"/>
    <w:rsid w:val="004B7342"/>
    <w:rsid w:val="004C560E"/>
    <w:rsid w:val="004F46C8"/>
    <w:rsid w:val="004F470F"/>
    <w:rsid w:val="00524C05"/>
    <w:rsid w:val="00542285"/>
    <w:rsid w:val="00565B8C"/>
    <w:rsid w:val="00566720"/>
    <w:rsid w:val="0059651A"/>
    <w:rsid w:val="005A1608"/>
    <w:rsid w:val="005A1B1F"/>
    <w:rsid w:val="005A204A"/>
    <w:rsid w:val="005A5AFA"/>
    <w:rsid w:val="005A6FA4"/>
    <w:rsid w:val="005B30D4"/>
    <w:rsid w:val="005F253E"/>
    <w:rsid w:val="005F60C5"/>
    <w:rsid w:val="006B09F8"/>
    <w:rsid w:val="00706B03"/>
    <w:rsid w:val="00725CD8"/>
    <w:rsid w:val="00780547"/>
    <w:rsid w:val="007A06FC"/>
    <w:rsid w:val="007A460D"/>
    <w:rsid w:val="007A488A"/>
    <w:rsid w:val="007A6D56"/>
    <w:rsid w:val="007C210F"/>
    <w:rsid w:val="007C3E3F"/>
    <w:rsid w:val="007D215B"/>
    <w:rsid w:val="007D2777"/>
    <w:rsid w:val="007F2627"/>
    <w:rsid w:val="00807D6B"/>
    <w:rsid w:val="0081134A"/>
    <w:rsid w:val="00822662"/>
    <w:rsid w:val="008559F3"/>
    <w:rsid w:val="00866CEB"/>
    <w:rsid w:val="00874389"/>
    <w:rsid w:val="008A0DB6"/>
    <w:rsid w:val="008F0356"/>
    <w:rsid w:val="00911676"/>
    <w:rsid w:val="00930258"/>
    <w:rsid w:val="00961EF9"/>
    <w:rsid w:val="00985BD1"/>
    <w:rsid w:val="009878D7"/>
    <w:rsid w:val="009A6821"/>
    <w:rsid w:val="009B29EA"/>
    <w:rsid w:val="009D16D6"/>
    <w:rsid w:val="00A11E78"/>
    <w:rsid w:val="00A27267"/>
    <w:rsid w:val="00A4069E"/>
    <w:rsid w:val="00A5465B"/>
    <w:rsid w:val="00A60B21"/>
    <w:rsid w:val="00A7466A"/>
    <w:rsid w:val="00A86586"/>
    <w:rsid w:val="00A96718"/>
    <w:rsid w:val="00AD7F00"/>
    <w:rsid w:val="00AE0478"/>
    <w:rsid w:val="00AE3B9C"/>
    <w:rsid w:val="00B11B23"/>
    <w:rsid w:val="00B32326"/>
    <w:rsid w:val="00B60E8C"/>
    <w:rsid w:val="00B8175F"/>
    <w:rsid w:val="00B94C08"/>
    <w:rsid w:val="00BB1058"/>
    <w:rsid w:val="00BE20F3"/>
    <w:rsid w:val="00BF40FF"/>
    <w:rsid w:val="00C006A9"/>
    <w:rsid w:val="00C00F9D"/>
    <w:rsid w:val="00C2200D"/>
    <w:rsid w:val="00C2538E"/>
    <w:rsid w:val="00C3765B"/>
    <w:rsid w:val="00C813B4"/>
    <w:rsid w:val="00C92726"/>
    <w:rsid w:val="00CE37D6"/>
    <w:rsid w:val="00D04423"/>
    <w:rsid w:val="00D53DE3"/>
    <w:rsid w:val="00D54DFA"/>
    <w:rsid w:val="00D75A93"/>
    <w:rsid w:val="00DC7CBD"/>
    <w:rsid w:val="00DD40CE"/>
    <w:rsid w:val="00E33049"/>
    <w:rsid w:val="00E475CC"/>
    <w:rsid w:val="00E77C19"/>
    <w:rsid w:val="00E87908"/>
    <w:rsid w:val="00E94529"/>
    <w:rsid w:val="00EB6136"/>
    <w:rsid w:val="00EC58DE"/>
    <w:rsid w:val="00EE0C7E"/>
    <w:rsid w:val="00EE1EA8"/>
    <w:rsid w:val="00EF2CBF"/>
    <w:rsid w:val="00F02D8F"/>
    <w:rsid w:val="00F1084B"/>
    <w:rsid w:val="00F24E7F"/>
    <w:rsid w:val="00F26DB1"/>
    <w:rsid w:val="00F4619C"/>
    <w:rsid w:val="00F520BD"/>
    <w:rsid w:val="00F94873"/>
    <w:rsid w:val="00F97786"/>
    <w:rsid w:val="00FA1E44"/>
    <w:rsid w:val="00FD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4361206"/>
  <w14:defaultImageDpi w14:val="300"/>
  <w15:docId w15:val="{EBEFA9F6-3C2F-4A6F-AB5E-CF3BDF7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9F8"/>
    <w:pPr>
      <w:spacing w:after="240"/>
    </w:pPr>
    <w:rPr>
      <w:rFonts w:ascii="Open Sans" w:eastAsia="Times New Roman" w:hAnsi="Open Sans" w:cs="Arial"/>
      <w:color w:val="222222"/>
      <w:sz w:val="20"/>
      <w:szCs w:val="20"/>
    </w:rPr>
  </w:style>
  <w:style w:type="paragraph" w:styleId="Heading1">
    <w:name w:val="heading 1"/>
    <w:basedOn w:val="Normal"/>
    <w:next w:val="Normal"/>
    <w:link w:val="Heading1Char"/>
    <w:uiPriority w:val="9"/>
    <w:qFormat/>
    <w:rsid w:val="0022224F"/>
    <w:pPr>
      <w:keepNext/>
      <w:keepLines/>
      <w:spacing w:before="240" w:after="0"/>
      <w:outlineLvl w:val="0"/>
    </w:pPr>
    <w:rPr>
      <w:rFonts w:eastAsiaTheme="majorEastAsia" w:cstheme="majorBidi"/>
      <w:b/>
      <w:bCs/>
      <w:color w:val="335D86"/>
      <w:sz w:val="40"/>
      <w:szCs w:val="32"/>
    </w:rPr>
  </w:style>
  <w:style w:type="paragraph" w:styleId="Heading2">
    <w:name w:val="heading 2"/>
    <w:basedOn w:val="Normal"/>
    <w:next w:val="Normal"/>
    <w:link w:val="Heading2Char"/>
    <w:uiPriority w:val="9"/>
    <w:unhideWhenUsed/>
    <w:qFormat/>
    <w:rsid w:val="0022224F"/>
    <w:pPr>
      <w:keepNext/>
      <w:keepLines/>
      <w:spacing w:before="40" w:after="0"/>
      <w:outlineLvl w:val="1"/>
    </w:pPr>
    <w:rPr>
      <w:rFonts w:eastAsiaTheme="majorEastAsia" w:cstheme="majorBidi"/>
      <w:b/>
      <w:color w:val="4CA987"/>
      <w:sz w:val="32"/>
      <w:szCs w:val="26"/>
    </w:rPr>
  </w:style>
  <w:style w:type="paragraph" w:styleId="Heading3">
    <w:name w:val="heading 3"/>
    <w:basedOn w:val="Normal"/>
    <w:next w:val="Normal"/>
    <w:link w:val="Heading3Char"/>
    <w:uiPriority w:val="9"/>
    <w:unhideWhenUsed/>
    <w:qFormat/>
    <w:rsid w:val="00255675"/>
    <w:pPr>
      <w:keepNext/>
      <w:keepLines/>
      <w:spacing w:before="40" w:after="0"/>
      <w:outlineLvl w:val="2"/>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BD1"/>
    <w:pPr>
      <w:tabs>
        <w:tab w:val="center" w:pos="4320"/>
        <w:tab w:val="right" w:pos="8640"/>
      </w:tabs>
    </w:pPr>
    <w:rPr>
      <w:sz w:val="28"/>
    </w:rPr>
  </w:style>
  <w:style w:type="character" w:customStyle="1" w:styleId="HeaderChar">
    <w:name w:val="Header Char"/>
    <w:basedOn w:val="DefaultParagraphFont"/>
    <w:link w:val="Header"/>
    <w:uiPriority w:val="99"/>
    <w:rsid w:val="00985BD1"/>
    <w:rPr>
      <w:rFonts w:ascii="Open Sans" w:hAnsi="Open Sans"/>
      <w:sz w:val="28"/>
    </w:rPr>
  </w:style>
  <w:style w:type="paragraph" w:styleId="Footer">
    <w:name w:val="footer"/>
    <w:basedOn w:val="Normal"/>
    <w:link w:val="FooterChar"/>
    <w:uiPriority w:val="99"/>
    <w:unhideWhenUsed/>
    <w:rsid w:val="007D2777"/>
    <w:pPr>
      <w:tabs>
        <w:tab w:val="center" w:pos="4320"/>
        <w:tab w:val="right" w:pos="8640"/>
      </w:tabs>
    </w:pPr>
  </w:style>
  <w:style w:type="character" w:customStyle="1" w:styleId="FooterChar">
    <w:name w:val="Footer Char"/>
    <w:basedOn w:val="DefaultParagraphFont"/>
    <w:link w:val="Footer"/>
    <w:uiPriority w:val="99"/>
    <w:rsid w:val="007D2777"/>
  </w:style>
  <w:style w:type="paragraph" w:styleId="BalloonText">
    <w:name w:val="Balloon Text"/>
    <w:basedOn w:val="Normal"/>
    <w:link w:val="BalloonTextChar"/>
    <w:uiPriority w:val="99"/>
    <w:semiHidden/>
    <w:unhideWhenUsed/>
    <w:rsid w:val="00985BD1"/>
    <w:rPr>
      <w:i/>
      <w:iCs/>
      <w:sz w:val="18"/>
      <w:szCs w:val="18"/>
    </w:rPr>
  </w:style>
  <w:style w:type="character" w:customStyle="1" w:styleId="BalloonTextChar">
    <w:name w:val="Balloon Text Char"/>
    <w:basedOn w:val="DefaultParagraphFont"/>
    <w:link w:val="BalloonText"/>
    <w:uiPriority w:val="99"/>
    <w:semiHidden/>
    <w:rsid w:val="00985BD1"/>
    <w:rPr>
      <w:rFonts w:ascii="Open Sans" w:hAnsi="Open Sans"/>
      <w:i/>
      <w:iCs/>
      <w:sz w:val="18"/>
      <w:szCs w:val="18"/>
    </w:rPr>
  </w:style>
  <w:style w:type="character" w:customStyle="1" w:styleId="Heading1Char">
    <w:name w:val="Heading 1 Char"/>
    <w:basedOn w:val="DefaultParagraphFont"/>
    <w:link w:val="Heading1"/>
    <w:uiPriority w:val="9"/>
    <w:rsid w:val="0022224F"/>
    <w:rPr>
      <w:rFonts w:ascii="Open Sans" w:eastAsiaTheme="majorEastAsia" w:hAnsi="Open Sans" w:cstheme="majorBidi"/>
      <w:b/>
      <w:bCs/>
      <w:color w:val="335D86"/>
      <w:sz w:val="40"/>
      <w:szCs w:val="32"/>
    </w:rPr>
  </w:style>
  <w:style w:type="character" w:customStyle="1" w:styleId="Heading2Char">
    <w:name w:val="Heading 2 Char"/>
    <w:basedOn w:val="DefaultParagraphFont"/>
    <w:link w:val="Heading2"/>
    <w:uiPriority w:val="9"/>
    <w:rsid w:val="0022224F"/>
    <w:rPr>
      <w:rFonts w:ascii="Open Sans" w:eastAsiaTheme="majorEastAsia" w:hAnsi="Open Sans" w:cstheme="majorBidi"/>
      <w:b/>
      <w:color w:val="4CA987"/>
      <w:sz w:val="32"/>
      <w:szCs w:val="26"/>
    </w:rPr>
  </w:style>
  <w:style w:type="character" w:customStyle="1" w:styleId="Heading3Char">
    <w:name w:val="Heading 3 Char"/>
    <w:basedOn w:val="DefaultParagraphFont"/>
    <w:link w:val="Heading3"/>
    <w:uiPriority w:val="9"/>
    <w:rsid w:val="00255675"/>
    <w:rPr>
      <w:rFonts w:ascii="Open Sans" w:eastAsiaTheme="majorEastAsia" w:hAnsi="Open Sans" w:cstheme="majorBidi"/>
      <w:b/>
      <w:color w:val="7F7F7F" w:themeColor="text1" w:themeTint="80"/>
    </w:rPr>
  </w:style>
  <w:style w:type="paragraph" w:styleId="Title">
    <w:name w:val="Title"/>
    <w:basedOn w:val="Normal"/>
    <w:next w:val="Normal"/>
    <w:link w:val="TitleChar"/>
    <w:uiPriority w:val="10"/>
    <w:qFormat/>
    <w:rsid w:val="00985BD1"/>
    <w:pPr>
      <w:spacing w:after="0"/>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985BD1"/>
    <w:rPr>
      <w:rFonts w:ascii="Open Sans" w:eastAsiaTheme="majorEastAsia" w:hAnsi="Open Sans" w:cstheme="majorBidi"/>
      <w:b/>
      <w:bCs/>
      <w:spacing w:val="-10"/>
      <w:kern w:val="28"/>
      <w:sz w:val="56"/>
      <w:szCs w:val="56"/>
    </w:rPr>
  </w:style>
  <w:style w:type="paragraph" w:styleId="Subtitle">
    <w:name w:val="Subtitle"/>
    <w:basedOn w:val="Normal"/>
    <w:next w:val="Normal"/>
    <w:link w:val="SubtitleChar"/>
    <w:uiPriority w:val="11"/>
    <w:qFormat/>
    <w:rsid w:val="00985BD1"/>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985BD1"/>
    <w:rPr>
      <w:rFonts w:ascii="Open Sans" w:hAnsi="Open Sans"/>
      <w:color w:val="5A5A5A" w:themeColor="text1" w:themeTint="A5"/>
      <w:spacing w:val="15"/>
      <w:sz w:val="20"/>
      <w:szCs w:val="22"/>
    </w:rPr>
  </w:style>
  <w:style w:type="paragraph" w:styleId="ListParagraph">
    <w:name w:val="List Paragraph"/>
    <w:basedOn w:val="Normal"/>
    <w:uiPriority w:val="34"/>
    <w:qFormat/>
    <w:rsid w:val="00A11E78"/>
    <w:pPr>
      <w:spacing w:after="0"/>
      <w:ind w:left="720"/>
      <w:contextualSpacing/>
    </w:pPr>
    <w:rPr>
      <w:rFonts w:asciiTheme="minorHAnsi" w:eastAsiaTheme="minorHAnsi" w:hAnsiTheme="minorHAnsi"/>
      <w:sz w:val="24"/>
    </w:rPr>
  </w:style>
  <w:style w:type="paragraph" w:customStyle="1" w:styleId="address">
    <w:name w:val="address"/>
    <w:basedOn w:val="Footer"/>
    <w:qFormat/>
    <w:rsid w:val="0022224F"/>
    <w:pPr>
      <w:jc w:val="center"/>
    </w:pPr>
    <w:rPr>
      <w:color w:val="335D86"/>
      <w:w w:val="80"/>
      <w:sz w:val="16"/>
    </w:rPr>
  </w:style>
  <w:style w:type="paragraph" w:styleId="FootnoteText">
    <w:name w:val="footnote text"/>
    <w:basedOn w:val="Normal"/>
    <w:link w:val="FootnoteTextChar"/>
    <w:uiPriority w:val="99"/>
    <w:rsid w:val="008F0356"/>
    <w:pPr>
      <w:spacing w:after="0"/>
    </w:pPr>
    <w:rPr>
      <w:rFonts w:ascii="Times New Roman" w:hAnsi="Times New Roman" w:cs="Times New Roman"/>
      <w:color w:val="auto"/>
    </w:rPr>
  </w:style>
  <w:style w:type="character" w:customStyle="1" w:styleId="FootnoteTextChar">
    <w:name w:val="Footnote Text Char"/>
    <w:basedOn w:val="DefaultParagraphFont"/>
    <w:link w:val="FootnoteText"/>
    <w:uiPriority w:val="99"/>
    <w:rsid w:val="008F03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F0356"/>
    <w:rPr>
      <w:vertAlign w:val="superscript"/>
    </w:rPr>
  </w:style>
  <w:style w:type="character" w:customStyle="1" w:styleId="apple-converted-space">
    <w:name w:val="apple-converted-space"/>
    <w:basedOn w:val="DefaultParagraphFont"/>
    <w:rsid w:val="008F0356"/>
  </w:style>
  <w:style w:type="character" w:styleId="Hyperlink">
    <w:name w:val="Hyperlink"/>
    <w:basedOn w:val="DefaultParagraphFont"/>
    <w:uiPriority w:val="99"/>
    <w:rsid w:val="004F46C8"/>
    <w:rPr>
      <w:color w:val="0000FF"/>
      <w:u w:val="single"/>
    </w:rPr>
  </w:style>
  <w:style w:type="paragraph" w:customStyle="1" w:styleId="Default">
    <w:name w:val="Default"/>
    <w:rsid w:val="004F46C8"/>
    <w:pPr>
      <w:autoSpaceDE w:val="0"/>
      <w:autoSpaceDN w:val="0"/>
      <w:adjustRightInd w:val="0"/>
    </w:pPr>
    <w:rPr>
      <w:rFonts w:ascii="Calibri" w:eastAsia="Times New Roman" w:hAnsi="Calibri" w:cs="Calibri"/>
      <w:color w:val="000000"/>
    </w:rPr>
  </w:style>
  <w:style w:type="table" w:styleId="TableClassic1">
    <w:name w:val="Table Classic 1"/>
    <w:basedOn w:val="TableNormal"/>
    <w:rsid w:val="0082266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2C7C6A"/>
    <w:rPr>
      <w:sz w:val="16"/>
      <w:szCs w:val="16"/>
    </w:rPr>
  </w:style>
  <w:style w:type="paragraph" w:styleId="CommentText">
    <w:name w:val="annotation text"/>
    <w:basedOn w:val="Normal"/>
    <w:link w:val="CommentTextChar"/>
    <w:uiPriority w:val="99"/>
    <w:semiHidden/>
    <w:unhideWhenUsed/>
    <w:rsid w:val="002C7C6A"/>
  </w:style>
  <w:style w:type="character" w:customStyle="1" w:styleId="CommentTextChar">
    <w:name w:val="Comment Text Char"/>
    <w:basedOn w:val="DefaultParagraphFont"/>
    <w:link w:val="CommentText"/>
    <w:uiPriority w:val="99"/>
    <w:semiHidden/>
    <w:rsid w:val="002C7C6A"/>
    <w:rPr>
      <w:rFonts w:ascii="Open Sans" w:eastAsia="Times New Roman" w:hAnsi="Open Sans" w:cs="Arial"/>
      <w:color w:val="222222"/>
      <w:sz w:val="20"/>
      <w:szCs w:val="20"/>
    </w:rPr>
  </w:style>
  <w:style w:type="paragraph" w:styleId="CommentSubject">
    <w:name w:val="annotation subject"/>
    <w:basedOn w:val="CommentText"/>
    <w:next w:val="CommentText"/>
    <w:link w:val="CommentSubjectChar"/>
    <w:uiPriority w:val="99"/>
    <w:semiHidden/>
    <w:unhideWhenUsed/>
    <w:rsid w:val="002C7C6A"/>
    <w:rPr>
      <w:b/>
      <w:bCs/>
    </w:rPr>
  </w:style>
  <w:style w:type="character" w:customStyle="1" w:styleId="CommentSubjectChar">
    <w:name w:val="Comment Subject Char"/>
    <w:basedOn w:val="CommentTextChar"/>
    <w:link w:val="CommentSubject"/>
    <w:uiPriority w:val="99"/>
    <w:semiHidden/>
    <w:rsid w:val="002C7C6A"/>
    <w:rPr>
      <w:rFonts w:ascii="Open Sans" w:eastAsia="Times New Roman" w:hAnsi="Open Sans" w:cs="Arial"/>
      <w:b/>
      <w:bCs/>
      <w:color w:val="222222"/>
      <w:sz w:val="20"/>
      <w:szCs w:val="20"/>
    </w:rPr>
  </w:style>
  <w:style w:type="character" w:styleId="UnresolvedMention">
    <w:name w:val="Unresolved Mention"/>
    <w:basedOn w:val="DefaultParagraphFont"/>
    <w:uiPriority w:val="99"/>
    <w:semiHidden/>
    <w:unhideWhenUsed/>
    <w:rsid w:val="007A488A"/>
    <w:rPr>
      <w:color w:val="808080"/>
      <w:shd w:val="clear" w:color="auto" w:fill="E6E6E6"/>
    </w:rPr>
  </w:style>
  <w:style w:type="paragraph" w:styleId="Revision">
    <w:name w:val="Revision"/>
    <w:hidden/>
    <w:uiPriority w:val="99"/>
    <w:semiHidden/>
    <w:rsid w:val="00A86586"/>
    <w:rPr>
      <w:rFonts w:ascii="Open Sans" w:eastAsia="Times New Roman" w:hAnsi="Open Sans" w:cs="Arial"/>
      <w:color w:val="222222"/>
      <w:sz w:val="20"/>
      <w:szCs w:val="20"/>
    </w:rPr>
  </w:style>
  <w:style w:type="paragraph" w:styleId="BodyText">
    <w:name w:val="Body Text"/>
    <w:basedOn w:val="Normal"/>
    <w:link w:val="BodyTextChar"/>
    <w:uiPriority w:val="1"/>
    <w:qFormat/>
    <w:rsid w:val="00EF2CBF"/>
    <w:pPr>
      <w:widowControl w:val="0"/>
      <w:autoSpaceDE w:val="0"/>
      <w:autoSpaceDN w:val="0"/>
      <w:spacing w:after="0"/>
    </w:pPr>
    <w:rPr>
      <w:rFonts w:ascii="Times New Roman" w:hAnsi="Times New Roman" w:cs="Times New Roman"/>
      <w:color w:val="auto"/>
      <w:sz w:val="24"/>
      <w:szCs w:val="24"/>
    </w:rPr>
  </w:style>
  <w:style w:type="character" w:customStyle="1" w:styleId="BodyTextChar">
    <w:name w:val="Body Text Char"/>
    <w:basedOn w:val="DefaultParagraphFont"/>
    <w:link w:val="BodyText"/>
    <w:uiPriority w:val="1"/>
    <w:rsid w:val="00EF2CBF"/>
    <w:rPr>
      <w:rFonts w:ascii="Times New Roman" w:eastAsia="Times New Roman" w:hAnsi="Times New Roman" w:cs="Times New Roman"/>
    </w:rPr>
  </w:style>
  <w:style w:type="paragraph" w:customStyle="1" w:styleId="BasicParagraph">
    <w:name w:val="[Basic Paragraph]"/>
    <w:basedOn w:val="Normal"/>
    <w:uiPriority w:val="99"/>
    <w:rsid w:val="004C560E"/>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4C560E"/>
    <w:rPr>
      <w:rFonts w:ascii="Open Sans" w:eastAsia="Times New Roman" w:hAnsi="Open Sans" w:cs="Arial"/>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193112">
      <w:bodyDiv w:val="1"/>
      <w:marLeft w:val="0"/>
      <w:marRight w:val="0"/>
      <w:marTop w:val="0"/>
      <w:marBottom w:val="0"/>
      <w:divBdr>
        <w:top w:val="none" w:sz="0" w:space="0" w:color="auto"/>
        <w:left w:val="none" w:sz="0" w:space="0" w:color="auto"/>
        <w:bottom w:val="none" w:sz="0" w:space="0" w:color="auto"/>
        <w:right w:val="none" w:sz="0" w:space="0" w:color="auto"/>
      </w:divBdr>
    </w:div>
    <w:div w:id="663431246">
      <w:bodyDiv w:val="1"/>
      <w:marLeft w:val="0"/>
      <w:marRight w:val="0"/>
      <w:marTop w:val="0"/>
      <w:marBottom w:val="0"/>
      <w:divBdr>
        <w:top w:val="none" w:sz="0" w:space="0" w:color="auto"/>
        <w:left w:val="none" w:sz="0" w:space="0" w:color="auto"/>
        <w:bottom w:val="none" w:sz="0" w:space="0" w:color="auto"/>
        <w:right w:val="none" w:sz="0" w:space="0" w:color="auto"/>
      </w:divBdr>
    </w:div>
    <w:div w:id="682628225">
      <w:bodyDiv w:val="1"/>
      <w:marLeft w:val="0"/>
      <w:marRight w:val="0"/>
      <w:marTop w:val="0"/>
      <w:marBottom w:val="0"/>
      <w:divBdr>
        <w:top w:val="none" w:sz="0" w:space="0" w:color="auto"/>
        <w:left w:val="none" w:sz="0" w:space="0" w:color="auto"/>
        <w:bottom w:val="none" w:sz="0" w:space="0" w:color="auto"/>
        <w:right w:val="none" w:sz="0" w:space="0" w:color="auto"/>
      </w:divBdr>
    </w:div>
    <w:div w:id="808015967">
      <w:bodyDiv w:val="1"/>
      <w:marLeft w:val="0"/>
      <w:marRight w:val="0"/>
      <w:marTop w:val="0"/>
      <w:marBottom w:val="0"/>
      <w:divBdr>
        <w:top w:val="none" w:sz="0" w:space="0" w:color="auto"/>
        <w:left w:val="none" w:sz="0" w:space="0" w:color="auto"/>
        <w:bottom w:val="none" w:sz="0" w:space="0" w:color="auto"/>
        <w:right w:val="none" w:sz="0" w:space="0" w:color="auto"/>
      </w:divBdr>
    </w:div>
    <w:div w:id="999119831">
      <w:bodyDiv w:val="1"/>
      <w:marLeft w:val="0"/>
      <w:marRight w:val="0"/>
      <w:marTop w:val="0"/>
      <w:marBottom w:val="0"/>
      <w:divBdr>
        <w:top w:val="none" w:sz="0" w:space="0" w:color="auto"/>
        <w:left w:val="none" w:sz="0" w:space="0" w:color="auto"/>
        <w:bottom w:val="none" w:sz="0" w:space="0" w:color="auto"/>
        <w:right w:val="none" w:sz="0" w:space="0" w:color="auto"/>
      </w:divBdr>
    </w:div>
    <w:div w:id="1080299308">
      <w:bodyDiv w:val="1"/>
      <w:marLeft w:val="0"/>
      <w:marRight w:val="0"/>
      <w:marTop w:val="0"/>
      <w:marBottom w:val="0"/>
      <w:divBdr>
        <w:top w:val="none" w:sz="0" w:space="0" w:color="auto"/>
        <w:left w:val="none" w:sz="0" w:space="0" w:color="auto"/>
        <w:bottom w:val="none" w:sz="0" w:space="0" w:color="auto"/>
        <w:right w:val="none" w:sz="0" w:space="0" w:color="auto"/>
      </w:divBdr>
    </w:div>
    <w:div w:id="1134836764">
      <w:bodyDiv w:val="1"/>
      <w:marLeft w:val="0"/>
      <w:marRight w:val="0"/>
      <w:marTop w:val="0"/>
      <w:marBottom w:val="0"/>
      <w:divBdr>
        <w:top w:val="none" w:sz="0" w:space="0" w:color="auto"/>
        <w:left w:val="none" w:sz="0" w:space="0" w:color="auto"/>
        <w:bottom w:val="none" w:sz="0" w:space="0" w:color="auto"/>
        <w:right w:val="none" w:sz="0" w:space="0" w:color="auto"/>
      </w:divBdr>
      <w:divsChild>
        <w:div w:id="1709796313">
          <w:marLeft w:val="360"/>
          <w:marRight w:val="0"/>
          <w:marTop w:val="200"/>
          <w:marBottom w:val="80"/>
          <w:divBdr>
            <w:top w:val="none" w:sz="0" w:space="0" w:color="auto"/>
            <w:left w:val="none" w:sz="0" w:space="0" w:color="auto"/>
            <w:bottom w:val="none" w:sz="0" w:space="0" w:color="auto"/>
            <w:right w:val="none" w:sz="0" w:space="0" w:color="auto"/>
          </w:divBdr>
        </w:div>
        <w:div w:id="534657029">
          <w:marLeft w:val="360"/>
          <w:marRight w:val="0"/>
          <w:marTop w:val="200"/>
          <w:marBottom w:val="80"/>
          <w:divBdr>
            <w:top w:val="none" w:sz="0" w:space="0" w:color="auto"/>
            <w:left w:val="none" w:sz="0" w:space="0" w:color="auto"/>
            <w:bottom w:val="none" w:sz="0" w:space="0" w:color="auto"/>
            <w:right w:val="none" w:sz="0" w:space="0" w:color="auto"/>
          </w:divBdr>
        </w:div>
        <w:div w:id="901793641">
          <w:marLeft w:val="360"/>
          <w:marRight w:val="0"/>
          <w:marTop w:val="200"/>
          <w:marBottom w:val="80"/>
          <w:divBdr>
            <w:top w:val="none" w:sz="0" w:space="0" w:color="auto"/>
            <w:left w:val="none" w:sz="0" w:space="0" w:color="auto"/>
            <w:bottom w:val="none" w:sz="0" w:space="0" w:color="auto"/>
            <w:right w:val="none" w:sz="0" w:space="0" w:color="auto"/>
          </w:divBdr>
        </w:div>
        <w:div w:id="661741667">
          <w:marLeft w:val="360"/>
          <w:marRight w:val="0"/>
          <w:marTop w:val="200"/>
          <w:marBottom w:val="80"/>
          <w:divBdr>
            <w:top w:val="none" w:sz="0" w:space="0" w:color="auto"/>
            <w:left w:val="none" w:sz="0" w:space="0" w:color="auto"/>
            <w:bottom w:val="none" w:sz="0" w:space="0" w:color="auto"/>
            <w:right w:val="none" w:sz="0" w:space="0" w:color="auto"/>
          </w:divBdr>
        </w:div>
        <w:div w:id="410082346">
          <w:marLeft w:val="360"/>
          <w:marRight w:val="0"/>
          <w:marTop w:val="200"/>
          <w:marBottom w:val="80"/>
          <w:divBdr>
            <w:top w:val="none" w:sz="0" w:space="0" w:color="auto"/>
            <w:left w:val="none" w:sz="0" w:space="0" w:color="auto"/>
            <w:bottom w:val="none" w:sz="0" w:space="0" w:color="auto"/>
            <w:right w:val="none" w:sz="0" w:space="0" w:color="auto"/>
          </w:divBdr>
        </w:div>
        <w:div w:id="2070417584">
          <w:marLeft w:val="360"/>
          <w:marRight w:val="0"/>
          <w:marTop w:val="200"/>
          <w:marBottom w:val="80"/>
          <w:divBdr>
            <w:top w:val="none" w:sz="0" w:space="0" w:color="auto"/>
            <w:left w:val="none" w:sz="0" w:space="0" w:color="auto"/>
            <w:bottom w:val="none" w:sz="0" w:space="0" w:color="auto"/>
            <w:right w:val="none" w:sz="0" w:space="0" w:color="auto"/>
          </w:divBdr>
        </w:div>
      </w:divsChild>
    </w:div>
    <w:div w:id="1344550953">
      <w:bodyDiv w:val="1"/>
      <w:marLeft w:val="0"/>
      <w:marRight w:val="0"/>
      <w:marTop w:val="0"/>
      <w:marBottom w:val="0"/>
      <w:divBdr>
        <w:top w:val="none" w:sz="0" w:space="0" w:color="auto"/>
        <w:left w:val="none" w:sz="0" w:space="0" w:color="auto"/>
        <w:bottom w:val="none" w:sz="0" w:space="0" w:color="auto"/>
        <w:right w:val="none" w:sz="0" w:space="0" w:color="auto"/>
      </w:divBdr>
      <w:divsChild>
        <w:div w:id="197202760">
          <w:marLeft w:val="446"/>
          <w:marRight w:val="0"/>
          <w:marTop w:val="0"/>
          <w:marBottom w:val="0"/>
          <w:divBdr>
            <w:top w:val="none" w:sz="0" w:space="0" w:color="auto"/>
            <w:left w:val="none" w:sz="0" w:space="0" w:color="auto"/>
            <w:bottom w:val="none" w:sz="0" w:space="0" w:color="auto"/>
            <w:right w:val="none" w:sz="0" w:space="0" w:color="auto"/>
          </w:divBdr>
        </w:div>
      </w:divsChild>
    </w:div>
    <w:div w:id="1428966140">
      <w:bodyDiv w:val="1"/>
      <w:marLeft w:val="0"/>
      <w:marRight w:val="0"/>
      <w:marTop w:val="0"/>
      <w:marBottom w:val="0"/>
      <w:divBdr>
        <w:top w:val="none" w:sz="0" w:space="0" w:color="auto"/>
        <w:left w:val="none" w:sz="0" w:space="0" w:color="auto"/>
        <w:bottom w:val="none" w:sz="0" w:space="0" w:color="auto"/>
        <w:right w:val="none" w:sz="0" w:space="0" w:color="auto"/>
      </w:divBdr>
      <w:divsChild>
        <w:div w:id="1528903604">
          <w:marLeft w:val="1166"/>
          <w:marRight w:val="0"/>
          <w:marTop w:val="0"/>
          <w:marBottom w:val="0"/>
          <w:divBdr>
            <w:top w:val="none" w:sz="0" w:space="0" w:color="auto"/>
            <w:left w:val="none" w:sz="0" w:space="0" w:color="auto"/>
            <w:bottom w:val="none" w:sz="0" w:space="0" w:color="auto"/>
            <w:right w:val="none" w:sz="0" w:space="0" w:color="auto"/>
          </w:divBdr>
        </w:div>
        <w:div w:id="828208132">
          <w:marLeft w:val="1166"/>
          <w:marRight w:val="0"/>
          <w:marTop w:val="0"/>
          <w:marBottom w:val="0"/>
          <w:divBdr>
            <w:top w:val="none" w:sz="0" w:space="0" w:color="auto"/>
            <w:left w:val="none" w:sz="0" w:space="0" w:color="auto"/>
            <w:bottom w:val="none" w:sz="0" w:space="0" w:color="auto"/>
            <w:right w:val="none" w:sz="0" w:space="0" w:color="auto"/>
          </w:divBdr>
        </w:div>
      </w:divsChild>
    </w:div>
    <w:div w:id="1620910652">
      <w:bodyDiv w:val="1"/>
      <w:marLeft w:val="0"/>
      <w:marRight w:val="0"/>
      <w:marTop w:val="0"/>
      <w:marBottom w:val="0"/>
      <w:divBdr>
        <w:top w:val="none" w:sz="0" w:space="0" w:color="auto"/>
        <w:left w:val="none" w:sz="0" w:space="0" w:color="auto"/>
        <w:bottom w:val="none" w:sz="0" w:space="0" w:color="auto"/>
        <w:right w:val="none" w:sz="0" w:space="0" w:color="auto"/>
      </w:divBdr>
    </w:div>
    <w:div w:id="1755317098">
      <w:bodyDiv w:val="1"/>
      <w:marLeft w:val="0"/>
      <w:marRight w:val="0"/>
      <w:marTop w:val="0"/>
      <w:marBottom w:val="0"/>
      <w:divBdr>
        <w:top w:val="none" w:sz="0" w:space="0" w:color="auto"/>
        <w:left w:val="none" w:sz="0" w:space="0" w:color="auto"/>
        <w:bottom w:val="none" w:sz="0" w:space="0" w:color="auto"/>
        <w:right w:val="none" w:sz="0" w:space="0" w:color="auto"/>
      </w:divBdr>
    </w:div>
    <w:div w:id="1759328678">
      <w:bodyDiv w:val="1"/>
      <w:marLeft w:val="0"/>
      <w:marRight w:val="0"/>
      <w:marTop w:val="0"/>
      <w:marBottom w:val="0"/>
      <w:divBdr>
        <w:top w:val="none" w:sz="0" w:space="0" w:color="auto"/>
        <w:left w:val="none" w:sz="0" w:space="0" w:color="auto"/>
        <w:bottom w:val="none" w:sz="0" w:space="0" w:color="auto"/>
        <w:right w:val="none" w:sz="0" w:space="0" w:color="auto"/>
      </w:divBdr>
    </w:div>
    <w:div w:id="1928348836">
      <w:bodyDiv w:val="1"/>
      <w:marLeft w:val="0"/>
      <w:marRight w:val="0"/>
      <w:marTop w:val="0"/>
      <w:marBottom w:val="0"/>
      <w:divBdr>
        <w:top w:val="none" w:sz="0" w:space="0" w:color="auto"/>
        <w:left w:val="none" w:sz="0" w:space="0" w:color="auto"/>
        <w:bottom w:val="none" w:sz="0" w:space="0" w:color="auto"/>
        <w:right w:val="none" w:sz="0" w:space="0" w:color="auto"/>
      </w:divBdr>
    </w:div>
    <w:div w:id="2101444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jandra.Tellez@ventur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san.hughes@ventur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TariffUnit@cpuc.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4B"/>
    <w:rsid w:val="00BE16A7"/>
    <w:rsid w:val="00F6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62874CFB443798045947DF326169E">
    <w:name w:val="36862874CFB443798045947DF326169E"/>
    <w:rsid w:val="00F67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307EC439BB9C4881E1081A5B7EDB3E" ma:contentTypeVersion="8" ma:contentTypeDescription="Create a new document." ma:contentTypeScope="" ma:versionID="d125403ae504fb56e7a089734cb9ee29">
  <xsd:schema xmlns:xsd="http://www.w3.org/2001/XMLSchema" xmlns:xs="http://www.w3.org/2001/XMLSchema" xmlns:p="http://schemas.microsoft.com/office/2006/metadata/properties" xmlns:ns2="c39d0427-23a3-434a-87a3-106c18a58fcc" xmlns:ns3="e66e352d-2b92-4888-a5cf-03034ba3d8fd" targetNamespace="http://schemas.microsoft.com/office/2006/metadata/properties" ma:root="true" ma:fieldsID="8b2f294430ace01b6ebfbdd138930534" ns2:_="" ns3:_="">
    <xsd:import namespace="c39d0427-23a3-434a-87a3-106c18a58fcc"/>
    <xsd:import namespace="e66e352d-2b92-4888-a5cf-03034ba3d8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0427-23a3-434a-87a3-106c18a58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e352d-2b92-4888-a5cf-03034ba3d8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38AD5-0199-4E4C-826E-847B02DAAA18}">
  <ds:schemaRefs>
    <ds:schemaRef ds:uri="http://schemas.microsoft.com/sharepoint/v3/contenttype/forms"/>
  </ds:schemaRefs>
</ds:datastoreItem>
</file>

<file path=customXml/itemProps2.xml><?xml version="1.0" encoding="utf-8"?>
<ds:datastoreItem xmlns:ds="http://schemas.openxmlformats.org/officeDocument/2006/customXml" ds:itemID="{CBC64120-7ABF-4D79-8B65-897DB6B1DCA0}">
  <ds:schemaRefs>
    <ds:schemaRef ds:uri="http://purl.org/dc/terms/"/>
    <ds:schemaRef ds:uri="e66e352d-2b92-4888-a5cf-03034ba3d8fd"/>
    <ds:schemaRef ds:uri="http://schemas.microsoft.com/office/2006/documentManagement/types"/>
    <ds:schemaRef ds:uri="http://schemas.microsoft.com/office/infopath/2007/PartnerControls"/>
    <ds:schemaRef ds:uri="http://purl.org/dc/elements/1.1/"/>
    <ds:schemaRef ds:uri="http://schemas.microsoft.com/office/2006/metadata/properties"/>
    <ds:schemaRef ds:uri="c39d0427-23a3-434a-87a3-106c18a58fc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49706B-925E-4AFC-AC0E-EC5429AFD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d0427-23a3-434a-87a3-106c18a58fcc"/>
    <ds:schemaRef ds:uri="e66e352d-2b92-4888-a5cf-03034ba3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A00E0-1ECB-4238-A314-6C023D6F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3C-REN 2019 ABAL</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Jacoby</dc:creator>
  <cp:keywords/>
  <dc:description/>
  <cp:lastModifiedBy>Tellez, Alejandra</cp:lastModifiedBy>
  <cp:revision>3</cp:revision>
  <cp:lastPrinted>2017-11-17T00:58:00Z</cp:lastPrinted>
  <dcterms:created xsi:type="dcterms:W3CDTF">2018-07-31T23:35:00Z</dcterms:created>
  <dcterms:modified xsi:type="dcterms:W3CDTF">2018-07-31T23:43:00Z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0x01010016307EC439BB9C4881E1081A5B7EDB3E</vt:lpwstr>
  </property>
</Properties>
</file>