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FA19F" w14:textId="77777777" w:rsidR="002458CA" w:rsidRDefault="002458CA" w:rsidP="00695891">
      <w:pPr>
        <w:jc w:val="center"/>
        <w:rPr>
          <w:rFonts w:ascii="Times New Roman" w:hAnsi="Times New Roman" w:cs="Times New Roman"/>
        </w:rPr>
      </w:pPr>
    </w:p>
    <w:p w14:paraId="7195139A" w14:textId="77777777" w:rsidR="00043D64" w:rsidRDefault="00043D64" w:rsidP="00695891">
      <w:pPr>
        <w:jc w:val="center"/>
        <w:rPr>
          <w:rFonts w:ascii="Times New Roman" w:hAnsi="Times New Roman" w:cs="Times New Roman"/>
        </w:rPr>
      </w:pPr>
    </w:p>
    <w:p w14:paraId="17956153" w14:textId="15C7AA6C" w:rsidR="00727464" w:rsidRPr="00626F6D" w:rsidRDefault="00695891" w:rsidP="00695891">
      <w:pPr>
        <w:jc w:val="center"/>
        <w:rPr>
          <w:rFonts w:ascii="Times New Roman" w:hAnsi="Times New Roman" w:cs="Times New Roman"/>
        </w:rPr>
      </w:pPr>
      <w:r w:rsidRPr="00626F6D">
        <w:rPr>
          <w:rFonts w:ascii="Times New Roman" w:hAnsi="Times New Roman" w:cs="Times New Roman"/>
        </w:rPr>
        <w:t xml:space="preserve">September </w:t>
      </w:r>
      <w:r w:rsidR="00E1388B">
        <w:rPr>
          <w:rFonts w:ascii="Times New Roman" w:hAnsi="Times New Roman" w:cs="Times New Roman"/>
        </w:rPr>
        <w:t>2</w:t>
      </w:r>
      <w:r w:rsidRPr="00626F6D">
        <w:rPr>
          <w:rFonts w:ascii="Times New Roman" w:hAnsi="Times New Roman" w:cs="Times New Roman"/>
        </w:rPr>
        <w:t>, 2019</w:t>
      </w:r>
    </w:p>
    <w:p w14:paraId="58C37A07" w14:textId="77777777" w:rsidR="00727464" w:rsidRPr="00695891" w:rsidRDefault="00727464" w:rsidP="00695891">
      <w:pPr>
        <w:spacing w:after="0" w:line="240" w:lineRule="auto"/>
        <w:rPr>
          <w:rFonts w:ascii="Times New Roman" w:hAnsi="Times New Roman" w:cs="Times New Roman"/>
        </w:rPr>
      </w:pPr>
      <w:r w:rsidRPr="00695891">
        <w:rPr>
          <w:rFonts w:ascii="Times New Roman" w:hAnsi="Times New Roman" w:cs="Times New Roman"/>
        </w:rPr>
        <w:t>California Public Utilities Commission</w:t>
      </w:r>
    </w:p>
    <w:p w14:paraId="5E2D4651" w14:textId="77777777" w:rsidR="00727464" w:rsidRPr="00695891" w:rsidRDefault="00727464" w:rsidP="00695891">
      <w:pPr>
        <w:spacing w:after="0" w:line="240" w:lineRule="auto"/>
        <w:rPr>
          <w:rFonts w:ascii="Times New Roman" w:hAnsi="Times New Roman" w:cs="Times New Roman"/>
        </w:rPr>
      </w:pPr>
      <w:r w:rsidRPr="00695891">
        <w:rPr>
          <w:rFonts w:ascii="Times New Roman" w:hAnsi="Times New Roman" w:cs="Times New Roman"/>
        </w:rPr>
        <w:t>Energy Division Tariff Unit</w:t>
      </w:r>
    </w:p>
    <w:p w14:paraId="09EF8139" w14:textId="77777777" w:rsidR="00727464" w:rsidRPr="00695891" w:rsidRDefault="00727464" w:rsidP="00695891">
      <w:pPr>
        <w:spacing w:after="0" w:line="240" w:lineRule="auto"/>
        <w:rPr>
          <w:rFonts w:ascii="Times New Roman" w:hAnsi="Times New Roman" w:cs="Times New Roman"/>
        </w:rPr>
      </w:pPr>
      <w:r w:rsidRPr="00695891">
        <w:rPr>
          <w:rFonts w:ascii="Times New Roman" w:hAnsi="Times New Roman" w:cs="Times New Roman"/>
        </w:rPr>
        <w:t>505 Van Ness Ave.</w:t>
      </w:r>
    </w:p>
    <w:p w14:paraId="443D1B7C" w14:textId="77777777" w:rsidR="00727464" w:rsidRPr="00695891" w:rsidRDefault="00727464" w:rsidP="00695891">
      <w:pPr>
        <w:spacing w:after="0" w:line="240" w:lineRule="auto"/>
        <w:rPr>
          <w:rFonts w:ascii="Times New Roman" w:hAnsi="Times New Roman" w:cs="Times New Roman"/>
        </w:rPr>
      </w:pPr>
      <w:r w:rsidRPr="00695891">
        <w:rPr>
          <w:rFonts w:ascii="Times New Roman" w:hAnsi="Times New Roman" w:cs="Times New Roman"/>
        </w:rPr>
        <w:t>Fourth Floor</w:t>
      </w:r>
    </w:p>
    <w:p w14:paraId="77542B3A" w14:textId="77777777" w:rsidR="00727464" w:rsidRPr="00695891" w:rsidRDefault="00727464" w:rsidP="00695891">
      <w:pPr>
        <w:spacing w:after="0" w:line="240" w:lineRule="auto"/>
        <w:rPr>
          <w:rFonts w:ascii="Times New Roman" w:hAnsi="Times New Roman" w:cs="Times New Roman"/>
        </w:rPr>
      </w:pPr>
      <w:r w:rsidRPr="00695891">
        <w:rPr>
          <w:rFonts w:ascii="Times New Roman" w:hAnsi="Times New Roman" w:cs="Times New Roman"/>
        </w:rPr>
        <w:t>San Francisco, CA 94102-3298</w:t>
      </w:r>
    </w:p>
    <w:p w14:paraId="730B3F56" w14:textId="77777777" w:rsidR="00727464" w:rsidRPr="00695891" w:rsidRDefault="00727464" w:rsidP="00695891">
      <w:pPr>
        <w:spacing w:after="0" w:line="240" w:lineRule="auto"/>
        <w:rPr>
          <w:rFonts w:ascii="Times New Roman" w:hAnsi="Times New Roman" w:cs="Times New Roman"/>
          <w:b/>
        </w:rPr>
      </w:pPr>
      <w:r w:rsidRPr="00695891">
        <w:rPr>
          <w:rFonts w:ascii="Times New Roman" w:hAnsi="Times New Roman" w:cs="Times New Roman"/>
          <w:b/>
        </w:rPr>
        <w:t>Advice Letter 12-E</w:t>
      </w:r>
    </w:p>
    <w:p w14:paraId="1189BC68" w14:textId="77777777" w:rsidR="00695891" w:rsidRPr="00695891" w:rsidRDefault="00727464" w:rsidP="00695891">
      <w:pPr>
        <w:spacing w:before="120" w:after="120" w:line="240" w:lineRule="auto"/>
        <w:rPr>
          <w:rFonts w:ascii="Times New Roman" w:hAnsi="Times New Roman" w:cs="Times New Roman"/>
        </w:rPr>
      </w:pPr>
      <w:r w:rsidRPr="00695891">
        <w:rPr>
          <w:rFonts w:ascii="Times New Roman" w:hAnsi="Times New Roman" w:cs="Times New Roman"/>
        </w:rPr>
        <w:t>(BayREN ID #941)</w:t>
      </w:r>
    </w:p>
    <w:p w14:paraId="6C0DA67D" w14:textId="77777777" w:rsidR="00727464" w:rsidRPr="00695891" w:rsidRDefault="00727464" w:rsidP="00695891">
      <w:pPr>
        <w:pStyle w:val="Title"/>
      </w:pPr>
      <w:r w:rsidRPr="00695891">
        <w:t xml:space="preserve">Subject:  </w:t>
      </w:r>
    </w:p>
    <w:p w14:paraId="62B8F8E7" w14:textId="77777777" w:rsidR="00727464" w:rsidRPr="00695891" w:rsidRDefault="00727464" w:rsidP="00727464">
      <w:pPr>
        <w:rPr>
          <w:rFonts w:ascii="Times New Roman" w:hAnsi="Times New Roman" w:cs="Times New Roman"/>
        </w:rPr>
      </w:pPr>
      <w:r w:rsidRPr="00695891">
        <w:rPr>
          <w:rFonts w:ascii="Times New Roman" w:hAnsi="Times New Roman" w:cs="Times New Roman"/>
        </w:rPr>
        <w:t>BayREN 2020 Annual Energy Efficiency Program and Portfolio Budget Request</w:t>
      </w:r>
    </w:p>
    <w:p w14:paraId="6D319A8B" w14:textId="77777777" w:rsidR="00727464" w:rsidRPr="00695891" w:rsidRDefault="00727464" w:rsidP="00695891">
      <w:pPr>
        <w:pStyle w:val="Title"/>
      </w:pPr>
      <w:r w:rsidRPr="00695891">
        <w:t>Purpose</w:t>
      </w:r>
    </w:p>
    <w:p w14:paraId="2302C487" w14:textId="77777777" w:rsidR="00727464" w:rsidRPr="00695891" w:rsidRDefault="00727464" w:rsidP="00727464">
      <w:pPr>
        <w:rPr>
          <w:rFonts w:ascii="Times New Roman" w:hAnsi="Times New Roman" w:cs="Times New Roman"/>
        </w:rPr>
      </w:pPr>
      <w:r w:rsidRPr="00695891">
        <w:rPr>
          <w:rFonts w:ascii="Times New Roman" w:hAnsi="Times New Roman" w:cs="Times New Roman"/>
        </w:rPr>
        <w:t xml:space="preserve">The purpose of this advice filing is to seek approval for the 2020 Annual Energy Efficiency Program and Portfolio Budget request for the San Francisco Bay Area Regional Energy Network (“BayREN”).  </w:t>
      </w:r>
    </w:p>
    <w:p w14:paraId="3C3A369A" w14:textId="77777777" w:rsidR="00727464" w:rsidRPr="00695891" w:rsidRDefault="00727464" w:rsidP="00727464">
      <w:pPr>
        <w:rPr>
          <w:rFonts w:ascii="Times New Roman" w:hAnsi="Times New Roman" w:cs="Times New Roman"/>
        </w:rPr>
      </w:pPr>
      <w:r w:rsidRPr="00695891">
        <w:rPr>
          <w:rFonts w:ascii="Times New Roman" w:hAnsi="Times New Roman" w:cs="Times New Roman"/>
        </w:rPr>
        <w:t>The BayREN is a collaboration of the nine counties that make up the San Francisco Bay Area.  Led by the Association of Bay Area Governments</w:t>
      </w:r>
      <w:r w:rsidR="00695891">
        <w:rPr>
          <w:rStyle w:val="FootnoteReference"/>
          <w:rFonts w:ascii="Times New Roman" w:hAnsi="Times New Roman" w:cs="Times New Roman"/>
        </w:rPr>
        <w:footnoteReference w:id="1"/>
      </w:r>
      <w:r w:rsidRPr="00695891">
        <w:rPr>
          <w:rFonts w:ascii="Times New Roman" w:hAnsi="Times New Roman" w:cs="Times New Roman"/>
        </w:rPr>
        <w:t xml:space="preserve">, the BayREN implements effective energy saving programs on a regional level and draws on the expertise, experience, and proven track record of Bay Area local governments to develop and administer successful climate, resource, and sustainability programs.  Since its inception, the BayREN has been addressing the three areas indicated by Decision 12-11-015 in the formation and implementation of programs: filling gaps that the investor-owned utilities (“IOUs”) are not serving; developing programs for hard-to-reach markets; and piloting new approaches to programs that have the potential to scale and offer innovative avenues to energy savings.  </w:t>
      </w:r>
    </w:p>
    <w:p w14:paraId="204D7755" w14:textId="77777777" w:rsidR="00727464" w:rsidRPr="00695891" w:rsidRDefault="00727464" w:rsidP="00695891">
      <w:pPr>
        <w:pStyle w:val="Title"/>
      </w:pPr>
      <w:r w:rsidRPr="00695891">
        <w:t>Background</w:t>
      </w:r>
    </w:p>
    <w:p w14:paraId="56E7B2FF" w14:textId="0F0E2DE7" w:rsidR="00727464" w:rsidRPr="00695891" w:rsidRDefault="00727464" w:rsidP="00727464">
      <w:pPr>
        <w:rPr>
          <w:rFonts w:ascii="Times New Roman" w:hAnsi="Times New Roman" w:cs="Times New Roman"/>
        </w:rPr>
      </w:pPr>
      <w:r w:rsidRPr="00695891">
        <w:rPr>
          <w:rFonts w:ascii="Times New Roman" w:hAnsi="Times New Roman" w:cs="Times New Roman"/>
        </w:rPr>
        <w:t xml:space="preserve">In D. 14-10-046, the Commission approved the Rolling Portfolio funding, </w:t>
      </w:r>
      <w:r w:rsidR="00695891" w:rsidRPr="00695891">
        <w:rPr>
          <w:rFonts w:ascii="Times New Roman" w:hAnsi="Times New Roman" w:cs="Times New Roman"/>
        </w:rPr>
        <w:t>and provided</w:t>
      </w:r>
      <w:r w:rsidRPr="00695891">
        <w:rPr>
          <w:rFonts w:ascii="Times New Roman" w:hAnsi="Times New Roman" w:cs="Times New Roman"/>
        </w:rPr>
        <w:t xml:space="preserve"> that 2015 is</w:t>
      </w:r>
      <w:r w:rsidR="00F704C5">
        <w:rPr>
          <w:rFonts w:ascii="Times New Roman" w:hAnsi="Times New Roman" w:cs="Times New Roman"/>
        </w:rPr>
        <w:t xml:space="preserve"> “</w:t>
      </w:r>
      <w:r w:rsidRPr="00695891">
        <w:rPr>
          <w:rFonts w:ascii="Times New Roman" w:hAnsi="Times New Roman" w:cs="Times New Roman"/>
        </w:rPr>
        <w:t>year zero</w:t>
      </w:r>
      <w:r w:rsidR="00F704C5">
        <w:rPr>
          <w:rFonts w:ascii="Times New Roman" w:hAnsi="Times New Roman" w:cs="Times New Roman"/>
        </w:rPr>
        <w:t>”</w:t>
      </w:r>
      <w:r w:rsidRPr="00695891">
        <w:rPr>
          <w:rFonts w:ascii="Times New Roman" w:hAnsi="Times New Roman" w:cs="Times New Roman"/>
        </w:rPr>
        <w:t xml:space="preserve"> insofar as we are leaving 2015 programs and funding in place until the earlier of when we provide superseding direction, or 2025.”</w:t>
      </w:r>
      <w:r w:rsidR="00F704C5">
        <w:rPr>
          <w:rStyle w:val="FootnoteReference"/>
          <w:rFonts w:ascii="Times New Roman" w:hAnsi="Times New Roman" w:cs="Times New Roman"/>
        </w:rPr>
        <w:footnoteReference w:id="2"/>
      </w:r>
      <w:r w:rsidRPr="00695891">
        <w:rPr>
          <w:rFonts w:ascii="Times New Roman" w:hAnsi="Times New Roman" w:cs="Times New Roman"/>
        </w:rPr>
        <w:t xml:space="preserve"> In addition, funding for various financing programs, including BayREN’s Multifamily Capital Advance Program (“BAMCAP”), was previously approved in D.13-09-044.</w:t>
      </w:r>
      <w:r w:rsidR="00F704C5">
        <w:rPr>
          <w:rStyle w:val="FootnoteReference"/>
          <w:rFonts w:ascii="Times New Roman" w:hAnsi="Times New Roman" w:cs="Times New Roman"/>
        </w:rPr>
        <w:footnoteReference w:id="3"/>
      </w:r>
      <w:r w:rsidR="00F704C5">
        <w:rPr>
          <w:rFonts w:ascii="Times New Roman" w:hAnsi="Times New Roman" w:cs="Times New Roman"/>
        </w:rPr>
        <w:t xml:space="preserve"> </w:t>
      </w:r>
      <w:r w:rsidRPr="00695891">
        <w:rPr>
          <w:rFonts w:ascii="Times New Roman" w:hAnsi="Times New Roman" w:cs="Times New Roman"/>
        </w:rPr>
        <w:t>REN funding for 2018 was articulated in D.16-08-019: “[E]</w:t>
      </w:r>
      <w:proofErr w:type="spellStart"/>
      <w:r w:rsidRPr="00695891">
        <w:rPr>
          <w:rFonts w:ascii="Times New Roman" w:hAnsi="Times New Roman" w:cs="Times New Roman"/>
        </w:rPr>
        <w:t>xisting</w:t>
      </w:r>
      <w:proofErr w:type="spellEnd"/>
      <w:r w:rsidRPr="00695891">
        <w:rPr>
          <w:rFonts w:ascii="Times New Roman" w:hAnsi="Times New Roman" w:cs="Times New Roman"/>
        </w:rPr>
        <w:t xml:space="preserve"> approved activities [of the RENs] may have ongoing funding that was previously approved.”</w:t>
      </w:r>
      <w:r w:rsidR="00F704C5">
        <w:rPr>
          <w:rStyle w:val="FootnoteReference"/>
          <w:rFonts w:ascii="Times New Roman" w:hAnsi="Times New Roman" w:cs="Times New Roman"/>
        </w:rPr>
        <w:footnoteReference w:id="4"/>
      </w:r>
      <w:r w:rsidRPr="00695891">
        <w:rPr>
          <w:rFonts w:ascii="Times New Roman" w:hAnsi="Times New Roman" w:cs="Times New Roman"/>
        </w:rPr>
        <w:t xml:space="preserve"> </w:t>
      </w:r>
      <w:r w:rsidR="002D6628">
        <w:rPr>
          <w:rFonts w:ascii="Times New Roman" w:hAnsi="Times New Roman" w:cs="Times New Roman"/>
        </w:rPr>
        <w:t>I</w:t>
      </w:r>
      <w:r w:rsidRPr="00695891">
        <w:rPr>
          <w:rFonts w:ascii="Times New Roman" w:hAnsi="Times New Roman" w:cs="Times New Roman"/>
        </w:rPr>
        <w:t>n D.18-05-041, BayREN’s Business Plan and Budgets for the term of the Rolling Portfolio was approved with slight modifications.</w:t>
      </w:r>
    </w:p>
    <w:p w14:paraId="11CAC68B" w14:textId="658155DC" w:rsidR="00727464" w:rsidRPr="00695891" w:rsidRDefault="00727464" w:rsidP="00727464">
      <w:pPr>
        <w:rPr>
          <w:rFonts w:ascii="Times New Roman" w:hAnsi="Times New Roman" w:cs="Times New Roman"/>
        </w:rPr>
      </w:pPr>
      <w:r w:rsidRPr="00695891">
        <w:rPr>
          <w:rFonts w:ascii="Times New Roman" w:hAnsi="Times New Roman" w:cs="Times New Roman"/>
        </w:rPr>
        <w:t xml:space="preserve">D.15-10-028 established that on the first business day in September, each PA will file a Tier 2 advice letter for continued collection of Energy Efficiency (EE) funding from ratepayers.  This filing, which envisions ministerial review, is intended to formalize the Program Administrator’s annualized budget </w:t>
      </w:r>
      <w:r w:rsidRPr="00695891">
        <w:rPr>
          <w:rFonts w:ascii="Times New Roman" w:hAnsi="Times New Roman" w:cs="Times New Roman"/>
        </w:rPr>
        <w:lastRenderedPageBreak/>
        <w:t>which shall remain in place until superseded by Commission or Commission Staff action on the new budget.</w:t>
      </w:r>
      <w:r w:rsidR="00F704C5">
        <w:rPr>
          <w:rStyle w:val="FootnoteReference"/>
          <w:rFonts w:ascii="Times New Roman" w:hAnsi="Times New Roman" w:cs="Times New Roman"/>
        </w:rPr>
        <w:footnoteReference w:id="5"/>
      </w:r>
      <w:r w:rsidRPr="00695891">
        <w:rPr>
          <w:rFonts w:ascii="Times New Roman" w:hAnsi="Times New Roman" w:cs="Times New Roman"/>
        </w:rPr>
        <w:t xml:space="preserve">    </w:t>
      </w:r>
    </w:p>
    <w:p w14:paraId="2B2F772C" w14:textId="77777777" w:rsidR="00727464" w:rsidRDefault="00727464" w:rsidP="00727464">
      <w:pPr>
        <w:rPr>
          <w:rFonts w:ascii="Times New Roman" w:hAnsi="Times New Roman" w:cs="Times New Roman"/>
        </w:rPr>
      </w:pPr>
      <w:r w:rsidRPr="00695891">
        <w:rPr>
          <w:rFonts w:ascii="Times New Roman" w:hAnsi="Times New Roman" w:cs="Times New Roman"/>
        </w:rPr>
        <w:t xml:space="preserve">As directed by D.18-05-041 and additional guidance provided by Commission staff, BayREN has submitted via CEDARS-FM the 2020 BayREN Budget Filing Detail Report; the confirmation receipt is attached hereto as Attachment A. </w:t>
      </w:r>
    </w:p>
    <w:p w14:paraId="56FBA10F" w14:textId="77777777" w:rsidR="00727464" w:rsidRPr="00F704C5" w:rsidRDefault="00727464" w:rsidP="00F704C5">
      <w:pPr>
        <w:pStyle w:val="Title"/>
      </w:pPr>
      <w:r w:rsidRPr="00F704C5">
        <w:t>Discussion</w:t>
      </w:r>
    </w:p>
    <w:p w14:paraId="0E5EA0A2" w14:textId="77777777" w:rsidR="00727464" w:rsidRPr="00F704C5" w:rsidRDefault="00727464" w:rsidP="00F704C5">
      <w:pPr>
        <w:pStyle w:val="ListParagraph"/>
        <w:numPr>
          <w:ilvl w:val="0"/>
          <w:numId w:val="1"/>
        </w:numPr>
        <w:rPr>
          <w:rFonts w:ascii="Times New Roman" w:hAnsi="Times New Roman" w:cs="Times New Roman"/>
          <w:b/>
          <w:sz w:val="24"/>
        </w:rPr>
      </w:pPr>
      <w:r w:rsidRPr="00F704C5">
        <w:rPr>
          <w:rFonts w:ascii="Times New Roman" w:hAnsi="Times New Roman" w:cs="Times New Roman"/>
          <w:b/>
        </w:rPr>
        <w:t xml:space="preserve">BayREN 2020 Budget Request </w:t>
      </w:r>
    </w:p>
    <w:p w14:paraId="5F4514B5" w14:textId="69954CED" w:rsidR="002458CA" w:rsidRDefault="00727464" w:rsidP="00727464">
      <w:pPr>
        <w:rPr>
          <w:rFonts w:ascii="Times New Roman" w:hAnsi="Times New Roman" w:cs="Times New Roman"/>
        </w:rPr>
      </w:pPr>
      <w:r w:rsidRPr="00695891">
        <w:rPr>
          <w:rFonts w:ascii="Times New Roman" w:hAnsi="Times New Roman" w:cs="Times New Roman"/>
        </w:rPr>
        <w:t>BayREN requests a total portfolio and Evaluation, Measurement and Verification (“EM&amp;V”) budget of</w:t>
      </w:r>
      <w:r w:rsidR="00574FB2">
        <w:rPr>
          <w:rFonts w:ascii="Times New Roman" w:hAnsi="Times New Roman" w:cs="Times New Roman"/>
        </w:rPr>
        <w:t xml:space="preserve"> </w:t>
      </w:r>
      <w:r w:rsidR="00486F81" w:rsidRPr="00695891">
        <w:rPr>
          <w:rFonts w:ascii="Times New Roman" w:hAnsi="Times New Roman" w:cs="Times New Roman"/>
        </w:rPr>
        <w:t>$</w:t>
      </w:r>
      <w:r w:rsidR="00486F81">
        <w:rPr>
          <w:rFonts w:ascii="Times New Roman" w:hAnsi="Times New Roman" w:cs="Times New Roman"/>
        </w:rPr>
        <w:t>22,953,150</w:t>
      </w:r>
      <w:r w:rsidRPr="00695891">
        <w:rPr>
          <w:rFonts w:ascii="Times New Roman" w:hAnsi="Times New Roman" w:cs="Times New Roman"/>
        </w:rPr>
        <w:t xml:space="preserve">.  </w:t>
      </w:r>
      <w:r w:rsidR="00574FB2">
        <w:rPr>
          <w:rFonts w:ascii="Times New Roman" w:hAnsi="Times New Roman" w:cs="Times New Roman"/>
        </w:rPr>
        <w:t xml:space="preserve">This represents a slight decrease in the 2019 approved budget, as some funds were shifted into future years.  Budget shifts were also made between programs.  </w:t>
      </w:r>
      <w:r w:rsidRPr="00695891">
        <w:rPr>
          <w:rFonts w:ascii="Times New Roman" w:hAnsi="Times New Roman" w:cs="Times New Roman"/>
        </w:rPr>
        <w:t>The budget breakdown by sector and the energy savings is provided in Table 1</w:t>
      </w:r>
      <w:r w:rsidR="002458CA">
        <w:rPr>
          <w:rFonts w:ascii="Times New Roman" w:hAnsi="Times New Roman" w:cs="Times New Roman"/>
        </w:rPr>
        <w:t xml:space="preserve"> on the following page</w:t>
      </w:r>
      <w:r w:rsidRPr="00695891">
        <w:rPr>
          <w:rFonts w:ascii="Times New Roman" w:hAnsi="Times New Roman" w:cs="Times New Roman"/>
        </w:rPr>
        <w:t>.</w:t>
      </w:r>
      <w:r w:rsidR="00574FB2">
        <w:rPr>
          <w:rFonts w:ascii="Times New Roman" w:hAnsi="Times New Roman" w:cs="Times New Roman"/>
        </w:rPr>
        <w:t xml:space="preserve">  </w:t>
      </w:r>
      <w:r w:rsidR="00574FB2" w:rsidRPr="00574FB2">
        <w:rPr>
          <w:rFonts w:ascii="Times New Roman" w:hAnsi="Times New Roman" w:cs="Times New Roman"/>
          <w:b/>
        </w:rPr>
        <w:t>Note to CAEECC stakeholders</w:t>
      </w:r>
      <w:r w:rsidR="00574FB2">
        <w:rPr>
          <w:rFonts w:ascii="Times New Roman" w:hAnsi="Times New Roman" w:cs="Times New Roman"/>
        </w:rPr>
        <w:t>: the unspent funds amount is very preliminary and will be updated prior to submission of this Advice Letter.</w:t>
      </w:r>
    </w:p>
    <w:p w14:paraId="14A9EE2A" w14:textId="77777777" w:rsidR="002458CA" w:rsidRDefault="002458CA">
      <w:pPr>
        <w:rPr>
          <w:rFonts w:ascii="Times New Roman" w:hAnsi="Times New Roman" w:cs="Times New Roman"/>
        </w:rPr>
      </w:pPr>
      <w:r>
        <w:rPr>
          <w:rFonts w:ascii="Times New Roman" w:hAnsi="Times New Roman" w:cs="Times New Roman"/>
        </w:rPr>
        <w:br w:type="page"/>
      </w:r>
    </w:p>
    <w:p w14:paraId="783843E2" w14:textId="51C26D1B" w:rsidR="00727464" w:rsidRDefault="00727464" w:rsidP="00F704C5">
      <w:pPr>
        <w:ind w:firstLine="720"/>
        <w:rPr>
          <w:rFonts w:ascii="Times New Roman" w:hAnsi="Times New Roman" w:cs="Times New Roman"/>
          <w:b/>
        </w:rPr>
      </w:pPr>
      <w:r w:rsidRPr="00F704C5">
        <w:rPr>
          <w:rFonts w:ascii="Times New Roman" w:hAnsi="Times New Roman" w:cs="Times New Roman"/>
          <w:b/>
        </w:rPr>
        <w:lastRenderedPageBreak/>
        <w:t>Table 1: BayREN 2020 Budget and Savings</w:t>
      </w:r>
      <w:r w:rsidR="00501C06">
        <w:rPr>
          <w:rFonts w:ascii="Times New Roman" w:hAnsi="Times New Roman" w:cs="Times New Roman"/>
          <w:b/>
        </w:rPr>
        <w:t xml:space="preserve"> (Net)</w:t>
      </w:r>
      <w:r w:rsidR="00B600B5">
        <w:rPr>
          <w:rStyle w:val="FootnoteReference"/>
          <w:rFonts w:ascii="Times New Roman" w:hAnsi="Times New Roman" w:cs="Times New Roman"/>
          <w:b/>
        </w:rPr>
        <w:footnoteReference w:id="6"/>
      </w:r>
    </w:p>
    <w:tbl>
      <w:tblPr>
        <w:tblW w:w="11182" w:type="dxa"/>
        <w:tblInd w:w="-908" w:type="dxa"/>
        <w:tblLook w:val="04A0" w:firstRow="1" w:lastRow="0" w:firstColumn="1" w:lastColumn="0" w:noHBand="0" w:noVBand="1"/>
      </w:tblPr>
      <w:tblGrid>
        <w:gridCol w:w="4411"/>
        <w:gridCol w:w="2566"/>
        <w:gridCol w:w="1303"/>
        <w:gridCol w:w="1303"/>
        <w:gridCol w:w="1363"/>
        <w:gridCol w:w="236"/>
      </w:tblGrid>
      <w:tr w:rsidR="00902AF4" w:rsidRPr="00902AF4" w14:paraId="3EF7D362" w14:textId="77777777" w:rsidTr="00902AF4">
        <w:trPr>
          <w:trHeight w:val="612"/>
        </w:trPr>
        <w:tc>
          <w:tcPr>
            <w:tcW w:w="4411" w:type="dxa"/>
            <w:tcBorders>
              <w:top w:val="nil"/>
              <w:left w:val="nil"/>
              <w:bottom w:val="nil"/>
              <w:right w:val="nil"/>
            </w:tcBorders>
            <w:shd w:val="clear" w:color="auto" w:fill="auto"/>
            <w:noWrap/>
            <w:vAlign w:val="bottom"/>
            <w:hideMark/>
          </w:tcPr>
          <w:p w14:paraId="1D7B4A12" w14:textId="77777777" w:rsidR="00902AF4" w:rsidRPr="00902AF4" w:rsidRDefault="00902AF4" w:rsidP="00902AF4">
            <w:pPr>
              <w:spacing w:after="0" w:line="240" w:lineRule="auto"/>
              <w:rPr>
                <w:rFonts w:ascii="Calibri" w:eastAsia="Times New Roman" w:hAnsi="Calibri" w:cs="Calibri"/>
                <w:b/>
                <w:bCs/>
                <w:color w:val="000000"/>
              </w:rPr>
            </w:pPr>
            <w:r w:rsidRPr="00902AF4">
              <w:rPr>
                <w:rFonts w:ascii="Calibri" w:eastAsia="Times New Roman" w:hAnsi="Calibri" w:cs="Calibri"/>
                <w:b/>
                <w:bCs/>
                <w:color w:val="000000"/>
              </w:rPr>
              <w:t>Sector</w:t>
            </w:r>
          </w:p>
        </w:tc>
        <w:tc>
          <w:tcPr>
            <w:tcW w:w="2566" w:type="dxa"/>
            <w:tcBorders>
              <w:top w:val="nil"/>
              <w:left w:val="nil"/>
              <w:bottom w:val="nil"/>
              <w:right w:val="nil"/>
            </w:tcBorders>
            <w:shd w:val="clear" w:color="auto" w:fill="auto"/>
            <w:noWrap/>
            <w:vAlign w:val="center"/>
            <w:hideMark/>
          </w:tcPr>
          <w:p w14:paraId="1DD54EB0" w14:textId="77777777" w:rsidR="00902AF4" w:rsidRPr="00902AF4" w:rsidRDefault="00902AF4" w:rsidP="00902AF4">
            <w:pPr>
              <w:spacing w:after="0" w:line="240" w:lineRule="auto"/>
              <w:jc w:val="center"/>
              <w:rPr>
                <w:rFonts w:ascii="Calibri" w:eastAsia="Times New Roman" w:hAnsi="Calibri" w:cs="Calibri"/>
                <w:b/>
                <w:bCs/>
                <w:color w:val="000000"/>
              </w:rPr>
            </w:pPr>
            <w:r w:rsidRPr="00902AF4">
              <w:rPr>
                <w:rFonts w:ascii="Calibri" w:eastAsia="Times New Roman" w:hAnsi="Calibri" w:cs="Calibri"/>
                <w:b/>
                <w:bCs/>
                <w:color w:val="000000"/>
              </w:rPr>
              <w:t>Program Year 2020 Budget</w:t>
            </w:r>
          </w:p>
        </w:tc>
        <w:tc>
          <w:tcPr>
            <w:tcW w:w="1303" w:type="dxa"/>
            <w:tcBorders>
              <w:top w:val="nil"/>
              <w:left w:val="nil"/>
              <w:bottom w:val="single" w:sz="12" w:space="0" w:color="auto"/>
              <w:right w:val="nil"/>
            </w:tcBorders>
            <w:shd w:val="clear" w:color="auto" w:fill="auto"/>
            <w:vAlign w:val="center"/>
            <w:hideMark/>
          </w:tcPr>
          <w:p w14:paraId="1B38679E" w14:textId="77777777" w:rsidR="00902AF4" w:rsidRPr="00902AF4" w:rsidRDefault="00902AF4" w:rsidP="00902AF4">
            <w:pPr>
              <w:spacing w:after="0" w:line="240" w:lineRule="auto"/>
              <w:jc w:val="center"/>
              <w:rPr>
                <w:rFonts w:ascii="Calibri" w:eastAsia="Times New Roman" w:hAnsi="Calibri" w:cs="Calibri"/>
                <w:color w:val="000000"/>
              </w:rPr>
            </w:pPr>
            <w:r w:rsidRPr="00902AF4">
              <w:rPr>
                <w:rFonts w:ascii="Calibri" w:eastAsia="Times New Roman" w:hAnsi="Calibri" w:cs="Calibri"/>
                <w:color w:val="000000"/>
              </w:rPr>
              <w:t>Forecast MWh</w:t>
            </w:r>
          </w:p>
        </w:tc>
        <w:tc>
          <w:tcPr>
            <w:tcW w:w="1303" w:type="dxa"/>
            <w:tcBorders>
              <w:top w:val="nil"/>
              <w:left w:val="nil"/>
              <w:bottom w:val="single" w:sz="12" w:space="0" w:color="auto"/>
              <w:right w:val="nil"/>
            </w:tcBorders>
            <w:shd w:val="clear" w:color="auto" w:fill="auto"/>
            <w:vAlign w:val="center"/>
            <w:hideMark/>
          </w:tcPr>
          <w:p w14:paraId="5DEBDC48" w14:textId="77777777" w:rsidR="00902AF4" w:rsidRPr="00902AF4" w:rsidRDefault="00902AF4" w:rsidP="00902AF4">
            <w:pPr>
              <w:spacing w:after="0" w:line="240" w:lineRule="auto"/>
              <w:jc w:val="center"/>
              <w:rPr>
                <w:rFonts w:ascii="Calibri" w:eastAsia="Times New Roman" w:hAnsi="Calibri" w:cs="Calibri"/>
                <w:color w:val="000000"/>
              </w:rPr>
            </w:pPr>
            <w:r w:rsidRPr="00902AF4">
              <w:rPr>
                <w:rFonts w:ascii="Calibri" w:eastAsia="Times New Roman" w:hAnsi="Calibri" w:cs="Calibri"/>
                <w:color w:val="000000"/>
              </w:rPr>
              <w:t>Forecast     kW</w:t>
            </w:r>
          </w:p>
        </w:tc>
        <w:tc>
          <w:tcPr>
            <w:tcW w:w="1363" w:type="dxa"/>
            <w:tcBorders>
              <w:top w:val="nil"/>
              <w:left w:val="nil"/>
              <w:bottom w:val="single" w:sz="12" w:space="0" w:color="auto"/>
              <w:right w:val="nil"/>
            </w:tcBorders>
            <w:shd w:val="clear" w:color="auto" w:fill="auto"/>
            <w:vAlign w:val="center"/>
            <w:hideMark/>
          </w:tcPr>
          <w:p w14:paraId="3C6EA5BA" w14:textId="77777777" w:rsidR="00902AF4" w:rsidRPr="00902AF4" w:rsidRDefault="00902AF4" w:rsidP="00902AF4">
            <w:pPr>
              <w:spacing w:after="0" w:line="240" w:lineRule="auto"/>
              <w:jc w:val="center"/>
              <w:rPr>
                <w:rFonts w:ascii="Calibri" w:eastAsia="Times New Roman" w:hAnsi="Calibri" w:cs="Calibri"/>
                <w:color w:val="000000"/>
              </w:rPr>
            </w:pPr>
            <w:r w:rsidRPr="00902AF4">
              <w:rPr>
                <w:rFonts w:ascii="Calibri" w:eastAsia="Times New Roman" w:hAnsi="Calibri" w:cs="Calibri"/>
                <w:color w:val="000000"/>
              </w:rPr>
              <w:t xml:space="preserve">Forecast </w:t>
            </w:r>
            <w:r w:rsidRPr="00902AF4">
              <w:rPr>
                <w:rFonts w:ascii="Calibri" w:eastAsia="Times New Roman" w:hAnsi="Calibri" w:cs="Calibri"/>
                <w:color w:val="000000"/>
              </w:rPr>
              <w:br/>
              <w:t>MM therms</w:t>
            </w:r>
          </w:p>
        </w:tc>
        <w:tc>
          <w:tcPr>
            <w:tcW w:w="236" w:type="dxa"/>
            <w:tcBorders>
              <w:top w:val="nil"/>
              <w:left w:val="nil"/>
              <w:bottom w:val="nil"/>
              <w:right w:val="nil"/>
            </w:tcBorders>
            <w:shd w:val="clear" w:color="auto" w:fill="auto"/>
            <w:noWrap/>
            <w:vAlign w:val="bottom"/>
            <w:hideMark/>
          </w:tcPr>
          <w:p w14:paraId="7BD895CD" w14:textId="77777777" w:rsidR="00902AF4" w:rsidRPr="00902AF4" w:rsidRDefault="00902AF4" w:rsidP="00902AF4">
            <w:pPr>
              <w:spacing w:after="0" w:line="240" w:lineRule="auto"/>
              <w:jc w:val="center"/>
              <w:rPr>
                <w:rFonts w:ascii="Calibri" w:eastAsia="Times New Roman" w:hAnsi="Calibri" w:cs="Calibri"/>
                <w:color w:val="000000"/>
              </w:rPr>
            </w:pPr>
          </w:p>
        </w:tc>
      </w:tr>
      <w:tr w:rsidR="00902AF4" w:rsidRPr="00902AF4" w14:paraId="65E16E36" w14:textId="77777777" w:rsidTr="00902AF4">
        <w:trPr>
          <w:trHeight w:val="313"/>
        </w:trPr>
        <w:tc>
          <w:tcPr>
            <w:tcW w:w="4411" w:type="dxa"/>
            <w:tcBorders>
              <w:top w:val="single" w:sz="8" w:space="0" w:color="auto"/>
              <w:left w:val="single" w:sz="8" w:space="0" w:color="auto"/>
              <w:bottom w:val="nil"/>
              <w:right w:val="nil"/>
            </w:tcBorders>
            <w:shd w:val="clear" w:color="auto" w:fill="auto"/>
            <w:noWrap/>
            <w:vAlign w:val="bottom"/>
            <w:hideMark/>
          </w:tcPr>
          <w:p w14:paraId="44751E75" w14:textId="77777777" w:rsidR="00902AF4" w:rsidRPr="00902AF4" w:rsidRDefault="00902AF4" w:rsidP="00902AF4">
            <w:pPr>
              <w:spacing w:after="0" w:line="240" w:lineRule="auto"/>
              <w:rPr>
                <w:rFonts w:ascii="Calibri" w:eastAsia="Times New Roman" w:hAnsi="Calibri" w:cs="Calibri"/>
                <w:color w:val="000000"/>
              </w:rPr>
            </w:pPr>
            <w:r w:rsidRPr="00902AF4">
              <w:rPr>
                <w:rFonts w:ascii="Calibri" w:eastAsia="Times New Roman" w:hAnsi="Calibri" w:cs="Calibri"/>
                <w:color w:val="000000"/>
              </w:rPr>
              <w:t>Residential</w:t>
            </w:r>
          </w:p>
        </w:tc>
        <w:tc>
          <w:tcPr>
            <w:tcW w:w="2566" w:type="dxa"/>
            <w:tcBorders>
              <w:top w:val="single" w:sz="8" w:space="0" w:color="auto"/>
              <w:left w:val="nil"/>
              <w:bottom w:val="nil"/>
              <w:right w:val="single" w:sz="8" w:space="0" w:color="auto"/>
            </w:tcBorders>
            <w:shd w:val="clear" w:color="auto" w:fill="auto"/>
            <w:noWrap/>
            <w:vAlign w:val="center"/>
            <w:hideMark/>
          </w:tcPr>
          <w:p w14:paraId="5C1E4FC2" w14:textId="77777777" w:rsidR="00902AF4" w:rsidRPr="00902AF4" w:rsidRDefault="00902AF4" w:rsidP="00902AF4">
            <w:pPr>
              <w:spacing w:after="0" w:line="240" w:lineRule="auto"/>
              <w:jc w:val="right"/>
              <w:rPr>
                <w:rFonts w:ascii="Calibri" w:eastAsia="Times New Roman" w:hAnsi="Calibri" w:cs="Calibri"/>
                <w:color w:val="000000"/>
              </w:rPr>
            </w:pPr>
            <w:r w:rsidRPr="00902AF4">
              <w:rPr>
                <w:rFonts w:ascii="Calibri" w:eastAsia="Times New Roman" w:hAnsi="Calibri" w:cs="Calibri"/>
                <w:color w:val="000000"/>
              </w:rPr>
              <w:t xml:space="preserve">$16,705,479 </w:t>
            </w:r>
          </w:p>
        </w:tc>
        <w:tc>
          <w:tcPr>
            <w:tcW w:w="1303" w:type="dxa"/>
            <w:tcBorders>
              <w:top w:val="nil"/>
              <w:left w:val="nil"/>
              <w:bottom w:val="nil"/>
              <w:right w:val="single" w:sz="12" w:space="0" w:color="auto"/>
            </w:tcBorders>
            <w:shd w:val="clear" w:color="auto" w:fill="auto"/>
            <w:noWrap/>
            <w:vAlign w:val="center"/>
            <w:hideMark/>
          </w:tcPr>
          <w:p w14:paraId="11E6BCD7" w14:textId="77777777" w:rsidR="00902AF4" w:rsidRPr="00902AF4" w:rsidRDefault="00902AF4" w:rsidP="00902AF4">
            <w:pPr>
              <w:spacing w:after="0" w:line="240" w:lineRule="auto"/>
              <w:jc w:val="center"/>
              <w:rPr>
                <w:rFonts w:ascii="Calibri" w:eastAsia="Times New Roman" w:hAnsi="Calibri" w:cs="Calibri"/>
                <w:color w:val="000000"/>
              </w:rPr>
            </w:pPr>
            <w:r w:rsidRPr="00902AF4">
              <w:rPr>
                <w:rFonts w:ascii="Calibri" w:eastAsia="Times New Roman" w:hAnsi="Calibri" w:cs="Calibri"/>
                <w:color w:val="000000"/>
              </w:rPr>
              <w:t>2.50</w:t>
            </w:r>
          </w:p>
        </w:tc>
        <w:tc>
          <w:tcPr>
            <w:tcW w:w="1303" w:type="dxa"/>
            <w:tcBorders>
              <w:top w:val="nil"/>
              <w:left w:val="nil"/>
              <w:bottom w:val="nil"/>
              <w:right w:val="single" w:sz="12" w:space="0" w:color="auto"/>
            </w:tcBorders>
            <w:shd w:val="clear" w:color="auto" w:fill="auto"/>
            <w:noWrap/>
            <w:vAlign w:val="center"/>
            <w:hideMark/>
          </w:tcPr>
          <w:p w14:paraId="5BE74524" w14:textId="77777777" w:rsidR="00902AF4" w:rsidRPr="00902AF4" w:rsidRDefault="00902AF4" w:rsidP="00902AF4">
            <w:pPr>
              <w:spacing w:after="0" w:line="240" w:lineRule="auto"/>
              <w:jc w:val="center"/>
              <w:rPr>
                <w:rFonts w:ascii="Calibri" w:eastAsia="Times New Roman" w:hAnsi="Calibri" w:cs="Calibri"/>
                <w:color w:val="000000"/>
              </w:rPr>
            </w:pPr>
            <w:r w:rsidRPr="00902AF4">
              <w:rPr>
                <w:rFonts w:ascii="Calibri" w:eastAsia="Times New Roman" w:hAnsi="Calibri" w:cs="Calibri"/>
                <w:color w:val="000000"/>
              </w:rPr>
              <w:t>547</w:t>
            </w:r>
          </w:p>
        </w:tc>
        <w:tc>
          <w:tcPr>
            <w:tcW w:w="1363" w:type="dxa"/>
            <w:tcBorders>
              <w:top w:val="nil"/>
              <w:left w:val="nil"/>
              <w:bottom w:val="nil"/>
              <w:right w:val="single" w:sz="12" w:space="0" w:color="auto"/>
            </w:tcBorders>
            <w:shd w:val="clear" w:color="auto" w:fill="auto"/>
            <w:noWrap/>
            <w:vAlign w:val="center"/>
            <w:hideMark/>
          </w:tcPr>
          <w:p w14:paraId="52546964" w14:textId="77777777" w:rsidR="00902AF4" w:rsidRPr="00902AF4" w:rsidRDefault="00902AF4" w:rsidP="00902AF4">
            <w:pPr>
              <w:spacing w:after="0" w:line="240" w:lineRule="auto"/>
              <w:jc w:val="center"/>
              <w:rPr>
                <w:rFonts w:ascii="Calibri" w:eastAsia="Times New Roman" w:hAnsi="Calibri" w:cs="Calibri"/>
                <w:color w:val="000000"/>
              </w:rPr>
            </w:pPr>
            <w:r w:rsidRPr="00902AF4">
              <w:rPr>
                <w:rFonts w:ascii="Calibri" w:eastAsia="Times New Roman" w:hAnsi="Calibri" w:cs="Calibri"/>
                <w:color w:val="000000"/>
              </w:rPr>
              <w:t>0.21</w:t>
            </w:r>
          </w:p>
        </w:tc>
        <w:tc>
          <w:tcPr>
            <w:tcW w:w="236" w:type="dxa"/>
            <w:tcBorders>
              <w:top w:val="nil"/>
              <w:left w:val="nil"/>
              <w:bottom w:val="nil"/>
              <w:right w:val="nil"/>
            </w:tcBorders>
            <w:shd w:val="clear" w:color="auto" w:fill="auto"/>
            <w:noWrap/>
            <w:vAlign w:val="bottom"/>
          </w:tcPr>
          <w:p w14:paraId="0B5C1013" w14:textId="77777777" w:rsidR="00902AF4" w:rsidRPr="00902AF4" w:rsidRDefault="00902AF4" w:rsidP="00902AF4">
            <w:pPr>
              <w:spacing w:after="0" w:line="240" w:lineRule="auto"/>
              <w:jc w:val="center"/>
              <w:rPr>
                <w:rFonts w:ascii="Calibri" w:eastAsia="Times New Roman" w:hAnsi="Calibri" w:cs="Calibri"/>
                <w:color w:val="000000"/>
              </w:rPr>
            </w:pPr>
          </w:p>
        </w:tc>
      </w:tr>
      <w:tr w:rsidR="00902AF4" w:rsidRPr="00902AF4" w14:paraId="43017410" w14:textId="77777777" w:rsidTr="00902AF4">
        <w:trPr>
          <w:trHeight w:val="298"/>
        </w:trPr>
        <w:tc>
          <w:tcPr>
            <w:tcW w:w="4411" w:type="dxa"/>
            <w:tcBorders>
              <w:top w:val="nil"/>
              <w:left w:val="single" w:sz="8" w:space="0" w:color="auto"/>
              <w:bottom w:val="nil"/>
              <w:right w:val="nil"/>
            </w:tcBorders>
            <w:shd w:val="clear" w:color="auto" w:fill="auto"/>
            <w:noWrap/>
            <w:vAlign w:val="bottom"/>
            <w:hideMark/>
          </w:tcPr>
          <w:p w14:paraId="144DE822" w14:textId="77777777" w:rsidR="00902AF4" w:rsidRPr="00902AF4" w:rsidRDefault="00902AF4" w:rsidP="00902AF4">
            <w:pPr>
              <w:spacing w:after="0" w:line="240" w:lineRule="auto"/>
              <w:rPr>
                <w:rFonts w:ascii="Calibri" w:eastAsia="Times New Roman" w:hAnsi="Calibri" w:cs="Calibri"/>
                <w:color w:val="000000"/>
              </w:rPr>
            </w:pPr>
            <w:r w:rsidRPr="00902AF4">
              <w:rPr>
                <w:rFonts w:ascii="Calibri" w:eastAsia="Times New Roman" w:hAnsi="Calibri" w:cs="Calibri"/>
                <w:color w:val="000000"/>
              </w:rPr>
              <w:t>Commercial</w:t>
            </w:r>
          </w:p>
        </w:tc>
        <w:tc>
          <w:tcPr>
            <w:tcW w:w="2566" w:type="dxa"/>
            <w:tcBorders>
              <w:top w:val="nil"/>
              <w:left w:val="nil"/>
              <w:bottom w:val="nil"/>
              <w:right w:val="single" w:sz="8" w:space="0" w:color="auto"/>
            </w:tcBorders>
            <w:shd w:val="clear" w:color="auto" w:fill="auto"/>
            <w:noWrap/>
            <w:vAlign w:val="center"/>
            <w:hideMark/>
          </w:tcPr>
          <w:p w14:paraId="0BCF2404" w14:textId="77777777" w:rsidR="00902AF4" w:rsidRPr="00902AF4" w:rsidRDefault="00902AF4" w:rsidP="00902AF4">
            <w:pPr>
              <w:spacing w:after="0" w:line="240" w:lineRule="auto"/>
              <w:jc w:val="right"/>
              <w:rPr>
                <w:rFonts w:ascii="Calibri" w:eastAsia="Times New Roman" w:hAnsi="Calibri" w:cs="Calibri"/>
                <w:color w:val="000000"/>
              </w:rPr>
            </w:pPr>
            <w:r w:rsidRPr="00902AF4">
              <w:rPr>
                <w:rFonts w:ascii="Calibri" w:eastAsia="Times New Roman" w:hAnsi="Calibri" w:cs="Calibri"/>
                <w:color w:val="000000"/>
              </w:rPr>
              <w:t xml:space="preserve">$3,309,536 </w:t>
            </w:r>
          </w:p>
        </w:tc>
        <w:tc>
          <w:tcPr>
            <w:tcW w:w="1303" w:type="dxa"/>
            <w:tcBorders>
              <w:top w:val="nil"/>
              <w:left w:val="nil"/>
              <w:bottom w:val="nil"/>
              <w:right w:val="single" w:sz="12" w:space="0" w:color="auto"/>
            </w:tcBorders>
            <w:shd w:val="clear" w:color="auto" w:fill="auto"/>
            <w:noWrap/>
            <w:vAlign w:val="center"/>
            <w:hideMark/>
          </w:tcPr>
          <w:p w14:paraId="24A561C1" w14:textId="77777777" w:rsidR="00902AF4" w:rsidRPr="00902AF4" w:rsidRDefault="00902AF4" w:rsidP="00902AF4">
            <w:pPr>
              <w:spacing w:after="0" w:line="240" w:lineRule="auto"/>
              <w:jc w:val="center"/>
              <w:rPr>
                <w:rFonts w:ascii="Calibri" w:eastAsia="Times New Roman" w:hAnsi="Calibri" w:cs="Calibri"/>
                <w:color w:val="000000"/>
              </w:rPr>
            </w:pPr>
            <w:r w:rsidRPr="00902AF4">
              <w:rPr>
                <w:rFonts w:ascii="Calibri" w:eastAsia="Times New Roman" w:hAnsi="Calibri" w:cs="Calibri"/>
                <w:color w:val="000000"/>
              </w:rPr>
              <w:t>5.26</w:t>
            </w:r>
          </w:p>
        </w:tc>
        <w:tc>
          <w:tcPr>
            <w:tcW w:w="1303" w:type="dxa"/>
            <w:tcBorders>
              <w:top w:val="nil"/>
              <w:left w:val="nil"/>
              <w:bottom w:val="nil"/>
              <w:right w:val="single" w:sz="12" w:space="0" w:color="auto"/>
            </w:tcBorders>
            <w:shd w:val="clear" w:color="auto" w:fill="auto"/>
            <w:noWrap/>
            <w:vAlign w:val="center"/>
            <w:hideMark/>
          </w:tcPr>
          <w:p w14:paraId="77A3FAB5" w14:textId="77777777" w:rsidR="00902AF4" w:rsidRPr="00902AF4" w:rsidRDefault="00902AF4" w:rsidP="00902AF4">
            <w:pPr>
              <w:spacing w:after="0" w:line="240" w:lineRule="auto"/>
              <w:jc w:val="center"/>
              <w:rPr>
                <w:rFonts w:ascii="Calibri" w:eastAsia="Times New Roman" w:hAnsi="Calibri" w:cs="Calibri"/>
                <w:color w:val="000000"/>
              </w:rPr>
            </w:pPr>
            <w:r w:rsidRPr="00902AF4">
              <w:rPr>
                <w:rFonts w:ascii="Calibri" w:eastAsia="Times New Roman" w:hAnsi="Calibri" w:cs="Calibri"/>
                <w:color w:val="000000"/>
              </w:rPr>
              <w:t>196</w:t>
            </w:r>
          </w:p>
        </w:tc>
        <w:tc>
          <w:tcPr>
            <w:tcW w:w="1363" w:type="dxa"/>
            <w:tcBorders>
              <w:top w:val="nil"/>
              <w:left w:val="nil"/>
              <w:bottom w:val="nil"/>
              <w:right w:val="single" w:sz="12" w:space="0" w:color="auto"/>
            </w:tcBorders>
            <w:shd w:val="clear" w:color="auto" w:fill="auto"/>
            <w:noWrap/>
            <w:vAlign w:val="center"/>
            <w:hideMark/>
          </w:tcPr>
          <w:p w14:paraId="68D5EA89" w14:textId="77777777" w:rsidR="00902AF4" w:rsidRPr="00902AF4" w:rsidRDefault="00902AF4" w:rsidP="00902AF4">
            <w:pPr>
              <w:spacing w:after="0" w:line="240" w:lineRule="auto"/>
              <w:jc w:val="center"/>
              <w:rPr>
                <w:rFonts w:ascii="Calibri" w:eastAsia="Times New Roman" w:hAnsi="Calibri" w:cs="Calibri"/>
                <w:color w:val="000000"/>
              </w:rPr>
            </w:pPr>
            <w:r w:rsidRPr="00902AF4">
              <w:rPr>
                <w:rFonts w:ascii="Calibri" w:eastAsia="Times New Roman" w:hAnsi="Calibri" w:cs="Calibri"/>
                <w:color w:val="000000"/>
              </w:rPr>
              <w:t>0.02</w:t>
            </w:r>
          </w:p>
        </w:tc>
        <w:tc>
          <w:tcPr>
            <w:tcW w:w="236" w:type="dxa"/>
            <w:tcBorders>
              <w:top w:val="nil"/>
              <w:left w:val="nil"/>
              <w:bottom w:val="nil"/>
              <w:right w:val="nil"/>
            </w:tcBorders>
            <w:shd w:val="clear" w:color="auto" w:fill="auto"/>
            <w:noWrap/>
            <w:vAlign w:val="bottom"/>
            <w:hideMark/>
          </w:tcPr>
          <w:p w14:paraId="7193827A" w14:textId="77777777" w:rsidR="00902AF4" w:rsidRPr="00902AF4" w:rsidRDefault="00902AF4" w:rsidP="00902AF4">
            <w:pPr>
              <w:spacing w:after="0" w:line="240" w:lineRule="auto"/>
              <w:jc w:val="center"/>
              <w:rPr>
                <w:rFonts w:ascii="Calibri" w:eastAsia="Times New Roman" w:hAnsi="Calibri" w:cs="Calibri"/>
                <w:color w:val="000000"/>
              </w:rPr>
            </w:pPr>
          </w:p>
        </w:tc>
      </w:tr>
      <w:tr w:rsidR="00902AF4" w:rsidRPr="00902AF4" w14:paraId="6BFBAEC0" w14:textId="77777777" w:rsidTr="00902AF4">
        <w:trPr>
          <w:trHeight w:val="298"/>
        </w:trPr>
        <w:tc>
          <w:tcPr>
            <w:tcW w:w="4411" w:type="dxa"/>
            <w:tcBorders>
              <w:top w:val="nil"/>
              <w:left w:val="single" w:sz="8" w:space="0" w:color="auto"/>
              <w:bottom w:val="nil"/>
              <w:right w:val="nil"/>
            </w:tcBorders>
            <w:shd w:val="clear" w:color="auto" w:fill="auto"/>
            <w:noWrap/>
            <w:vAlign w:val="bottom"/>
            <w:hideMark/>
          </w:tcPr>
          <w:p w14:paraId="29CE5977" w14:textId="77777777" w:rsidR="00902AF4" w:rsidRPr="00902AF4" w:rsidRDefault="00902AF4" w:rsidP="00902AF4">
            <w:pPr>
              <w:spacing w:after="0" w:line="240" w:lineRule="auto"/>
              <w:rPr>
                <w:rFonts w:ascii="Calibri" w:eastAsia="Times New Roman" w:hAnsi="Calibri" w:cs="Calibri"/>
                <w:color w:val="000000"/>
              </w:rPr>
            </w:pPr>
            <w:r w:rsidRPr="00902AF4">
              <w:rPr>
                <w:rFonts w:ascii="Calibri" w:eastAsia="Times New Roman" w:hAnsi="Calibri" w:cs="Calibri"/>
                <w:color w:val="000000"/>
              </w:rPr>
              <w:t>Industrial</w:t>
            </w:r>
          </w:p>
        </w:tc>
        <w:tc>
          <w:tcPr>
            <w:tcW w:w="2566" w:type="dxa"/>
            <w:tcBorders>
              <w:top w:val="nil"/>
              <w:left w:val="nil"/>
              <w:bottom w:val="nil"/>
              <w:right w:val="single" w:sz="8" w:space="0" w:color="auto"/>
            </w:tcBorders>
            <w:shd w:val="clear" w:color="auto" w:fill="auto"/>
            <w:noWrap/>
            <w:vAlign w:val="center"/>
            <w:hideMark/>
          </w:tcPr>
          <w:p w14:paraId="6C4AE0ED" w14:textId="77777777" w:rsidR="00902AF4" w:rsidRPr="00902AF4" w:rsidRDefault="00902AF4" w:rsidP="00902AF4">
            <w:pPr>
              <w:spacing w:after="0" w:line="240" w:lineRule="auto"/>
              <w:jc w:val="right"/>
              <w:rPr>
                <w:rFonts w:ascii="Calibri" w:eastAsia="Times New Roman" w:hAnsi="Calibri" w:cs="Calibri"/>
                <w:color w:val="000000"/>
              </w:rPr>
            </w:pPr>
            <w:r w:rsidRPr="00902AF4">
              <w:rPr>
                <w:rFonts w:ascii="Calibri" w:eastAsia="Times New Roman" w:hAnsi="Calibri" w:cs="Calibri"/>
                <w:color w:val="000000"/>
              </w:rPr>
              <w:t> </w:t>
            </w:r>
          </w:p>
        </w:tc>
        <w:tc>
          <w:tcPr>
            <w:tcW w:w="1303" w:type="dxa"/>
            <w:tcBorders>
              <w:top w:val="nil"/>
              <w:left w:val="nil"/>
              <w:bottom w:val="nil"/>
              <w:right w:val="single" w:sz="12" w:space="0" w:color="auto"/>
            </w:tcBorders>
            <w:shd w:val="clear" w:color="auto" w:fill="auto"/>
            <w:noWrap/>
            <w:vAlign w:val="center"/>
            <w:hideMark/>
          </w:tcPr>
          <w:p w14:paraId="0FA3D4DE" w14:textId="77777777" w:rsidR="00902AF4" w:rsidRPr="00902AF4" w:rsidRDefault="00902AF4" w:rsidP="00902AF4">
            <w:pPr>
              <w:spacing w:after="0" w:line="240" w:lineRule="auto"/>
              <w:jc w:val="center"/>
              <w:rPr>
                <w:rFonts w:ascii="Calibri" w:eastAsia="Times New Roman" w:hAnsi="Calibri" w:cs="Calibri"/>
                <w:color w:val="000000"/>
              </w:rPr>
            </w:pPr>
            <w:r w:rsidRPr="00902AF4">
              <w:rPr>
                <w:rFonts w:ascii="Calibri" w:eastAsia="Times New Roman" w:hAnsi="Calibri" w:cs="Calibri"/>
                <w:color w:val="000000"/>
              </w:rPr>
              <w:t> </w:t>
            </w:r>
          </w:p>
        </w:tc>
        <w:tc>
          <w:tcPr>
            <w:tcW w:w="1303" w:type="dxa"/>
            <w:tcBorders>
              <w:top w:val="nil"/>
              <w:left w:val="nil"/>
              <w:bottom w:val="nil"/>
              <w:right w:val="single" w:sz="12" w:space="0" w:color="auto"/>
            </w:tcBorders>
            <w:shd w:val="clear" w:color="auto" w:fill="auto"/>
            <w:noWrap/>
            <w:vAlign w:val="center"/>
            <w:hideMark/>
          </w:tcPr>
          <w:p w14:paraId="1B2A0A5D" w14:textId="77777777" w:rsidR="00902AF4" w:rsidRPr="00902AF4" w:rsidRDefault="00902AF4" w:rsidP="00902AF4">
            <w:pPr>
              <w:spacing w:after="0" w:line="240" w:lineRule="auto"/>
              <w:jc w:val="center"/>
              <w:rPr>
                <w:rFonts w:ascii="Calibri" w:eastAsia="Times New Roman" w:hAnsi="Calibri" w:cs="Calibri"/>
                <w:color w:val="000000"/>
              </w:rPr>
            </w:pPr>
            <w:r w:rsidRPr="00902AF4">
              <w:rPr>
                <w:rFonts w:ascii="Calibri" w:eastAsia="Times New Roman" w:hAnsi="Calibri" w:cs="Calibri"/>
                <w:color w:val="000000"/>
              </w:rPr>
              <w:t> </w:t>
            </w:r>
          </w:p>
        </w:tc>
        <w:tc>
          <w:tcPr>
            <w:tcW w:w="1363" w:type="dxa"/>
            <w:tcBorders>
              <w:top w:val="nil"/>
              <w:left w:val="nil"/>
              <w:bottom w:val="nil"/>
              <w:right w:val="single" w:sz="12" w:space="0" w:color="auto"/>
            </w:tcBorders>
            <w:shd w:val="clear" w:color="auto" w:fill="auto"/>
            <w:noWrap/>
            <w:vAlign w:val="center"/>
            <w:hideMark/>
          </w:tcPr>
          <w:p w14:paraId="36DC50BA" w14:textId="77777777" w:rsidR="00902AF4" w:rsidRPr="00902AF4" w:rsidRDefault="00902AF4" w:rsidP="00902AF4">
            <w:pPr>
              <w:spacing w:after="0" w:line="240" w:lineRule="auto"/>
              <w:jc w:val="center"/>
              <w:rPr>
                <w:rFonts w:ascii="Calibri" w:eastAsia="Times New Roman" w:hAnsi="Calibri" w:cs="Calibri"/>
                <w:color w:val="000000"/>
              </w:rPr>
            </w:pPr>
            <w:r w:rsidRPr="00902AF4">
              <w:rPr>
                <w:rFonts w:ascii="Calibri" w:eastAsia="Times New Roman" w:hAnsi="Calibri" w:cs="Calibri"/>
                <w:color w:val="000000"/>
              </w:rPr>
              <w:t> </w:t>
            </w:r>
          </w:p>
        </w:tc>
        <w:tc>
          <w:tcPr>
            <w:tcW w:w="236" w:type="dxa"/>
            <w:tcBorders>
              <w:top w:val="nil"/>
              <w:left w:val="nil"/>
              <w:bottom w:val="nil"/>
              <w:right w:val="nil"/>
            </w:tcBorders>
            <w:shd w:val="clear" w:color="auto" w:fill="auto"/>
            <w:noWrap/>
            <w:vAlign w:val="bottom"/>
            <w:hideMark/>
          </w:tcPr>
          <w:p w14:paraId="3D11B93A" w14:textId="77777777" w:rsidR="00902AF4" w:rsidRPr="00902AF4" w:rsidRDefault="00902AF4" w:rsidP="00902AF4">
            <w:pPr>
              <w:spacing w:after="0" w:line="240" w:lineRule="auto"/>
              <w:jc w:val="center"/>
              <w:rPr>
                <w:rFonts w:ascii="Calibri" w:eastAsia="Times New Roman" w:hAnsi="Calibri" w:cs="Calibri"/>
                <w:color w:val="000000"/>
              </w:rPr>
            </w:pPr>
          </w:p>
        </w:tc>
      </w:tr>
      <w:tr w:rsidR="00902AF4" w:rsidRPr="00902AF4" w14:paraId="4EB06609" w14:textId="77777777" w:rsidTr="00902AF4">
        <w:trPr>
          <w:trHeight w:val="298"/>
        </w:trPr>
        <w:tc>
          <w:tcPr>
            <w:tcW w:w="4411" w:type="dxa"/>
            <w:tcBorders>
              <w:top w:val="nil"/>
              <w:left w:val="single" w:sz="8" w:space="0" w:color="auto"/>
              <w:bottom w:val="nil"/>
              <w:right w:val="nil"/>
            </w:tcBorders>
            <w:shd w:val="clear" w:color="auto" w:fill="auto"/>
            <w:noWrap/>
            <w:vAlign w:val="bottom"/>
            <w:hideMark/>
          </w:tcPr>
          <w:p w14:paraId="316BDCEF" w14:textId="77777777" w:rsidR="00902AF4" w:rsidRPr="00902AF4" w:rsidRDefault="00902AF4" w:rsidP="00902AF4">
            <w:pPr>
              <w:spacing w:after="0" w:line="240" w:lineRule="auto"/>
              <w:rPr>
                <w:rFonts w:ascii="Calibri" w:eastAsia="Times New Roman" w:hAnsi="Calibri" w:cs="Calibri"/>
                <w:color w:val="000000"/>
              </w:rPr>
            </w:pPr>
            <w:r w:rsidRPr="00902AF4">
              <w:rPr>
                <w:rFonts w:ascii="Calibri" w:eastAsia="Times New Roman" w:hAnsi="Calibri" w:cs="Calibri"/>
                <w:color w:val="000000"/>
              </w:rPr>
              <w:t>Agriculture</w:t>
            </w:r>
          </w:p>
        </w:tc>
        <w:tc>
          <w:tcPr>
            <w:tcW w:w="2566" w:type="dxa"/>
            <w:tcBorders>
              <w:top w:val="nil"/>
              <w:left w:val="nil"/>
              <w:bottom w:val="nil"/>
              <w:right w:val="single" w:sz="8" w:space="0" w:color="auto"/>
            </w:tcBorders>
            <w:shd w:val="clear" w:color="auto" w:fill="auto"/>
            <w:noWrap/>
            <w:vAlign w:val="center"/>
            <w:hideMark/>
          </w:tcPr>
          <w:p w14:paraId="120786EE" w14:textId="77777777" w:rsidR="00902AF4" w:rsidRPr="00902AF4" w:rsidRDefault="00902AF4" w:rsidP="00902AF4">
            <w:pPr>
              <w:spacing w:after="0" w:line="240" w:lineRule="auto"/>
              <w:jc w:val="right"/>
              <w:rPr>
                <w:rFonts w:ascii="Calibri" w:eastAsia="Times New Roman" w:hAnsi="Calibri" w:cs="Calibri"/>
                <w:color w:val="000000"/>
              </w:rPr>
            </w:pPr>
            <w:r w:rsidRPr="00902AF4">
              <w:rPr>
                <w:rFonts w:ascii="Calibri" w:eastAsia="Times New Roman" w:hAnsi="Calibri" w:cs="Calibri"/>
                <w:color w:val="000000"/>
              </w:rPr>
              <w:t> </w:t>
            </w:r>
          </w:p>
        </w:tc>
        <w:tc>
          <w:tcPr>
            <w:tcW w:w="1303" w:type="dxa"/>
            <w:tcBorders>
              <w:top w:val="nil"/>
              <w:left w:val="nil"/>
              <w:bottom w:val="nil"/>
              <w:right w:val="single" w:sz="12" w:space="0" w:color="auto"/>
            </w:tcBorders>
            <w:shd w:val="clear" w:color="auto" w:fill="auto"/>
            <w:noWrap/>
            <w:vAlign w:val="center"/>
            <w:hideMark/>
          </w:tcPr>
          <w:p w14:paraId="45D02497" w14:textId="77777777" w:rsidR="00902AF4" w:rsidRPr="00902AF4" w:rsidRDefault="00902AF4" w:rsidP="00902AF4">
            <w:pPr>
              <w:spacing w:after="0" w:line="240" w:lineRule="auto"/>
              <w:jc w:val="center"/>
              <w:rPr>
                <w:rFonts w:ascii="Calibri" w:eastAsia="Times New Roman" w:hAnsi="Calibri" w:cs="Calibri"/>
                <w:color w:val="000000"/>
              </w:rPr>
            </w:pPr>
            <w:r w:rsidRPr="00902AF4">
              <w:rPr>
                <w:rFonts w:ascii="Calibri" w:eastAsia="Times New Roman" w:hAnsi="Calibri" w:cs="Calibri"/>
                <w:color w:val="000000"/>
              </w:rPr>
              <w:t> </w:t>
            </w:r>
          </w:p>
        </w:tc>
        <w:tc>
          <w:tcPr>
            <w:tcW w:w="1303" w:type="dxa"/>
            <w:tcBorders>
              <w:top w:val="nil"/>
              <w:left w:val="nil"/>
              <w:bottom w:val="nil"/>
              <w:right w:val="single" w:sz="12" w:space="0" w:color="auto"/>
            </w:tcBorders>
            <w:shd w:val="clear" w:color="auto" w:fill="auto"/>
            <w:noWrap/>
            <w:vAlign w:val="center"/>
            <w:hideMark/>
          </w:tcPr>
          <w:p w14:paraId="5D187D4F" w14:textId="77777777" w:rsidR="00902AF4" w:rsidRPr="00902AF4" w:rsidRDefault="00902AF4" w:rsidP="00902AF4">
            <w:pPr>
              <w:spacing w:after="0" w:line="240" w:lineRule="auto"/>
              <w:jc w:val="center"/>
              <w:rPr>
                <w:rFonts w:ascii="Calibri" w:eastAsia="Times New Roman" w:hAnsi="Calibri" w:cs="Calibri"/>
                <w:color w:val="000000"/>
              </w:rPr>
            </w:pPr>
            <w:r w:rsidRPr="00902AF4">
              <w:rPr>
                <w:rFonts w:ascii="Calibri" w:eastAsia="Times New Roman" w:hAnsi="Calibri" w:cs="Calibri"/>
                <w:color w:val="000000"/>
              </w:rPr>
              <w:t> </w:t>
            </w:r>
          </w:p>
        </w:tc>
        <w:tc>
          <w:tcPr>
            <w:tcW w:w="1363" w:type="dxa"/>
            <w:tcBorders>
              <w:top w:val="nil"/>
              <w:left w:val="nil"/>
              <w:bottom w:val="nil"/>
              <w:right w:val="single" w:sz="12" w:space="0" w:color="auto"/>
            </w:tcBorders>
            <w:shd w:val="clear" w:color="auto" w:fill="auto"/>
            <w:noWrap/>
            <w:vAlign w:val="center"/>
            <w:hideMark/>
          </w:tcPr>
          <w:p w14:paraId="0F8C3258" w14:textId="77777777" w:rsidR="00902AF4" w:rsidRPr="00902AF4" w:rsidRDefault="00902AF4" w:rsidP="00902AF4">
            <w:pPr>
              <w:spacing w:after="0" w:line="240" w:lineRule="auto"/>
              <w:jc w:val="center"/>
              <w:rPr>
                <w:rFonts w:ascii="Calibri" w:eastAsia="Times New Roman" w:hAnsi="Calibri" w:cs="Calibri"/>
                <w:color w:val="000000"/>
              </w:rPr>
            </w:pPr>
            <w:r w:rsidRPr="00902AF4">
              <w:rPr>
                <w:rFonts w:ascii="Calibri" w:eastAsia="Times New Roman" w:hAnsi="Calibri" w:cs="Calibri"/>
                <w:color w:val="000000"/>
              </w:rPr>
              <w:t> </w:t>
            </w:r>
          </w:p>
        </w:tc>
        <w:tc>
          <w:tcPr>
            <w:tcW w:w="236" w:type="dxa"/>
            <w:tcBorders>
              <w:top w:val="nil"/>
              <w:left w:val="nil"/>
              <w:bottom w:val="nil"/>
              <w:right w:val="nil"/>
            </w:tcBorders>
            <w:shd w:val="clear" w:color="auto" w:fill="auto"/>
            <w:noWrap/>
            <w:vAlign w:val="bottom"/>
            <w:hideMark/>
          </w:tcPr>
          <w:p w14:paraId="10740A00" w14:textId="77777777" w:rsidR="00902AF4" w:rsidRPr="00902AF4" w:rsidRDefault="00902AF4" w:rsidP="00902AF4">
            <w:pPr>
              <w:spacing w:after="0" w:line="240" w:lineRule="auto"/>
              <w:jc w:val="center"/>
              <w:rPr>
                <w:rFonts w:ascii="Calibri" w:eastAsia="Times New Roman" w:hAnsi="Calibri" w:cs="Calibri"/>
                <w:color w:val="000000"/>
              </w:rPr>
            </w:pPr>
          </w:p>
        </w:tc>
      </w:tr>
      <w:tr w:rsidR="00902AF4" w:rsidRPr="00902AF4" w14:paraId="4C501E6B" w14:textId="77777777" w:rsidTr="00902AF4">
        <w:trPr>
          <w:trHeight w:val="298"/>
        </w:trPr>
        <w:tc>
          <w:tcPr>
            <w:tcW w:w="4411" w:type="dxa"/>
            <w:tcBorders>
              <w:top w:val="nil"/>
              <w:left w:val="single" w:sz="8" w:space="0" w:color="auto"/>
              <w:bottom w:val="nil"/>
              <w:right w:val="nil"/>
            </w:tcBorders>
            <w:shd w:val="clear" w:color="auto" w:fill="auto"/>
            <w:noWrap/>
            <w:vAlign w:val="bottom"/>
            <w:hideMark/>
          </w:tcPr>
          <w:p w14:paraId="60473E69" w14:textId="77777777" w:rsidR="00902AF4" w:rsidRPr="00902AF4" w:rsidRDefault="00902AF4" w:rsidP="00902AF4">
            <w:pPr>
              <w:spacing w:after="0" w:line="240" w:lineRule="auto"/>
              <w:rPr>
                <w:rFonts w:ascii="Calibri" w:eastAsia="Times New Roman" w:hAnsi="Calibri" w:cs="Calibri"/>
                <w:color w:val="000000"/>
              </w:rPr>
            </w:pPr>
            <w:r w:rsidRPr="00902AF4">
              <w:rPr>
                <w:rFonts w:ascii="Calibri" w:eastAsia="Times New Roman" w:hAnsi="Calibri" w:cs="Calibri"/>
                <w:color w:val="000000"/>
              </w:rPr>
              <w:t>Emerging Tech</w:t>
            </w:r>
          </w:p>
        </w:tc>
        <w:tc>
          <w:tcPr>
            <w:tcW w:w="2566" w:type="dxa"/>
            <w:tcBorders>
              <w:top w:val="nil"/>
              <w:left w:val="nil"/>
              <w:bottom w:val="nil"/>
              <w:right w:val="single" w:sz="8" w:space="0" w:color="auto"/>
            </w:tcBorders>
            <w:shd w:val="clear" w:color="auto" w:fill="auto"/>
            <w:noWrap/>
            <w:vAlign w:val="center"/>
            <w:hideMark/>
          </w:tcPr>
          <w:p w14:paraId="28322580" w14:textId="77777777" w:rsidR="00902AF4" w:rsidRPr="00902AF4" w:rsidRDefault="00902AF4" w:rsidP="00902AF4">
            <w:pPr>
              <w:spacing w:after="0" w:line="240" w:lineRule="auto"/>
              <w:jc w:val="right"/>
              <w:rPr>
                <w:rFonts w:ascii="Calibri" w:eastAsia="Times New Roman" w:hAnsi="Calibri" w:cs="Calibri"/>
                <w:color w:val="000000"/>
              </w:rPr>
            </w:pPr>
            <w:r w:rsidRPr="00902AF4">
              <w:rPr>
                <w:rFonts w:ascii="Calibri" w:eastAsia="Times New Roman" w:hAnsi="Calibri" w:cs="Calibri"/>
                <w:color w:val="000000"/>
              </w:rPr>
              <w:t> </w:t>
            </w:r>
          </w:p>
        </w:tc>
        <w:tc>
          <w:tcPr>
            <w:tcW w:w="1303" w:type="dxa"/>
            <w:tcBorders>
              <w:top w:val="nil"/>
              <w:left w:val="nil"/>
              <w:bottom w:val="nil"/>
              <w:right w:val="single" w:sz="12" w:space="0" w:color="auto"/>
            </w:tcBorders>
            <w:shd w:val="clear" w:color="auto" w:fill="auto"/>
            <w:noWrap/>
            <w:vAlign w:val="center"/>
            <w:hideMark/>
          </w:tcPr>
          <w:p w14:paraId="26D573CC" w14:textId="77777777" w:rsidR="00902AF4" w:rsidRPr="00902AF4" w:rsidRDefault="00902AF4" w:rsidP="00902AF4">
            <w:pPr>
              <w:spacing w:after="0" w:line="240" w:lineRule="auto"/>
              <w:jc w:val="center"/>
              <w:rPr>
                <w:rFonts w:ascii="Calibri" w:eastAsia="Times New Roman" w:hAnsi="Calibri" w:cs="Calibri"/>
                <w:color w:val="000000"/>
              </w:rPr>
            </w:pPr>
            <w:r w:rsidRPr="00902AF4">
              <w:rPr>
                <w:rFonts w:ascii="Calibri" w:eastAsia="Times New Roman" w:hAnsi="Calibri" w:cs="Calibri"/>
                <w:color w:val="000000"/>
              </w:rPr>
              <w:t> </w:t>
            </w:r>
          </w:p>
        </w:tc>
        <w:tc>
          <w:tcPr>
            <w:tcW w:w="1303" w:type="dxa"/>
            <w:tcBorders>
              <w:top w:val="nil"/>
              <w:left w:val="nil"/>
              <w:bottom w:val="nil"/>
              <w:right w:val="single" w:sz="12" w:space="0" w:color="auto"/>
            </w:tcBorders>
            <w:shd w:val="clear" w:color="auto" w:fill="auto"/>
            <w:noWrap/>
            <w:vAlign w:val="center"/>
            <w:hideMark/>
          </w:tcPr>
          <w:p w14:paraId="65C819D8" w14:textId="77777777" w:rsidR="00902AF4" w:rsidRPr="00902AF4" w:rsidRDefault="00902AF4" w:rsidP="00902AF4">
            <w:pPr>
              <w:spacing w:after="0" w:line="240" w:lineRule="auto"/>
              <w:jc w:val="center"/>
              <w:rPr>
                <w:rFonts w:ascii="Calibri" w:eastAsia="Times New Roman" w:hAnsi="Calibri" w:cs="Calibri"/>
                <w:color w:val="000000"/>
              </w:rPr>
            </w:pPr>
            <w:r w:rsidRPr="00902AF4">
              <w:rPr>
                <w:rFonts w:ascii="Calibri" w:eastAsia="Times New Roman" w:hAnsi="Calibri" w:cs="Calibri"/>
                <w:color w:val="000000"/>
              </w:rPr>
              <w:t> </w:t>
            </w:r>
          </w:p>
        </w:tc>
        <w:tc>
          <w:tcPr>
            <w:tcW w:w="1363" w:type="dxa"/>
            <w:tcBorders>
              <w:top w:val="nil"/>
              <w:left w:val="nil"/>
              <w:bottom w:val="nil"/>
              <w:right w:val="single" w:sz="12" w:space="0" w:color="auto"/>
            </w:tcBorders>
            <w:shd w:val="clear" w:color="auto" w:fill="auto"/>
            <w:noWrap/>
            <w:vAlign w:val="center"/>
            <w:hideMark/>
          </w:tcPr>
          <w:p w14:paraId="48947146" w14:textId="77777777" w:rsidR="00902AF4" w:rsidRPr="00902AF4" w:rsidRDefault="00902AF4" w:rsidP="00902AF4">
            <w:pPr>
              <w:spacing w:after="0" w:line="240" w:lineRule="auto"/>
              <w:jc w:val="center"/>
              <w:rPr>
                <w:rFonts w:ascii="Calibri" w:eastAsia="Times New Roman" w:hAnsi="Calibri" w:cs="Calibri"/>
                <w:color w:val="000000"/>
              </w:rPr>
            </w:pPr>
            <w:r w:rsidRPr="00902AF4">
              <w:rPr>
                <w:rFonts w:ascii="Calibri" w:eastAsia="Times New Roman" w:hAnsi="Calibri" w:cs="Calibri"/>
                <w:color w:val="000000"/>
              </w:rPr>
              <w:t> </w:t>
            </w:r>
          </w:p>
        </w:tc>
        <w:tc>
          <w:tcPr>
            <w:tcW w:w="236" w:type="dxa"/>
            <w:tcBorders>
              <w:top w:val="nil"/>
              <w:left w:val="nil"/>
              <w:bottom w:val="nil"/>
              <w:right w:val="nil"/>
            </w:tcBorders>
            <w:shd w:val="clear" w:color="auto" w:fill="auto"/>
            <w:noWrap/>
            <w:vAlign w:val="bottom"/>
            <w:hideMark/>
          </w:tcPr>
          <w:p w14:paraId="01CA634C" w14:textId="77777777" w:rsidR="00902AF4" w:rsidRPr="00902AF4" w:rsidRDefault="00902AF4" w:rsidP="00902AF4">
            <w:pPr>
              <w:spacing w:after="0" w:line="240" w:lineRule="auto"/>
              <w:jc w:val="center"/>
              <w:rPr>
                <w:rFonts w:ascii="Calibri" w:eastAsia="Times New Roman" w:hAnsi="Calibri" w:cs="Calibri"/>
                <w:color w:val="000000"/>
              </w:rPr>
            </w:pPr>
          </w:p>
        </w:tc>
      </w:tr>
      <w:tr w:rsidR="00902AF4" w:rsidRPr="00902AF4" w14:paraId="1FD59CBA" w14:textId="77777777" w:rsidTr="00902AF4">
        <w:trPr>
          <w:trHeight w:val="298"/>
        </w:trPr>
        <w:tc>
          <w:tcPr>
            <w:tcW w:w="4411" w:type="dxa"/>
            <w:tcBorders>
              <w:top w:val="nil"/>
              <w:left w:val="single" w:sz="8" w:space="0" w:color="auto"/>
              <w:bottom w:val="nil"/>
              <w:right w:val="nil"/>
            </w:tcBorders>
            <w:shd w:val="clear" w:color="auto" w:fill="auto"/>
            <w:noWrap/>
            <w:vAlign w:val="bottom"/>
            <w:hideMark/>
          </w:tcPr>
          <w:p w14:paraId="38ABD779" w14:textId="77777777" w:rsidR="00902AF4" w:rsidRPr="00902AF4" w:rsidRDefault="00902AF4" w:rsidP="00902AF4">
            <w:pPr>
              <w:spacing w:after="0" w:line="240" w:lineRule="auto"/>
              <w:rPr>
                <w:rFonts w:ascii="Calibri" w:eastAsia="Times New Roman" w:hAnsi="Calibri" w:cs="Calibri"/>
                <w:color w:val="000000"/>
              </w:rPr>
            </w:pPr>
            <w:r w:rsidRPr="00902AF4">
              <w:rPr>
                <w:rFonts w:ascii="Calibri" w:eastAsia="Times New Roman" w:hAnsi="Calibri" w:cs="Calibri"/>
                <w:color w:val="000000"/>
              </w:rPr>
              <w:t>Public</w:t>
            </w:r>
          </w:p>
        </w:tc>
        <w:tc>
          <w:tcPr>
            <w:tcW w:w="2566" w:type="dxa"/>
            <w:tcBorders>
              <w:top w:val="nil"/>
              <w:left w:val="nil"/>
              <w:bottom w:val="nil"/>
              <w:right w:val="single" w:sz="8" w:space="0" w:color="auto"/>
            </w:tcBorders>
            <w:shd w:val="clear" w:color="auto" w:fill="auto"/>
            <w:noWrap/>
            <w:vAlign w:val="center"/>
            <w:hideMark/>
          </w:tcPr>
          <w:p w14:paraId="33761D51" w14:textId="77777777" w:rsidR="00902AF4" w:rsidRPr="00902AF4" w:rsidRDefault="00902AF4" w:rsidP="00902AF4">
            <w:pPr>
              <w:spacing w:after="0" w:line="240" w:lineRule="auto"/>
              <w:jc w:val="right"/>
              <w:rPr>
                <w:rFonts w:ascii="Calibri" w:eastAsia="Times New Roman" w:hAnsi="Calibri" w:cs="Calibri"/>
                <w:color w:val="000000"/>
              </w:rPr>
            </w:pPr>
            <w:r w:rsidRPr="00902AF4">
              <w:rPr>
                <w:rFonts w:ascii="Calibri" w:eastAsia="Times New Roman" w:hAnsi="Calibri" w:cs="Calibri"/>
                <w:color w:val="000000"/>
              </w:rPr>
              <w:t> </w:t>
            </w:r>
          </w:p>
        </w:tc>
        <w:tc>
          <w:tcPr>
            <w:tcW w:w="1303" w:type="dxa"/>
            <w:tcBorders>
              <w:top w:val="nil"/>
              <w:left w:val="nil"/>
              <w:bottom w:val="nil"/>
              <w:right w:val="single" w:sz="12" w:space="0" w:color="auto"/>
            </w:tcBorders>
            <w:shd w:val="clear" w:color="auto" w:fill="auto"/>
            <w:noWrap/>
            <w:vAlign w:val="center"/>
            <w:hideMark/>
          </w:tcPr>
          <w:p w14:paraId="554F7687" w14:textId="77777777" w:rsidR="00902AF4" w:rsidRPr="00902AF4" w:rsidRDefault="00902AF4" w:rsidP="00902AF4">
            <w:pPr>
              <w:spacing w:after="0" w:line="240" w:lineRule="auto"/>
              <w:jc w:val="center"/>
              <w:rPr>
                <w:rFonts w:ascii="Calibri" w:eastAsia="Times New Roman" w:hAnsi="Calibri" w:cs="Calibri"/>
                <w:color w:val="000000"/>
              </w:rPr>
            </w:pPr>
            <w:r w:rsidRPr="00902AF4">
              <w:rPr>
                <w:rFonts w:ascii="Calibri" w:eastAsia="Times New Roman" w:hAnsi="Calibri" w:cs="Calibri"/>
                <w:color w:val="000000"/>
              </w:rPr>
              <w:t> </w:t>
            </w:r>
          </w:p>
        </w:tc>
        <w:tc>
          <w:tcPr>
            <w:tcW w:w="1303" w:type="dxa"/>
            <w:tcBorders>
              <w:top w:val="nil"/>
              <w:left w:val="nil"/>
              <w:bottom w:val="nil"/>
              <w:right w:val="single" w:sz="12" w:space="0" w:color="auto"/>
            </w:tcBorders>
            <w:shd w:val="clear" w:color="auto" w:fill="auto"/>
            <w:noWrap/>
            <w:vAlign w:val="center"/>
            <w:hideMark/>
          </w:tcPr>
          <w:p w14:paraId="64830B88" w14:textId="77777777" w:rsidR="00902AF4" w:rsidRPr="00902AF4" w:rsidRDefault="00902AF4" w:rsidP="00902AF4">
            <w:pPr>
              <w:spacing w:after="0" w:line="240" w:lineRule="auto"/>
              <w:jc w:val="center"/>
              <w:rPr>
                <w:rFonts w:ascii="Calibri" w:eastAsia="Times New Roman" w:hAnsi="Calibri" w:cs="Calibri"/>
                <w:color w:val="000000"/>
              </w:rPr>
            </w:pPr>
            <w:r w:rsidRPr="00902AF4">
              <w:rPr>
                <w:rFonts w:ascii="Calibri" w:eastAsia="Times New Roman" w:hAnsi="Calibri" w:cs="Calibri"/>
                <w:color w:val="000000"/>
              </w:rPr>
              <w:t> </w:t>
            </w:r>
          </w:p>
        </w:tc>
        <w:tc>
          <w:tcPr>
            <w:tcW w:w="1363" w:type="dxa"/>
            <w:tcBorders>
              <w:top w:val="nil"/>
              <w:left w:val="nil"/>
              <w:bottom w:val="nil"/>
              <w:right w:val="single" w:sz="12" w:space="0" w:color="auto"/>
            </w:tcBorders>
            <w:shd w:val="clear" w:color="auto" w:fill="auto"/>
            <w:noWrap/>
            <w:vAlign w:val="center"/>
            <w:hideMark/>
          </w:tcPr>
          <w:p w14:paraId="125E4F3A" w14:textId="77777777" w:rsidR="00902AF4" w:rsidRPr="00902AF4" w:rsidRDefault="00902AF4" w:rsidP="00902AF4">
            <w:pPr>
              <w:spacing w:after="0" w:line="240" w:lineRule="auto"/>
              <w:jc w:val="center"/>
              <w:rPr>
                <w:rFonts w:ascii="Calibri" w:eastAsia="Times New Roman" w:hAnsi="Calibri" w:cs="Calibri"/>
                <w:color w:val="000000"/>
              </w:rPr>
            </w:pPr>
            <w:r w:rsidRPr="00902AF4">
              <w:rPr>
                <w:rFonts w:ascii="Calibri" w:eastAsia="Times New Roman" w:hAnsi="Calibri" w:cs="Calibri"/>
                <w:color w:val="000000"/>
              </w:rPr>
              <w:t> </w:t>
            </w:r>
          </w:p>
        </w:tc>
        <w:tc>
          <w:tcPr>
            <w:tcW w:w="236" w:type="dxa"/>
            <w:tcBorders>
              <w:top w:val="nil"/>
              <w:left w:val="nil"/>
              <w:bottom w:val="nil"/>
              <w:right w:val="nil"/>
            </w:tcBorders>
            <w:shd w:val="clear" w:color="auto" w:fill="auto"/>
            <w:noWrap/>
            <w:vAlign w:val="bottom"/>
            <w:hideMark/>
          </w:tcPr>
          <w:p w14:paraId="47123059" w14:textId="77777777" w:rsidR="00902AF4" w:rsidRPr="00902AF4" w:rsidRDefault="00902AF4" w:rsidP="00902AF4">
            <w:pPr>
              <w:spacing w:after="0" w:line="240" w:lineRule="auto"/>
              <w:jc w:val="center"/>
              <w:rPr>
                <w:rFonts w:ascii="Calibri" w:eastAsia="Times New Roman" w:hAnsi="Calibri" w:cs="Calibri"/>
                <w:color w:val="000000"/>
              </w:rPr>
            </w:pPr>
          </w:p>
        </w:tc>
      </w:tr>
      <w:tr w:rsidR="00902AF4" w:rsidRPr="00902AF4" w14:paraId="0812D28E" w14:textId="77777777" w:rsidTr="00902AF4">
        <w:trPr>
          <w:trHeight w:val="298"/>
        </w:trPr>
        <w:tc>
          <w:tcPr>
            <w:tcW w:w="4411" w:type="dxa"/>
            <w:tcBorders>
              <w:top w:val="nil"/>
              <w:left w:val="single" w:sz="8" w:space="0" w:color="auto"/>
              <w:bottom w:val="nil"/>
              <w:right w:val="nil"/>
            </w:tcBorders>
            <w:shd w:val="clear" w:color="auto" w:fill="auto"/>
            <w:noWrap/>
            <w:vAlign w:val="bottom"/>
            <w:hideMark/>
          </w:tcPr>
          <w:p w14:paraId="60EA4F9B" w14:textId="77777777" w:rsidR="00902AF4" w:rsidRPr="00902AF4" w:rsidRDefault="00902AF4" w:rsidP="00902AF4">
            <w:pPr>
              <w:spacing w:after="0" w:line="240" w:lineRule="auto"/>
              <w:rPr>
                <w:rFonts w:ascii="Calibri" w:eastAsia="Times New Roman" w:hAnsi="Calibri" w:cs="Calibri"/>
                <w:color w:val="000000"/>
              </w:rPr>
            </w:pPr>
            <w:r w:rsidRPr="00902AF4">
              <w:rPr>
                <w:rFonts w:ascii="Calibri" w:eastAsia="Times New Roman" w:hAnsi="Calibri" w:cs="Calibri"/>
                <w:color w:val="000000"/>
              </w:rPr>
              <w:t>Codes and Standards</w:t>
            </w:r>
          </w:p>
        </w:tc>
        <w:tc>
          <w:tcPr>
            <w:tcW w:w="2566" w:type="dxa"/>
            <w:tcBorders>
              <w:top w:val="nil"/>
              <w:left w:val="nil"/>
              <w:bottom w:val="nil"/>
              <w:right w:val="single" w:sz="8" w:space="0" w:color="auto"/>
            </w:tcBorders>
            <w:shd w:val="clear" w:color="auto" w:fill="auto"/>
            <w:noWrap/>
            <w:vAlign w:val="center"/>
            <w:hideMark/>
          </w:tcPr>
          <w:p w14:paraId="17FCC474" w14:textId="77777777" w:rsidR="00902AF4" w:rsidRPr="00902AF4" w:rsidRDefault="00902AF4" w:rsidP="00902AF4">
            <w:pPr>
              <w:spacing w:after="0" w:line="240" w:lineRule="auto"/>
              <w:jc w:val="right"/>
              <w:rPr>
                <w:rFonts w:ascii="Calibri" w:eastAsia="Times New Roman" w:hAnsi="Calibri" w:cs="Calibri"/>
                <w:color w:val="000000"/>
              </w:rPr>
            </w:pPr>
            <w:r w:rsidRPr="00902AF4">
              <w:rPr>
                <w:rFonts w:ascii="Calibri" w:eastAsia="Times New Roman" w:hAnsi="Calibri" w:cs="Calibri"/>
                <w:color w:val="000000"/>
              </w:rPr>
              <w:t xml:space="preserve">$1,516,700 </w:t>
            </w:r>
          </w:p>
        </w:tc>
        <w:tc>
          <w:tcPr>
            <w:tcW w:w="1303" w:type="dxa"/>
            <w:tcBorders>
              <w:top w:val="nil"/>
              <w:left w:val="nil"/>
              <w:bottom w:val="nil"/>
              <w:right w:val="single" w:sz="12" w:space="0" w:color="auto"/>
            </w:tcBorders>
            <w:shd w:val="clear" w:color="auto" w:fill="auto"/>
            <w:noWrap/>
            <w:vAlign w:val="center"/>
            <w:hideMark/>
          </w:tcPr>
          <w:p w14:paraId="57095322" w14:textId="77777777" w:rsidR="00902AF4" w:rsidRPr="00902AF4" w:rsidRDefault="00902AF4" w:rsidP="00902AF4">
            <w:pPr>
              <w:spacing w:after="0" w:line="240" w:lineRule="auto"/>
              <w:jc w:val="center"/>
              <w:rPr>
                <w:rFonts w:ascii="Calibri" w:eastAsia="Times New Roman" w:hAnsi="Calibri" w:cs="Calibri"/>
                <w:color w:val="000000"/>
              </w:rPr>
            </w:pPr>
            <w:r w:rsidRPr="00902AF4">
              <w:rPr>
                <w:rFonts w:ascii="Calibri" w:eastAsia="Times New Roman" w:hAnsi="Calibri" w:cs="Calibri"/>
                <w:color w:val="000000"/>
              </w:rPr>
              <w:t>n/a</w:t>
            </w:r>
          </w:p>
        </w:tc>
        <w:tc>
          <w:tcPr>
            <w:tcW w:w="1303" w:type="dxa"/>
            <w:tcBorders>
              <w:top w:val="nil"/>
              <w:left w:val="nil"/>
              <w:bottom w:val="nil"/>
              <w:right w:val="single" w:sz="12" w:space="0" w:color="auto"/>
            </w:tcBorders>
            <w:shd w:val="clear" w:color="auto" w:fill="auto"/>
            <w:noWrap/>
            <w:vAlign w:val="center"/>
            <w:hideMark/>
          </w:tcPr>
          <w:p w14:paraId="1BC713A6" w14:textId="77777777" w:rsidR="00902AF4" w:rsidRPr="00902AF4" w:rsidRDefault="00902AF4" w:rsidP="00902AF4">
            <w:pPr>
              <w:spacing w:after="0" w:line="240" w:lineRule="auto"/>
              <w:jc w:val="center"/>
              <w:rPr>
                <w:rFonts w:ascii="Calibri" w:eastAsia="Times New Roman" w:hAnsi="Calibri" w:cs="Calibri"/>
                <w:color w:val="000000"/>
              </w:rPr>
            </w:pPr>
            <w:r w:rsidRPr="00902AF4">
              <w:rPr>
                <w:rFonts w:ascii="Calibri" w:eastAsia="Times New Roman" w:hAnsi="Calibri" w:cs="Calibri"/>
                <w:color w:val="000000"/>
              </w:rPr>
              <w:t>n/a</w:t>
            </w:r>
          </w:p>
        </w:tc>
        <w:tc>
          <w:tcPr>
            <w:tcW w:w="1363" w:type="dxa"/>
            <w:tcBorders>
              <w:top w:val="nil"/>
              <w:left w:val="nil"/>
              <w:bottom w:val="nil"/>
              <w:right w:val="single" w:sz="12" w:space="0" w:color="auto"/>
            </w:tcBorders>
            <w:shd w:val="clear" w:color="auto" w:fill="auto"/>
            <w:noWrap/>
            <w:vAlign w:val="center"/>
            <w:hideMark/>
          </w:tcPr>
          <w:p w14:paraId="3F49880B" w14:textId="77777777" w:rsidR="00902AF4" w:rsidRPr="00902AF4" w:rsidRDefault="00902AF4" w:rsidP="00902AF4">
            <w:pPr>
              <w:spacing w:after="0" w:line="240" w:lineRule="auto"/>
              <w:jc w:val="center"/>
              <w:rPr>
                <w:rFonts w:ascii="Calibri" w:eastAsia="Times New Roman" w:hAnsi="Calibri" w:cs="Calibri"/>
                <w:color w:val="000000"/>
              </w:rPr>
            </w:pPr>
            <w:r w:rsidRPr="00902AF4">
              <w:rPr>
                <w:rFonts w:ascii="Calibri" w:eastAsia="Times New Roman" w:hAnsi="Calibri" w:cs="Calibri"/>
                <w:color w:val="000000"/>
              </w:rPr>
              <w:t>n/a</w:t>
            </w:r>
          </w:p>
        </w:tc>
        <w:tc>
          <w:tcPr>
            <w:tcW w:w="236" w:type="dxa"/>
            <w:tcBorders>
              <w:top w:val="nil"/>
              <w:left w:val="nil"/>
              <w:bottom w:val="nil"/>
              <w:right w:val="nil"/>
            </w:tcBorders>
            <w:shd w:val="clear" w:color="auto" w:fill="auto"/>
            <w:noWrap/>
            <w:vAlign w:val="bottom"/>
            <w:hideMark/>
          </w:tcPr>
          <w:p w14:paraId="02F4E571" w14:textId="77777777" w:rsidR="00902AF4" w:rsidRPr="00902AF4" w:rsidRDefault="00902AF4" w:rsidP="00902AF4">
            <w:pPr>
              <w:spacing w:after="0" w:line="240" w:lineRule="auto"/>
              <w:jc w:val="center"/>
              <w:rPr>
                <w:rFonts w:ascii="Calibri" w:eastAsia="Times New Roman" w:hAnsi="Calibri" w:cs="Calibri"/>
                <w:color w:val="000000"/>
              </w:rPr>
            </w:pPr>
          </w:p>
        </w:tc>
      </w:tr>
      <w:tr w:rsidR="00902AF4" w:rsidRPr="00902AF4" w14:paraId="73284307" w14:textId="77777777" w:rsidTr="00902AF4">
        <w:trPr>
          <w:trHeight w:val="298"/>
        </w:trPr>
        <w:tc>
          <w:tcPr>
            <w:tcW w:w="4411" w:type="dxa"/>
            <w:tcBorders>
              <w:top w:val="nil"/>
              <w:left w:val="single" w:sz="8" w:space="0" w:color="auto"/>
              <w:bottom w:val="nil"/>
              <w:right w:val="nil"/>
            </w:tcBorders>
            <w:shd w:val="clear" w:color="auto" w:fill="auto"/>
            <w:noWrap/>
            <w:vAlign w:val="bottom"/>
            <w:hideMark/>
          </w:tcPr>
          <w:p w14:paraId="55245566" w14:textId="77777777" w:rsidR="00902AF4" w:rsidRPr="00902AF4" w:rsidRDefault="00902AF4" w:rsidP="00902AF4">
            <w:pPr>
              <w:spacing w:after="0" w:line="240" w:lineRule="auto"/>
              <w:rPr>
                <w:rFonts w:ascii="Calibri" w:eastAsia="Times New Roman" w:hAnsi="Calibri" w:cs="Calibri"/>
                <w:color w:val="000000"/>
              </w:rPr>
            </w:pPr>
            <w:r w:rsidRPr="00902AF4">
              <w:rPr>
                <w:rFonts w:ascii="Calibri" w:eastAsia="Times New Roman" w:hAnsi="Calibri" w:cs="Calibri"/>
                <w:color w:val="000000"/>
              </w:rPr>
              <w:t>WE&amp;T</w:t>
            </w:r>
          </w:p>
        </w:tc>
        <w:tc>
          <w:tcPr>
            <w:tcW w:w="2566" w:type="dxa"/>
            <w:tcBorders>
              <w:top w:val="nil"/>
              <w:left w:val="nil"/>
              <w:bottom w:val="nil"/>
              <w:right w:val="single" w:sz="8" w:space="0" w:color="auto"/>
            </w:tcBorders>
            <w:shd w:val="clear" w:color="auto" w:fill="auto"/>
            <w:noWrap/>
            <w:vAlign w:val="center"/>
            <w:hideMark/>
          </w:tcPr>
          <w:p w14:paraId="6DED0348" w14:textId="77777777" w:rsidR="00902AF4" w:rsidRPr="00902AF4" w:rsidRDefault="00902AF4" w:rsidP="00902AF4">
            <w:pPr>
              <w:spacing w:after="0" w:line="240" w:lineRule="auto"/>
              <w:jc w:val="right"/>
              <w:rPr>
                <w:rFonts w:ascii="Calibri" w:eastAsia="Times New Roman" w:hAnsi="Calibri" w:cs="Calibri"/>
                <w:color w:val="000000"/>
              </w:rPr>
            </w:pPr>
            <w:r w:rsidRPr="00902AF4">
              <w:rPr>
                <w:rFonts w:ascii="Calibri" w:eastAsia="Times New Roman" w:hAnsi="Calibri" w:cs="Calibri"/>
                <w:color w:val="000000"/>
              </w:rPr>
              <w:t> </w:t>
            </w:r>
          </w:p>
        </w:tc>
        <w:tc>
          <w:tcPr>
            <w:tcW w:w="1303" w:type="dxa"/>
            <w:tcBorders>
              <w:top w:val="nil"/>
              <w:left w:val="nil"/>
              <w:bottom w:val="nil"/>
              <w:right w:val="single" w:sz="12" w:space="0" w:color="auto"/>
            </w:tcBorders>
            <w:shd w:val="clear" w:color="auto" w:fill="auto"/>
            <w:noWrap/>
            <w:vAlign w:val="center"/>
            <w:hideMark/>
          </w:tcPr>
          <w:p w14:paraId="38A3DEE3" w14:textId="77777777" w:rsidR="00902AF4" w:rsidRPr="00902AF4" w:rsidRDefault="00902AF4" w:rsidP="00902AF4">
            <w:pPr>
              <w:spacing w:after="0" w:line="240" w:lineRule="auto"/>
              <w:jc w:val="center"/>
              <w:rPr>
                <w:rFonts w:ascii="Calibri" w:eastAsia="Times New Roman" w:hAnsi="Calibri" w:cs="Calibri"/>
                <w:color w:val="000000"/>
              </w:rPr>
            </w:pPr>
            <w:r w:rsidRPr="00902AF4">
              <w:rPr>
                <w:rFonts w:ascii="Calibri" w:eastAsia="Times New Roman" w:hAnsi="Calibri" w:cs="Calibri"/>
                <w:color w:val="000000"/>
              </w:rPr>
              <w:t> </w:t>
            </w:r>
          </w:p>
        </w:tc>
        <w:tc>
          <w:tcPr>
            <w:tcW w:w="1303" w:type="dxa"/>
            <w:tcBorders>
              <w:top w:val="nil"/>
              <w:left w:val="nil"/>
              <w:bottom w:val="nil"/>
              <w:right w:val="single" w:sz="12" w:space="0" w:color="auto"/>
            </w:tcBorders>
            <w:shd w:val="clear" w:color="auto" w:fill="auto"/>
            <w:noWrap/>
            <w:vAlign w:val="center"/>
            <w:hideMark/>
          </w:tcPr>
          <w:p w14:paraId="01AA7C84" w14:textId="77777777" w:rsidR="00902AF4" w:rsidRPr="00902AF4" w:rsidRDefault="00902AF4" w:rsidP="00902AF4">
            <w:pPr>
              <w:spacing w:after="0" w:line="240" w:lineRule="auto"/>
              <w:jc w:val="center"/>
              <w:rPr>
                <w:rFonts w:ascii="Calibri" w:eastAsia="Times New Roman" w:hAnsi="Calibri" w:cs="Calibri"/>
                <w:color w:val="000000"/>
              </w:rPr>
            </w:pPr>
            <w:r w:rsidRPr="00902AF4">
              <w:rPr>
                <w:rFonts w:ascii="Calibri" w:eastAsia="Times New Roman" w:hAnsi="Calibri" w:cs="Calibri"/>
                <w:color w:val="000000"/>
              </w:rPr>
              <w:t> </w:t>
            </w:r>
          </w:p>
        </w:tc>
        <w:tc>
          <w:tcPr>
            <w:tcW w:w="1363" w:type="dxa"/>
            <w:tcBorders>
              <w:top w:val="nil"/>
              <w:left w:val="nil"/>
              <w:bottom w:val="nil"/>
              <w:right w:val="single" w:sz="12" w:space="0" w:color="auto"/>
            </w:tcBorders>
            <w:shd w:val="clear" w:color="auto" w:fill="auto"/>
            <w:noWrap/>
            <w:vAlign w:val="center"/>
            <w:hideMark/>
          </w:tcPr>
          <w:p w14:paraId="04778376" w14:textId="77777777" w:rsidR="00902AF4" w:rsidRPr="00902AF4" w:rsidRDefault="00902AF4" w:rsidP="00902AF4">
            <w:pPr>
              <w:spacing w:after="0" w:line="240" w:lineRule="auto"/>
              <w:jc w:val="center"/>
              <w:rPr>
                <w:rFonts w:ascii="Calibri" w:eastAsia="Times New Roman" w:hAnsi="Calibri" w:cs="Calibri"/>
                <w:color w:val="000000"/>
              </w:rPr>
            </w:pPr>
            <w:r w:rsidRPr="00902AF4">
              <w:rPr>
                <w:rFonts w:ascii="Calibri" w:eastAsia="Times New Roman" w:hAnsi="Calibri" w:cs="Calibri"/>
                <w:color w:val="000000"/>
              </w:rPr>
              <w:t> </w:t>
            </w:r>
          </w:p>
        </w:tc>
        <w:tc>
          <w:tcPr>
            <w:tcW w:w="236" w:type="dxa"/>
            <w:tcBorders>
              <w:top w:val="nil"/>
              <w:left w:val="nil"/>
              <w:bottom w:val="nil"/>
              <w:right w:val="nil"/>
            </w:tcBorders>
            <w:shd w:val="clear" w:color="auto" w:fill="auto"/>
            <w:noWrap/>
            <w:vAlign w:val="bottom"/>
            <w:hideMark/>
          </w:tcPr>
          <w:p w14:paraId="77FAFF7C" w14:textId="77777777" w:rsidR="00902AF4" w:rsidRPr="00902AF4" w:rsidRDefault="00902AF4" w:rsidP="00902AF4">
            <w:pPr>
              <w:spacing w:after="0" w:line="240" w:lineRule="auto"/>
              <w:jc w:val="center"/>
              <w:rPr>
                <w:rFonts w:ascii="Calibri" w:eastAsia="Times New Roman" w:hAnsi="Calibri" w:cs="Calibri"/>
                <w:color w:val="000000"/>
              </w:rPr>
            </w:pPr>
          </w:p>
        </w:tc>
      </w:tr>
      <w:tr w:rsidR="00902AF4" w:rsidRPr="00902AF4" w14:paraId="2A5B150C" w14:textId="77777777" w:rsidTr="00902AF4">
        <w:trPr>
          <w:trHeight w:val="298"/>
        </w:trPr>
        <w:tc>
          <w:tcPr>
            <w:tcW w:w="4411" w:type="dxa"/>
            <w:tcBorders>
              <w:top w:val="nil"/>
              <w:left w:val="single" w:sz="8" w:space="0" w:color="auto"/>
              <w:bottom w:val="nil"/>
              <w:right w:val="nil"/>
            </w:tcBorders>
            <w:shd w:val="clear" w:color="auto" w:fill="auto"/>
            <w:noWrap/>
            <w:vAlign w:val="bottom"/>
            <w:hideMark/>
          </w:tcPr>
          <w:p w14:paraId="6AA0525C" w14:textId="77777777" w:rsidR="00902AF4" w:rsidRPr="00902AF4" w:rsidRDefault="00902AF4" w:rsidP="00902AF4">
            <w:pPr>
              <w:spacing w:after="0" w:line="240" w:lineRule="auto"/>
              <w:rPr>
                <w:rFonts w:ascii="Calibri" w:eastAsia="Times New Roman" w:hAnsi="Calibri" w:cs="Calibri"/>
                <w:color w:val="000000"/>
              </w:rPr>
            </w:pPr>
            <w:r w:rsidRPr="00902AF4">
              <w:rPr>
                <w:rFonts w:ascii="Calibri" w:eastAsia="Times New Roman" w:hAnsi="Calibri" w:cs="Calibri"/>
                <w:color w:val="000000"/>
              </w:rPr>
              <w:t>Water Energy Nexus</w:t>
            </w:r>
          </w:p>
        </w:tc>
        <w:tc>
          <w:tcPr>
            <w:tcW w:w="2566" w:type="dxa"/>
            <w:tcBorders>
              <w:top w:val="nil"/>
              <w:left w:val="nil"/>
              <w:bottom w:val="nil"/>
              <w:right w:val="single" w:sz="8" w:space="0" w:color="auto"/>
            </w:tcBorders>
            <w:shd w:val="clear" w:color="auto" w:fill="auto"/>
            <w:noWrap/>
            <w:vAlign w:val="center"/>
            <w:hideMark/>
          </w:tcPr>
          <w:p w14:paraId="23848624" w14:textId="77777777" w:rsidR="00902AF4" w:rsidRPr="00902AF4" w:rsidRDefault="00902AF4" w:rsidP="00902AF4">
            <w:pPr>
              <w:spacing w:after="0" w:line="240" w:lineRule="auto"/>
              <w:jc w:val="right"/>
              <w:rPr>
                <w:rFonts w:ascii="Calibri" w:eastAsia="Times New Roman" w:hAnsi="Calibri" w:cs="Calibri"/>
                <w:color w:val="000000"/>
              </w:rPr>
            </w:pPr>
            <w:r w:rsidRPr="00902AF4">
              <w:rPr>
                <w:rFonts w:ascii="Calibri" w:eastAsia="Times New Roman" w:hAnsi="Calibri" w:cs="Calibri"/>
                <w:color w:val="000000"/>
              </w:rPr>
              <w:t xml:space="preserve">$1,150,300 </w:t>
            </w:r>
          </w:p>
        </w:tc>
        <w:tc>
          <w:tcPr>
            <w:tcW w:w="1303" w:type="dxa"/>
            <w:tcBorders>
              <w:top w:val="nil"/>
              <w:left w:val="nil"/>
              <w:bottom w:val="nil"/>
              <w:right w:val="single" w:sz="12" w:space="0" w:color="auto"/>
            </w:tcBorders>
            <w:shd w:val="clear" w:color="auto" w:fill="auto"/>
            <w:noWrap/>
            <w:vAlign w:val="center"/>
            <w:hideMark/>
          </w:tcPr>
          <w:p w14:paraId="2E1ACA14" w14:textId="77777777" w:rsidR="00902AF4" w:rsidRPr="00902AF4" w:rsidRDefault="00902AF4" w:rsidP="00902AF4">
            <w:pPr>
              <w:spacing w:after="0" w:line="240" w:lineRule="auto"/>
              <w:jc w:val="center"/>
              <w:rPr>
                <w:rFonts w:ascii="Calibri" w:eastAsia="Times New Roman" w:hAnsi="Calibri" w:cs="Calibri"/>
                <w:color w:val="000000"/>
              </w:rPr>
            </w:pPr>
            <w:r w:rsidRPr="00902AF4">
              <w:rPr>
                <w:rFonts w:ascii="Calibri" w:eastAsia="Times New Roman" w:hAnsi="Calibri" w:cs="Calibri"/>
                <w:color w:val="000000"/>
              </w:rPr>
              <w:t>n/a</w:t>
            </w:r>
          </w:p>
        </w:tc>
        <w:tc>
          <w:tcPr>
            <w:tcW w:w="1303" w:type="dxa"/>
            <w:tcBorders>
              <w:top w:val="nil"/>
              <w:left w:val="nil"/>
              <w:bottom w:val="nil"/>
              <w:right w:val="single" w:sz="12" w:space="0" w:color="auto"/>
            </w:tcBorders>
            <w:shd w:val="clear" w:color="auto" w:fill="auto"/>
            <w:noWrap/>
            <w:vAlign w:val="center"/>
            <w:hideMark/>
          </w:tcPr>
          <w:p w14:paraId="54C7212E" w14:textId="77777777" w:rsidR="00902AF4" w:rsidRPr="00902AF4" w:rsidRDefault="00902AF4" w:rsidP="00902AF4">
            <w:pPr>
              <w:spacing w:after="0" w:line="240" w:lineRule="auto"/>
              <w:jc w:val="center"/>
              <w:rPr>
                <w:rFonts w:ascii="Calibri" w:eastAsia="Times New Roman" w:hAnsi="Calibri" w:cs="Calibri"/>
                <w:color w:val="000000"/>
              </w:rPr>
            </w:pPr>
            <w:r w:rsidRPr="00902AF4">
              <w:rPr>
                <w:rFonts w:ascii="Calibri" w:eastAsia="Times New Roman" w:hAnsi="Calibri" w:cs="Calibri"/>
                <w:color w:val="000000"/>
              </w:rPr>
              <w:t>n/a</w:t>
            </w:r>
          </w:p>
        </w:tc>
        <w:tc>
          <w:tcPr>
            <w:tcW w:w="1363" w:type="dxa"/>
            <w:tcBorders>
              <w:top w:val="nil"/>
              <w:left w:val="nil"/>
              <w:bottom w:val="nil"/>
              <w:right w:val="single" w:sz="12" w:space="0" w:color="auto"/>
            </w:tcBorders>
            <w:shd w:val="clear" w:color="auto" w:fill="auto"/>
            <w:noWrap/>
            <w:vAlign w:val="center"/>
            <w:hideMark/>
          </w:tcPr>
          <w:p w14:paraId="7650B939" w14:textId="77777777" w:rsidR="00902AF4" w:rsidRPr="00902AF4" w:rsidRDefault="00902AF4" w:rsidP="00902AF4">
            <w:pPr>
              <w:spacing w:after="0" w:line="240" w:lineRule="auto"/>
              <w:jc w:val="center"/>
              <w:rPr>
                <w:rFonts w:ascii="Calibri" w:eastAsia="Times New Roman" w:hAnsi="Calibri" w:cs="Calibri"/>
                <w:color w:val="000000"/>
              </w:rPr>
            </w:pPr>
            <w:r w:rsidRPr="00902AF4">
              <w:rPr>
                <w:rFonts w:ascii="Calibri" w:eastAsia="Times New Roman" w:hAnsi="Calibri" w:cs="Calibri"/>
                <w:color w:val="000000"/>
              </w:rPr>
              <w:t>n/a</w:t>
            </w:r>
          </w:p>
        </w:tc>
        <w:tc>
          <w:tcPr>
            <w:tcW w:w="236" w:type="dxa"/>
            <w:tcBorders>
              <w:top w:val="nil"/>
              <w:left w:val="nil"/>
              <w:bottom w:val="nil"/>
              <w:right w:val="nil"/>
            </w:tcBorders>
            <w:shd w:val="clear" w:color="auto" w:fill="auto"/>
            <w:noWrap/>
            <w:vAlign w:val="bottom"/>
            <w:hideMark/>
          </w:tcPr>
          <w:p w14:paraId="11DEC5E8" w14:textId="77777777" w:rsidR="00902AF4" w:rsidRPr="00902AF4" w:rsidRDefault="00902AF4" w:rsidP="00902AF4">
            <w:pPr>
              <w:spacing w:after="0" w:line="240" w:lineRule="auto"/>
              <w:jc w:val="center"/>
              <w:rPr>
                <w:rFonts w:ascii="Calibri" w:eastAsia="Times New Roman" w:hAnsi="Calibri" w:cs="Calibri"/>
                <w:color w:val="000000"/>
              </w:rPr>
            </w:pPr>
          </w:p>
        </w:tc>
      </w:tr>
      <w:tr w:rsidR="00902AF4" w:rsidRPr="00902AF4" w14:paraId="68AAB8F5" w14:textId="77777777" w:rsidTr="00902AF4">
        <w:trPr>
          <w:trHeight w:val="298"/>
        </w:trPr>
        <w:tc>
          <w:tcPr>
            <w:tcW w:w="4411" w:type="dxa"/>
            <w:tcBorders>
              <w:top w:val="nil"/>
              <w:left w:val="single" w:sz="8" w:space="0" w:color="auto"/>
              <w:bottom w:val="nil"/>
              <w:right w:val="nil"/>
            </w:tcBorders>
            <w:shd w:val="clear" w:color="auto" w:fill="auto"/>
            <w:noWrap/>
            <w:vAlign w:val="bottom"/>
            <w:hideMark/>
          </w:tcPr>
          <w:p w14:paraId="034336F1" w14:textId="77777777" w:rsidR="00902AF4" w:rsidRPr="00902AF4" w:rsidRDefault="00902AF4" w:rsidP="00902AF4">
            <w:pPr>
              <w:spacing w:after="0" w:line="240" w:lineRule="auto"/>
              <w:rPr>
                <w:rFonts w:ascii="Calibri" w:eastAsia="Times New Roman" w:hAnsi="Calibri" w:cs="Calibri"/>
                <w:color w:val="000000"/>
              </w:rPr>
            </w:pPr>
            <w:r w:rsidRPr="00902AF4">
              <w:rPr>
                <w:rFonts w:ascii="Calibri" w:eastAsia="Times New Roman" w:hAnsi="Calibri" w:cs="Calibri"/>
                <w:color w:val="000000"/>
              </w:rPr>
              <w:t>Finance</w:t>
            </w:r>
          </w:p>
        </w:tc>
        <w:tc>
          <w:tcPr>
            <w:tcW w:w="2566" w:type="dxa"/>
            <w:tcBorders>
              <w:top w:val="nil"/>
              <w:left w:val="nil"/>
              <w:bottom w:val="nil"/>
              <w:right w:val="single" w:sz="8" w:space="0" w:color="auto"/>
            </w:tcBorders>
            <w:shd w:val="clear" w:color="auto" w:fill="auto"/>
            <w:noWrap/>
            <w:vAlign w:val="center"/>
            <w:hideMark/>
          </w:tcPr>
          <w:p w14:paraId="449F7D43" w14:textId="77777777" w:rsidR="00902AF4" w:rsidRPr="00902AF4" w:rsidRDefault="00902AF4" w:rsidP="00902AF4">
            <w:pPr>
              <w:spacing w:after="0" w:line="240" w:lineRule="auto"/>
              <w:jc w:val="right"/>
              <w:rPr>
                <w:rFonts w:ascii="Calibri" w:eastAsia="Times New Roman" w:hAnsi="Calibri" w:cs="Calibri"/>
                <w:color w:val="000000"/>
              </w:rPr>
            </w:pPr>
            <w:r w:rsidRPr="00902AF4">
              <w:rPr>
                <w:rFonts w:ascii="Calibri" w:eastAsia="Times New Roman" w:hAnsi="Calibri" w:cs="Calibri"/>
                <w:color w:val="000000"/>
              </w:rPr>
              <w:t> </w:t>
            </w:r>
          </w:p>
        </w:tc>
        <w:tc>
          <w:tcPr>
            <w:tcW w:w="1303" w:type="dxa"/>
            <w:tcBorders>
              <w:top w:val="nil"/>
              <w:left w:val="nil"/>
              <w:bottom w:val="nil"/>
              <w:right w:val="single" w:sz="12" w:space="0" w:color="auto"/>
            </w:tcBorders>
            <w:shd w:val="clear" w:color="auto" w:fill="auto"/>
            <w:noWrap/>
            <w:vAlign w:val="center"/>
            <w:hideMark/>
          </w:tcPr>
          <w:p w14:paraId="359558A5" w14:textId="77777777" w:rsidR="00902AF4" w:rsidRPr="00902AF4" w:rsidRDefault="00902AF4" w:rsidP="00902AF4">
            <w:pPr>
              <w:spacing w:after="0" w:line="240" w:lineRule="auto"/>
              <w:jc w:val="center"/>
              <w:rPr>
                <w:rFonts w:ascii="Calibri" w:eastAsia="Times New Roman" w:hAnsi="Calibri" w:cs="Calibri"/>
                <w:color w:val="000000"/>
              </w:rPr>
            </w:pPr>
            <w:r w:rsidRPr="00902AF4">
              <w:rPr>
                <w:rFonts w:ascii="Calibri" w:eastAsia="Times New Roman" w:hAnsi="Calibri" w:cs="Calibri"/>
                <w:color w:val="000000"/>
              </w:rPr>
              <w:t> </w:t>
            </w:r>
          </w:p>
        </w:tc>
        <w:tc>
          <w:tcPr>
            <w:tcW w:w="1303" w:type="dxa"/>
            <w:tcBorders>
              <w:top w:val="nil"/>
              <w:left w:val="nil"/>
              <w:bottom w:val="nil"/>
              <w:right w:val="single" w:sz="12" w:space="0" w:color="auto"/>
            </w:tcBorders>
            <w:shd w:val="clear" w:color="auto" w:fill="auto"/>
            <w:noWrap/>
            <w:vAlign w:val="center"/>
            <w:hideMark/>
          </w:tcPr>
          <w:p w14:paraId="3D769299" w14:textId="77777777" w:rsidR="00902AF4" w:rsidRPr="00902AF4" w:rsidRDefault="00902AF4" w:rsidP="00902AF4">
            <w:pPr>
              <w:spacing w:after="0" w:line="240" w:lineRule="auto"/>
              <w:jc w:val="center"/>
              <w:rPr>
                <w:rFonts w:ascii="Calibri" w:eastAsia="Times New Roman" w:hAnsi="Calibri" w:cs="Calibri"/>
                <w:color w:val="000000"/>
              </w:rPr>
            </w:pPr>
            <w:r w:rsidRPr="00902AF4">
              <w:rPr>
                <w:rFonts w:ascii="Calibri" w:eastAsia="Times New Roman" w:hAnsi="Calibri" w:cs="Calibri"/>
                <w:color w:val="000000"/>
              </w:rPr>
              <w:t> </w:t>
            </w:r>
          </w:p>
        </w:tc>
        <w:tc>
          <w:tcPr>
            <w:tcW w:w="1363" w:type="dxa"/>
            <w:tcBorders>
              <w:top w:val="nil"/>
              <w:left w:val="nil"/>
              <w:bottom w:val="nil"/>
              <w:right w:val="single" w:sz="12" w:space="0" w:color="auto"/>
            </w:tcBorders>
            <w:shd w:val="clear" w:color="auto" w:fill="auto"/>
            <w:noWrap/>
            <w:vAlign w:val="center"/>
            <w:hideMark/>
          </w:tcPr>
          <w:p w14:paraId="08E2DD90" w14:textId="77777777" w:rsidR="00902AF4" w:rsidRPr="00902AF4" w:rsidRDefault="00902AF4" w:rsidP="00902AF4">
            <w:pPr>
              <w:spacing w:after="0" w:line="240" w:lineRule="auto"/>
              <w:jc w:val="center"/>
              <w:rPr>
                <w:rFonts w:ascii="Calibri" w:eastAsia="Times New Roman" w:hAnsi="Calibri" w:cs="Calibri"/>
                <w:color w:val="000000"/>
              </w:rPr>
            </w:pPr>
            <w:r w:rsidRPr="00902AF4">
              <w:rPr>
                <w:rFonts w:ascii="Calibri" w:eastAsia="Times New Roman" w:hAnsi="Calibri" w:cs="Calibri"/>
                <w:color w:val="000000"/>
              </w:rPr>
              <w:t> </w:t>
            </w:r>
          </w:p>
        </w:tc>
        <w:tc>
          <w:tcPr>
            <w:tcW w:w="236" w:type="dxa"/>
            <w:tcBorders>
              <w:top w:val="nil"/>
              <w:left w:val="nil"/>
              <w:bottom w:val="nil"/>
              <w:right w:val="nil"/>
            </w:tcBorders>
            <w:shd w:val="clear" w:color="auto" w:fill="auto"/>
            <w:noWrap/>
            <w:vAlign w:val="bottom"/>
            <w:hideMark/>
          </w:tcPr>
          <w:p w14:paraId="025A98F6" w14:textId="77777777" w:rsidR="00902AF4" w:rsidRPr="00902AF4" w:rsidRDefault="00902AF4" w:rsidP="00902AF4">
            <w:pPr>
              <w:spacing w:after="0" w:line="240" w:lineRule="auto"/>
              <w:jc w:val="center"/>
              <w:rPr>
                <w:rFonts w:ascii="Calibri" w:eastAsia="Times New Roman" w:hAnsi="Calibri" w:cs="Calibri"/>
                <w:color w:val="000000"/>
              </w:rPr>
            </w:pPr>
          </w:p>
        </w:tc>
      </w:tr>
      <w:tr w:rsidR="00902AF4" w:rsidRPr="00902AF4" w14:paraId="519457B4" w14:textId="77777777" w:rsidTr="00902AF4">
        <w:trPr>
          <w:trHeight w:val="313"/>
        </w:trPr>
        <w:tc>
          <w:tcPr>
            <w:tcW w:w="4411" w:type="dxa"/>
            <w:tcBorders>
              <w:top w:val="nil"/>
              <w:left w:val="single" w:sz="8" w:space="0" w:color="auto"/>
              <w:bottom w:val="nil"/>
              <w:right w:val="nil"/>
            </w:tcBorders>
            <w:shd w:val="clear" w:color="auto" w:fill="auto"/>
            <w:noWrap/>
            <w:vAlign w:val="bottom"/>
            <w:hideMark/>
          </w:tcPr>
          <w:p w14:paraId="7886738F" w14:textId="77777777" w:rsidR="00902AF4" w:rsidRPr="00902AF4" w:rsidRDefault="00902AF4" w:rsidP="00902AF4">
            <w:pPr>
              <w:spacing w:after="0" w:line="240" w:lineRule="auto"/>
              <w:rPr>
                <w:rFonts w:ascii="Calibri" w:eastAsia="Times New Roman" w:hAnsi="Calibri" w:cs="Calibri"/>
                <w:color w:val="000000"/>
              </w:rPr>
            </w:pPr>
            <w:r w:rsidRPr="00902AF4">
              <w:rPr>
                <w:rFonts w:ascii="Calibri" w:eastAsia="Times New Roman" w:hAnsi="Calibri" w:cs="Calibri"/>
                <w:color w:val="000000"/>
              </w:rPr>
              <w:t>OBF Loan Pool</w:t>
            </w:r>
          </w:p>
        </w:tc>
        <w:tc>
          <w:tcPr>
            <w:tcW w:w="2566" w:type="dxa"/>
            <w:tcBorders>
              <w:top w:val="nil"/>
              <w:left w:val="nil"/>
              <w:bottom w:val="nil"/>
              <w:right w:val="single" w:sz="8" w:space="0" w:color="auto"/>
            </w:tcBorders>
            <w:shd w:val="clear" w:color="auto" w:fill="auto"/>
            <w:noWrap/>
            <w:vAlign w:val="center"/>
            <w:hideMark/>
          </w:tcPr>
          <w:p w14:paraId="590C1CA6" w14:textId="77777777" w:rsidR="00902AF4" w:rsidRPr="00902AF4" w:rsidRDefault="00902AF4" w:rsidP="00902AF4">
            <w:pPr>
              <w:spacing w:after="0" w:line="240" w:lineRule="auto"/>
              <w:jc w:val="right"/>
              <w:rPr>
                <w:rFonts w:ascii="Calibri" w:eastAsia="Times New Roman" w:hAnsi="Calibri" w:cs="Calibri"/>
                <w:color w:val="000000"/>
              </w:rPr>
            </w:pPr>
            <w:r w:rsidRPr="00902AF4">
              <w:rPr>
                <w:rFonts w:ascii="Calibri" w:eastAsia="Times New Roman" w:hAnsi="Calibri" w:cs="Calibri"/>
                <w:color w:val="000000"/>
              </w:rPr>
              <w:t> </w:t>
            </w:r>
          </w:p>
        </w:tc>
        <w:tc>
          <w:tcPr>
            <w:tcW w:w="1303" w:type="dxa"/>
            <w:tcBorders>
              <w:top w:val="nil"/>
              <w:left w:val="nil"/>
              <w:bottom w:val="nil"/>
              <w:right w:val="single" w:sz="12" w:space="0" w:color="auto"/>
            </w:tcBorders>
            <w:shd w:val="clear" w:color="auto" w:fill="auto"/>
            <w:noWrap/>
            <w:vAlign w:val="center"/>
            <w:hideMark/>
          </w:tcPr>
          <w:p w14:paraId="40B3F521" w14:textId="77777777" w:rsidR="00902AF4" w:rsidRPr="00902AF4" w:rsidRDefault="00902AF4" w:rsidP="00902AF4">
            <w:pPr>
              <w:spacing w:after="0" w:line="240" w:lineRule="auto"/>
              <w:jc w:val="center"/>
              <w:rPr>
                <w:rFonts w:ascii="Calibri" w:eastAsia="Times New Roman" w:hAnsi="Calibri" w:cs="Calibri"/>
                <w:color w:val="000000"/>
              </w:rPr>
            </w:pPr>
            <w:r w:rsidRPr="00902AF4">
              <w:rPr>
                <w:rFonts w:ascii="Calibri" w:eastAsia="Times New Roman" w:hAnsi="Calibri" w:cs="Calibri"/>
                <w:color w:val="000000"/>
              </w:rPr>
              <w:t> </w:t>
            </w:r>
          </w:p>
        </w:tc>
        <w:tc>
          <w:tcPr>
            <w:tcW w:w="1303" w:type="dxa"/>
            <w:tcBorders>
              <w:top w:val="nil"/>
              <w:left w:val="nil"/>
              <w:bottom w:val="nil"/>
              <w:right w:val="single" w:sz="12" w:space="0" w:color="auto"/>
            </w:tcBorders>
            <w:shd w:val="clear" w:color="auto" w:fill="auto"/>
            <w:noWrap/>
            <w:vAlign w:val="center"/>
            <w:hideMark/>
          </w:tcPr>
          <w:p w14:paraId="52CFD13F" w14:textId="77777777" w:rsidR="00902AF4" w:rsidRPr="00902AF4" w:rsidRDefault="00902AF4" w:rsidP="00902AF4">
            <w:pPr>
              <w:spacing w:after="0" w:line="240" w:lineRule="auto"/>
              <w:jc w:val="center"/>
              <w:rPr>
                <w:rFonts w:ascii="Calibri" w:eastAsia="Times New Roman" w:hAnsi="Calibri" w:cs="Calibri"/>
                <w:color w:val="000000"/>
              </w:rPr>
            </w:pPr>
            <w:r w:rsidRPr="00902AF4">
              <w:rPr>
                <w:rFonts w:ascii="Calibri" w:eastAsia="Times New Roman" w:hAnsi="Calibri" w:cs="Calibri"/>
                <w:color w:val="000000"/>
              </w:rPr>
              <w:t> </w:t>
            </w:r>
          </w:p>
        </w:tc>
        <w:tc>
          <w:tcPr>
            <w:tcW w:w="1363" w:type="dxa"/>
            <w:tcBorders>
              <w:top w:val="nil"/>
              <w:left w:val="nil"/>
              <w:bottom w:val="nil"/>
              <w:right w:val="single" w:sz="12" w:space="0" w:color="auto"/>
            </w:tcBorders>
            <w:shd w:val="clear" w:color="auto" w:fill="auto"/>
            <w:noWrap/>
            <w:vAlign w:val="center"/>
            <w:hideMark/>
          </w:tcPr>
          <w:p w14:paraId="099B4B10" w14:textId="77777777" w:rsidR="00902AF4" w:rsidRPr="00902AF4" w:rsidRDefault="00902AF4" w:rsidP="00902AF4">
            <w:pPr>
              <w:spacing w:after="0" w:line="240" w:lineRule="auto"/>
              <w:jc w:val="center"/>
              <w:rPr>
                <w:rFonts w:ascii="Calibri" w:eastAsia="Times New Roman" w:hAnsi="Calibri" w:cs="Calibri"/>
                <w:color w:val="000000"/>
              </w:rPr>
            </w:pPr>
            <w:r w:rsidRPr="00902AF4">
              <w:rPr>
                <w:rFonts w:ascii="Calibri" w:eastAsia="Times New Roman" w:hAnsi="Calibri" w:cs="Calibri"/>
                <w:color w:val="000000"/>
              </w:rPr>
              <w:t> </w:t>
            </w:r>
          </w:p>
        </w:tc>
        <w:tc>
          <w:tcPr>
            <w:tcW w:w="236" w:type="dxa"/>
            <w:tcBorders>
              <w:top w:val="nil"/>
              <w:left w:val="nil"/>
              <w:bottom w:val="nil"/>
              <w:right w:val="nil"/>
            </w:tcBorders>
            <w:shd w:val="clear" w:color="auto" w:fill="auto"/>
            <w:noWrap/>
            <w:vAlign w:val="bottom"/>
            <w:hideMark/>
          </w:tcPr>
          <w:p w14:paraId="259B4AE1" w14:textId="77777777" w:rsidR="00902AF4" w:rsidRPr="00902AF4" w:rsidRDefault="00902AF4" w:rsidP="00902AF4">
            <w:pPr>
              <w:spacing w:after="0" w:line="240" w:lineRule="auto"/>
              <w:jc w:val="center"/>
              <w:rPr>
                <w:rFonts w:ascii="Calibri" w:eastAsia="Times New Roman" w:hAnsi="Calibri" w:cs="Calibri"/>
                <w:color w:val="000000"/>
              </w:rPr>
            </w:pPr>
          </w:p>
        </w:tc>
      </w:tr>
      <w:tr w:rsidR="00902AF4" w:rsidRPr="00902AF4" w14:paraId="4606CCE5" w14:textId="77777777" w:rsidTr="00902AF4">
        <w:trPr>
          <w:trHeight w:val="328"/>
        </w:trPr>
        <w:tc>
          <w:tcPr>
            <w:tcW w:w="4411" w:type="dxa"/>
            <w:tcBorders>
              <w:top w:val="single" w:sz="12" w:space="0" w:color="auto"/>
              <w:left w:val="single" w:sz="8" w:space="0" w:color="auto"/>
              <w:bottom w:val="nil"/>
              <w:right w:val="nil"/>
            </w:tcBorders>
            <w:shd w:val="clear" w:color="auto" w:fill="auto"/>
            <w:noWrap/>
            <w:vAlign w:val="bottom"/>
            <w:hideMark/>
          </w:tcPr>
          <w:p w14:paraId="42F5768C" w14:textId="77777777" w:rsidR="00902AF4" w:rsidRPr="00902AF4" w:rsidRDefault="00902AF4" w:rsidP="00902AF4">
            <w:pPr>
              <w:spacing w:after="0" w:line="240" w:lineRule="auto"/>
              <w:rPr>
                <w:rFonts w:ascii="Calibri" w:eastAsia="Times New Roman" w:hAnsi="Calibri" w:cs="Calibri"/>
                <w:b/>
                <w:bCs/>
                <w:color w:val="000000"/>
              </w:rPr>
            </w:pPr>
            <w:r w:rsidRPr="00902AF4">
              <w:rPr>
                <w:rFonts w:ascii="Calibri" w:eastAsia="Times New Roman" w:hAnsi="Calibri" w:cs="Calibri"/>
                <w:b/>
                <w:bCs/>
                <w:color w:val="000000"/>
              </w:rPr>
              <w:t>Subtotal</w:t>
            </w:r>
          </w:p>
        </w:tc>
        <w:tc>
          <w:tcPr>
            <w:tcW w:w="2566" w:type="dxa"/>
            <w:tcBorders>
              <w:top w:val="single" w:sz="12" w:space="0" w:color="auto"/>
              <w:left w:val="nil"/>
              <w:bottom w:val="nil"/>
              <w:right w:val="single" w:sz="8" w:space="0" w:color="auto"/>
            </w:tcBorders>
            <w:shd w:val="clear" w:color="auto" w:fill="auto"/>
            <w:noWrap/>
            <w:vAlign w:val="center"/>
            <w:hideMark/>
          </w:tcPr>
          <w:p w14:paraId="5DD1B0C0" w14:textId="77777777" w:rsidR="00902AF4" w:rsidRPr="00902AF4" w:rsidRDefault="00902AF4" w:rsidP="00902AF4">
            <w:pPr>
              <w:spacing w:after="0" w:line="240" w:lineRule="auto"/>
              <w:jc w:val="right"/>
              <w:rPr>
                <w:rFonts w:ascii="Calibri" w:eastAsia="Times New Roman" w:hAnsi="Calibri" w:cs="Calibri"/>
                <w:color w:val="000000"/>
              </w:rPr>
            </w:pPr>
            <w:r w:rsidRPr="00902AF4">
              <w:rPr>
                <w:rFonts w:ascii="Calibri" w:eastAsia="Times New Roman" w:hAnsi="Calibri" w:cs="Calibri"/>
                <w:color w:val="000000"/>
              </w:rPr>
              <w:t>$22,682,015</w:t>
            </w:r>
          </w:p>
        </w:tc>
        <w:tc>
          <w:tcPr>
            <w:tcW w:w="1303" w:type="dxa"/>
            <w:tcBorders>
              <w:top w:val="single" w:sz="12" w:space="0" w:color="auto"/>
              <w:left w:val="nil"/>
              <w:bottom w:val="single" w:sz="12" w:space="0" w:color="auto"/>
              <w:right w:val="nil"/>
            </w:tcBorders>
            <w:shd w:val="clear" w:color="auto" w:fill="auto"/>
            <w:noWrap/>
            <w:vAlign w:val="center"/>
            <w:hideMark/>
          </w:tcPr>
          <w:p w14:paraId="50769210" w14:textId="77777777" w:rsidR="00902AF4" w:rsidRPr="00902AF4" w:rsidRDefault="00902AF4" w:rsidP="00902AF4">
            <w:pPr>
              <w:spacing w:after="0" w:line="240" w:lineRule="auto"/>
              <w:jc w:val="center"/>
              <w:rPr>
                <w:rFonts w:ascii="Calibri" w:eastAsia="Times New Roman" w:hAnsi="Calibri" w:cs="Calibri"/>
                <w:color w:val="000000"/>
              </w:rPr>
            </w:pPr>
            <w:r w:rsidRPr="00902AF4">
              <w:rPr>
                <w:rFonts w:ascii="Calibri" w:eastAsia="Times New Roman" w:hAnsi="Calibri" w:cs="Calibri"/>
                <w:color w:val="000000"/>
              </w:rPr>
              <w:t>7.76</w:t>
            </w:r>
          </w:p>
        </w:tc>
        <w:tc>
          <w:tcPr>
            <w:tcW w:w="1303" w:type="dxa"/>
            <w:tcBorders>
              <w:top w:val="single" w:sz="12" w:space="0" w:color="auto"/>
              <w:left w:val="nil"/>
              <w:bottom w:val="single" w:sz="12" w:space="0" w:color="auto"/>
              <w:right w:val="nil"/>
            </w:tcBorders>
            <w:shd w:val="clear" w:color="auto" w:fill="auto"/>
            <w:noWrap/>
            <w:vAlign w:val="center"/>
            <w:hideMark/>
          </w:tcPr>
          <w:p w14:paraId="6FCE4142" w14:textId="77777777" w:rsidR="00902AF4" w:rsidRPr="00902AF4" w:rsidRDefault="00902AF4" w:rsidP="00902AF4">
            <w:pPr>
              <w:spacing w:after="0" w:line="240" w:lineRule="auto"/>
              <w:jc w:val="center"/>
              <w:rPr>
                <w:rFonts w:ascii="Calibri" w:eastAsia="Times New Roman" w:hAnsi="Calibri" w:cs="Calibri"/>
                <w:color w:val="000000"/>
              </w:rPr>
            </w:pPr>
            <w:r w:rsidRPr="00902AF4">
              <w:rPr>
                <w:rFonts w:ascii="Calibri" w:eastAsia="Times New Roman" w:hAnsi="Calibri" w:cs="Calibri"/>
                <w:color w:val="000000"/>
              </w:rPr>
              <w:t>743</w:t>
            </w:r>
          </w:p>
        </w:tc>
        <w:tc>
          <w:tcPr>
            <w:tcW w:w="1363" w:type="dxa"/>
            <w:tcBorders>
              <w:top w:val="single" w:sz="12" w:space="0" w:color="auto"/>
              <w:left w:val="nil"/>
              <w:bottom w:val="single" w:sz="12" w:space="0" w:color="auto"/>
              <w:right w:val="single" w:sz="12" w:space="0" w:color="auto"/>
            </w:tcBorders>
            <w:shd w:val="clear" w:color="auto" w:fill="auto"/>
            <w:noWrap/>
            <w:vAlign w:val="center"/>
            <w:hideMark/>
          </w:tcPr>
          <w:p w14:paraId="56AA6BD3" w14:textId="77777777" w:rsidR="00902AF4" w:rsidRPr="00902AF4" w:rsidRDefault="00902AF4" w:rsidP="00902AF4">
            <w:pPr>
              <w:spacing w:after="0" w:line="240" w:lineRule="auto"/>
              <w:jc w:val="center"/>
              <w:rPr>
                <w:rFonts w:ascii="Calibri" w:eastAsia="Times New Roman" w:hAnsi="Calibri" w:cs="Calibri"/>
                <w:color w:val="000000"/>
              </w:rPr>
            </w:pPr>
            <w:r w:rsidRPr="00902AF4">
              <w:rPr>
                <w:rFonts w:ascii="Calibri" w:eastAsia="Times New Roman" w:hAnsi="Calibri" w:cs="Calibri"/>
                <w:color w:val="000000"/>
              </w:rPr>
              <w:t>0.22</w:t>
            </w:r>
          </w:p>
        </w:tc>
        <w:tc>
          <w:tcPr>
            <w:tcW w:w="236" w:type="dxa"/>
            <w:tcBorders>
              <w:top w:val="nil"/>
              <w:left w:val="nil"/>
              <w:bottom w:val="nil"/>
              <w:right w:val="nil"/>
            </w:tcBorders>
            <w:shd w:val="clear" w:color="auto" w:fill="auto"/>
            <w:noWrap/>
            <w:vAlign w:val="bottom"/>
            <w:hideMark/>
          </w:tcPr>
          <w:p w14:paraId="62F75864" w14:textId="77777777" w:rsidR="00902AF4" w:rsidRPr="00902AF4" w:rsidRDefault="00902AF4" w:rsidP="00902AF4">
            <w:pPr>
              <w:spacing w:after="0" w:line="240" w:lineRule="auto"/>
              <w:jc w:val="center"/>
              <w:rPr>
                <w:rFonts w:ascii="Calibri" w:eastAsia="Times New Roman" w:hAnsi="Calibri" w:cs="Calibri"/>
                <w:color w:val="000000"/>
              </w:rPr>
            </w:pPr>
          </w:p>
        </w:tc>
      </w:tr>
      <w:tr w:rsidR="00902AF4" w:rsidRPr="00902AF4" w14:paraId="2E96C030" w14:textId="77777777" w:rsidTr="00902AF4">
        <w:trPr>
          <w:trHeight w:val="328"/>
        </w:trPr>
        <w:tc>
          <w:tcPr>
            <w:tcW w:w="4411" w:type="dxa"/>
            <w:tcBorders>
              <w:top w:val="single" w:sz="8" w:space="0" w:color="auto"/>
              <w:left w:val="single" w:sz="8" w:space="0" w:color="auto"/>
              <w:bottom w:val="single" w:sz="12" w:space="0" w:color="auto"/>
              <w:right w:val="nil"/>
            </w:tcBorders>
            <w:shd w:val="clear" w:color="auto" w:fill="auto"/>
            <w:noWrap/>
            <w:vAlign w:val="bottom"/>
            <w:hideMark/>
          </w:tcPr>
          <w:p w14:paraId="0DEF3B7F" w14:textId="77777777" w:rsidR="00902AF4" w:rsidRPr="00902AF4" w:rsidRDefault="00902AF4" w:rsidP="00902AF4">
            <w:pPr>
              <w:spacing w:after="0" w:line="240" w:lineRule="auto"/>
              <w:rPr>
                <w:rFonts w:ascii="Calibri" w:eastAsia="Times New Roman" w:hAnsi="Calibri" w:cs="Calibri"/>
                <w:b/>
                <w:bCs/>
                <w:color w:val="000000"/>
              </w:rPr>
            </w:pPr>
            <w:r w:rsidRPr="00902AF4">
              <w:rPr>
                <w:rFonts w:ascii="Calibri" w:eastAsia="Times New Roman" w:hAnsi="Calibri" w:cs="Calibri"/>
                <w:b/>
                <w:bCs/>
                <w:color w:val="000000"/>
              </w:rPr>
              <w:t xml:space="preserve">BayREN EM&amp;V </w:t>
            </w:r>
          </w:p>
        </w:tc>
        <w:tc>
          <w:tcPr>
            <w:tcW w:w="2566" w:type="dxa"/>
            <w:tcBorders>
              <w:top w:val="single" w:sz="8" w:space="0" w:color="auto"/>
              <w:left w:val="nil"/>
              <w:bottom w:val="nil"/>
              <w:right w:val="single" w:sz="8" w:space="0" w:color="auto"/>
            </w:tcBorders>
            <w:shd w:val="clear" w:color="auto" w:fill="auto"/>
            <w:noWrap/>
            <w:vAlign w:val="bottom"/>
            <w:hideMark/>
          </w:tcPr>
          <w:p w14:paraId="2DCA237F" w14:textId="77777777" w:rsidR="00902AF4" w:rsidRPr="00902AF4" w:rsidRDefault="00902AF4" w:rsidP="00902AF4">
            <w:pPr>
              <w:spacing w:after="0" w:line="240" w:lineRule="auto"/>
              <w:jc w:val="right"/>
              <w:rPr>
                <w:rFonts w:ascii="Calibri" w:eastAsia="Times New Roman" w:hAnsi="Calibri" w:cs="Calibri"/>
                <w:color w:val="000000"/>
              </w:rPr>
            </w:pPr>
            <w:r w:rsidRPr="00902AF4">
              <w:rPr>
                <w:rFonts w:ascii="Calibri" w:eastAsia="Times New Roman" w:hAnsi="Calibri" w:cs="Calibri"/>
                <w:color w:val="000000"/>
              </w:rPr>
              <w:t>$271,135</w:t>
            </w:r>
          </w:p>
        </w:tc>
        <w:tc>
          <w:tcPr>
            <w:tcW w:w="1303" w:type="dxa"/>
            <w:tcBorders>
              <w:top w:val="nil"/>
              <w:left w:val="nil"/>
              <w:bottom w:val="nil"/>
              <w:right w:val="nil"/>
            </w:tcBorders>
            <w:shd w:val="clear" w:color="auto" w:fill="auto"/>
            <w:vAlign w:val="center"/>
            <w:hideMark/>
          </w:tcPr>
          <w:p w14:paraId="3EC086FE" w14:textId="77777777" w:rsidR="00902AF4" w:rsidRPr="00902AF4" w:rsidRDefault="00902AF4" w:rsidP="00902AF4">
            <w:pPr>
              <w:spacing w:after="0" w:line="240" w:lineRule="auto"/>
              <w:jc w:val="right"/>
              <w:rPr>
                <w:rFonts w:ascii="Calibri" w:eastAsia="Times New Roman" w:hAnsi="Calibri" w:cs="Calibri"/>
                <w:color w:val="000000"/>
              </w:rPr>
            </w:pPr>
          </w:p>
        </w:tc>
        <w:tc>
          <w:tcPr>
            <w:tcW w:w="1303" w:type="dxa"/>
            <w:tcBorders>
              <w:top w:val="nil"/>
              <w:left w:val="nil"/>
              <w:bottom w:val="nil"/>
              <w:right w:val="nil"/>
            </w:tcBorders>
            <w:shd w:val="clear" w:color="auto" w:fill="auto"/>
            <w:noWrap/>
            <w:vAlign w:val="bottom"/>
            <w:hideMark/>
          </w:tcPr>
          <w:p w14:paraId="7B079F87" w14:textId="77777777" w:rsidR="00902AF4" w:rsidRPr="00902AF4" w:rsidRDefault="00902AF4" w:rsidP="00902AF4">
            <w:pPr>
              <w:spacing w:after="0" w:line="240" w:lineRule="auto"/>
              <w:jc w:val="right"/>
              <w:rPr>
                <w:rFonts w:ascii="Times New Roman" w:eastAsia="Times New Roman" w:hAnsi="Times New Roman" w:cs="Times New Roman"/>
                <w:sz w:val="20"/>
                <w:szCs w:val="20"/>
              </w:rPr>
            </w:pPr>
          </w:p>
        </w:tc>
        <w:tc>
          <w:tcPr>
            <w:tcW w:w="1363" w:type="dxa"/>
            <w:tcBorders>
              <w:top w:val="nil"/>
              <w:left w:val="nil"/>
              <w:bottom w:val="nil"/>
              <w:right w:val="nil"/>
            </w:tcBorders>
            <w:shd w:val="clear" w:color="auto" w:fill="auto"/>
            <w:noWrap/>
            <w:vAlign w:val="bottom"/>
            <w:hideMark/>
          </w:tcPr>
          <w:p w14:paraId="6E7FF567" w14:textId="77777777" w:rsidR="00902AF4" w:rsidRPr="00902AF4" w:rsidRDefault="00902AF4" w:rsidP="00902AF4">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3DF657E5" w14:textId="77777777" w:rsidR="00902AF4" w:rsidRPr="00902AF4" w:rsidRDefault="00902AF4" w:rsidP="00902AF4">
            <w:pPr>
              <w:spacing w:after="0" w:line="240" w:lineRule="auto"/>
              <w:rPr>
                <w:rFonts w:ascii="Times New Roman" w:eastAsia="Times New Roman" w:hAnsi="Times New Roman" w:cs="Times New Roman"/>
                <w:sz w:val="20"/>
                <w:szCs w:val="20"/>
              </w:rPr>
            </w:pPr>
          </w:p>
        </w:tc>
      </w:tr>
      <w:tr w:rsidR="00902AF4" w:rsidRPr="00902AF4" w14:paraId="20A43410" w14:textId="77777777" w:rsidTr="00902AF4">
        <w:trPr>
          <w:trHeight w:val="373"/>
        </w:trPr>
        <w:tc>
          <w:tcPr>
            <w:tcW w:w="4411" w:type="dxa"/>
            <w:tcBorders>
              <w:top w:val="nil"/>
              <w:left w:val="single" w:sz="8" w:space="0" w:color="auto"/>
              <w:bottom w:val="single" w:sz="12" w:space="0" w:color="auto"/>
              <w:right w:val="nil"/>
            </w:tcBorders>
            <w:shd w:val="clear" w:color="auto" w:fill="auto"/>
            <w:noWrap/>
            <w:vAlign w:val="bottom"/>
            <w:hideMark/>
          </w:tcPr>
          <w:p w14:paraId="6857BCAA" w14:textId="77777777" w:rsidR="00902AF4" w:rsidRPr="00902AF4" w:rsidRDefault="00902AF4" w:rsidP="00902AF4">
            <w:pPr>
              <w:spacing w:after="0" w:line="240" w:lineRule="auto"/>
              <w:rPr>
                <w:rFonts w:ascii="Calibri" w:eastAsia="Times New Roman" w:hAnsi="Calibri" w:cs="Calibri"/>
                <w:b/>
                <w:bCs/>
              </w:rPr>
            </w:pPr>
            <w:r w:rsidRPr="00902AF4">
              <w:rPr>
                <w:rFonts w:ascii="Calibri" w:eastAsia="Times New Roman" w:hAnsi="Calibri" w:cs="Calibri"/>
                <w:b/>
                <w:bCs/>
              </w:rPr>
              <w:t>Total BayREN 2020 Spending Budget</w:t>
            </w:r>
          </w:p>
        </w:tc>
        <w:tc>
          <w:tcPr>
            <w:tcW w:w="2566" w:type="dxa"/>
            <w:tcBorders>
              <w:top w:val="single" w:sz="12" w:space="0" w:color="auto"/>
              <w:left w:val="nil"/>
              <w:bottom w:val="single" w:sz="12" w:space="0" w:color="auto"/>
              <w:right w:val="single" w:sz="8" w:space="0" w:color="auto"/>
            </w:tcBorders>
            <w:shd w:val="clear" w:color="auto" w:fill="auto"/>
            <w:noWrap/>
            <w:vAlign w:val="bottom"/>
            <w:hideMark/>
          </w:tcPr>
          <w:p w14:paraId="08EDADB0" w14:textId="77777777" w:rsidR="00902AF4" w:rsidRPr="00902AF4" w:rsidRDefault="00902AF4" w:rsidP="00902AF4">
            <w:pPr>
              <w:spacing w:after="0" w:line="240" w:lineRule="auto"/>
              <w:jc w:val="right"/>
              <w:rPr>
                <w:rFonts w:ascii="Calibri" w:eastAsia="Times New Roman" w:hAnsi="Calibri" w:cs="Calibri"/>
                <w:color w:val="000000"/>
              </w:rPr>
            </w:pPr>
            <w:r w:rsidRPr="00902AF4">
              <w:rPr>
                <w:rFonts w:ascii="Calibri" w:eastAsia="Times New Roman" w:hAnsi="Calibri" w:cs="Calibri"/>
                <w:color w:val="000000"/>
              </w:rPr>
              <w:t>$22,953,150</w:t>
            </w:r>
          </w:p>
        </w:tc>
        <w:tc>
          <w:tcPr>
            <w:tcW w:w="1303" w:type="dxa"/>
            <w:tcBorders>
              <w:top w:val="nil"/>
              <w:left w:val="nil"/>
              <w:bottom w:val="nil"/>
              <w:right w:val="nil"/>
            </w:tcBorders>
            <w:shd w:val="clear" w:color="auto" w:fill="auto"/>
            <w:vAlign w:val="center"/>
            <w:hideMark/>
          </w:tcPr>
          <w:p w14:paraId="212CE9F1" w14:textId="77777777" w:rsidR="00902AF4" w:rsidRPr="00902AF4" w:rsidRDefault="00902AF4" w:rsidP="00902AF4">
            <w:pPr>
              <w:spacing w:after="0" w:line="240" w:lineRule="auto"/>
              <w:jc w:val="right"/>
              <w:rPr>
                <w:rFonts w:ascii="Calibri" w:eastAsia="Times New Roman" w:hAnsi="Calibri" w:cs="Calibri"/>
                <w:color w:val="000000"/>
              </w:rPr>
            </w:pPr>
          </w:p>
        </w:tc>
        <w:tc>
          <w:tcPr>
            <w:tcW w:w="1303" w:type="dxa"/>
            <w:tcBorders>
              <w:top w:val="nil"/>
              <w:left w:val="nil"/>
              <w:bottom w:val="nil"/>
              <w:right w:val="nil"/>
            </w:tcBorders>
            <w:shd w:val="clear" w:color="auto" w:fill="auto"/>
            <w:noWrap/>
            <w:vAlign w:val="bottom"/>
            <w:hideMark/>
          </w:tcPr>
          <w:p w14:paraId="53179472" w14:textId="77777777" w:rsidR="00902AF4" w:rsidRPr="00902AF4" w:rsidRDefault="00902AF4" w:rsidP="00902AF4">
            <w:pPr>
              <w:spacing w:after="0" w:line="240" w:lineRule="auto"/>
              <w:jc w:val="right"/>
              <w:rPr>
                <w:rFonts w:ascii="Times New Roman" w:eastAsia="Times New Roman" w:hAnsi="Times New Roman" w:cs="Times New Roman"/>
                <w:sz w:val="20"/>
                <w:szCs w:val="20"/>
              </w:rPr>
            </w:pPr>
          </w:p>
        </w:tc>
        <w:tc>
          <w:tcPr>
            <w:tcW w:w="1363" w:type="dxa"/>
            <w:tcBorders>
              <w:top w:val="nil"/>
              <w:left w:val="nil"/>
              <w:bottom w:val="nil"/>
              <w:right w:val="nil"/>
            </w:tcBorders>
            <w:shd w:val="clear" w:color="auto" w:fill="auto"/>
            <w:noWrap/>
            <w:vAlign w:val="bottom"/>
            <w:hideMark/>
          </w:tcPr>
          <w:p w14:paraId="4AA6C7B5" w14:textId="77777777" w:rsidR="00902AF4" w:rsidRPr="00902AF4" w:rsidRDefault="00902AF4" w:rsidP="00902AF4">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7B4852FA" w14:textId="77777777" w:rsidR="00902AF4" w:rsidRPr="00902AF4" w:rsidRDefault="00902AF4" w:rsidP="00902AF4">
            <w:pPr>
              <w:spacing w:after="0" w:line="240" w:lineRule="auto"/>
              <w:rPr>
                <w:rFonts w:ascii="Times New Roman" w:eastAsia="Times New Roman" w:hAnsi="Times New Roman" w:cs="Times New Roman"/>
                <w:sz w:val="20"/>
                <w:szCs w:val="20"/>
              </w:rPr>
            </w:pPr>
          </w:p>
        </w:tc>
      </w:tr>
      <w:tr w:rsidR="00902AF4" w:rsidRPr="00902AF4" w14:paraId="6D0C0182" w14:textId="77777777" w:rsidTr="00902AF4">
        <w:trPr>
          <w:trHeight w:val="373"/>
        </w:trPr>
        <w:tc>
          <w:tcPr>
            <w:tcW w:w="4411" w:type="dxa"/>
            <w:tcBorders>
              <w:top w:val="nil"/>
              <w:left w:val="single" w:sz="8" w:space="0" w:color="auto"/>
              <w:bottom w:val="single" w:sz="12" w:space="0" w:color="auto"/>
              <w:right w:val="nil"/>
            </w:tcBorders>
            <w:shd w:val="clear" w:color="auto" w:fill="auto"/>
            <w:noWrap/>
            <w:vAlign w:val="bottom"/>
            <w:hideMark/>
          </w:tcPr>
          <w:p w14:paraId="566E0B60" w14:textId="77777777" w:rsidR="00902AF4" w:rsidRPr="00902AF4" w:rsidRDefault="00902AF4" w:rsidP="00902AF4">
            <w:pPr>
              <w:spacing w:after="0" w:line="240" w:lineRule="auto"/>
              <w:rPr>
                <w:rFonts w:ascii="Calibri" w:eastAsia="Times New Roman" w:hAnsi="Calibri" w:cs="Calibri"/>
                <w:b/>
                <w:bCs/>
              </w:rPr>
            </w:pPr>
            <w:r w:rsidRPr="00902AF4">
              <w:rPr>
                <w:rFonts w:ascii="Calibri" w:eastAsia="Times New Roman" w:hAnsi="Calibri" w:cs="Calibri"/>
                <w:b/>
                <w:bCs/>
              </w:rPr>
              <w:t>Uncommitted and Unspent Carryover balance</w:t>
            </w:r>
          </w:p>
        </w:tc>
        <w:tc>
          <w:tcPr>
            <w:tcW w:w="2566" w:type="dxa"/>
            <w:tcBorders>
              <w:top w:val="nil"/>
              <w:left w:val="nil"/>
              <w:bottom w:val="single" w:sz="12" w:space="0" w:color="auto"/>
              <w:right w:val="single" w:sz="8" w:space="0" w:color="auto"/>
            </w:tcBorders>
            <w:shd w:val="clear" w:color="auto" w:fill="auto"/>
            <w:noWrap/>
            <w:vAlign w:val="bottom"/>
            <w:hideMark/>
          </w:tcPr>
          <w:p w14:paraId="56B7393E" w14:textId="77777777" w:rsidR="00902AF4" w:rsidRPr="00902AF4" w:rsidRDefault="00902AF4" w:rsidP="00902AF4">
            <w:pPr>
              <w:spacing w:after="0" w:line="240" w:lineRule="auto"/>
              <w:jc w:val="right"/>
              <w:rPr>
                <w:rFonts w:ascii="Calibri" w:eastAsia="Times New Roman" w:hAnsi="Calibri" w:cs="Calibri"/>
                <w:color w:val="000000"/>
              </w:rPr>
            </w:pPr>
            <w:r w:rsidRPr="00902AF4">
              <w:rPr>
                <w:rFonts w:ascii="Calibri" w:eastAsia="Times New Roman" w:hAnsi="Calibri" w:cs="Calibri"/>
                <w:color w:val="000000"/>
              </w:rPr>
              <w:t>$1,000,000</w:t>
            </w:r>
          </w:p>
        </w:tc>
        <w:tc>
          <w:tcPr>
            <w:tcW w:w="1303" w:type="dxa"/>
            <w:tcBorders>
              <w:top w:val="nil"/>
              <w:left w:val="nil"/>
              <w:bottom w:val="nil"/>
              <w:right w:val="nil"/>
            </w:tcBorders>
            <w:shd w:val="clear" w:color="auto" w:fill="auto"/>
            <w:vAlign w:val="center"/>
            <w:hideMark/>
          </w:tcPr>
          <w:p w14:paraId="4E1BD16B" w14:textId="77777777" w:rsidR="00902AF4" w:rsidRPr="00902AF4" w:rsidRDefault="00902AF4" w:rsidP="00902AF4">
            <w:pPr>
              <w:spacing w:after="0" w:line="240" w:lineRule="auto"/>
              <w:jc w:val="right"/>
              <w:rPr>
                <w:rFonts w:ascii="Calibri" w:eastAsia="Times New Roman" w:hAnsi="Calibri" w:cs="Calibri"/>
                <w:color w:val="000000"/>
              </w:rPr>
            </w:pPr>
          </w:p>
        </w:tc>
        <w:tc>
          <w:tcPr>
            <w:tcW w:w="1303" w:type="dxa"/>
            <w:tcBorders>
              <w:top w:val="nil"/>
              <w:left w:val="nil"/>
              <w:bottom w:val="nil"/>
              <w:right w:val="nil"/>
            </w:tcBorders>
            <w:shd w:val="clear" w:color="auto" w:fill="auto"/>
            <w:noWrap/>
            <w:vAlign w:val="bottom"/>
            <w:hideMark/>
          </w:tcPr>
          <w:p w14:paraId="1C3DE42B" w14:textId="77777777" w:rsidR="00902AF4" w:rsidRPr="00902AF4" w:rsidRDefault="00902AF4" w:rsidP="00902AF4">
            <w:pPr>
              <w:spacing w:after="0" w:line="240" w:lineRule="auto"/>
              <w:jc w:val="right"/>
              <w:rPr>
                <w:rFonts w:ascii="Times New Roman" w:eastAsia="Times New Roman" w:hAnsi="Times New Roman" w:cs="Times New Roman"/>
                <w:sz w:val="20"/>
                <w:szCs w:val="20"/>
              </w:rPr>
            </w:pPr>
          </w:p>
        </w:tc>
        <w:tc>
          <w:tcPr>
            <w:tcW w:w="1363" w:type="dxa"/>
            <w:tcBorders>
              <w:top w:val="nil"/>
              <w:left w:val="nil"/>
              <w:bottom w:val="nil"/>
              <w:right w:val="nil"/>
            </w:tcBorders>
            <w:shd w:val="clear" w:color="auto" w:fill="auto"/>
            <w:noWrap/>
            <w:vAlign w:val="bottom"/>
            <w:hideMark/>
          </w:tcPr>
          <w:p w14:paraId="0D67077D" w14:textId="77777777" w:rsidR="00902AF4" w:rsidRPr="00902AF4" w:rsidRDefault="00902AF4" w:rsidP="00902AF4">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4496ECEC" w14:textId="77777777" w:rsidR="00902AF4" w:rsidRPr="00902AF4" w:rsidRDefault="00902AF4" w:rsidP="00902AF4">
            <w:pPr>
              <w:spacing w:after="0" w:line="240" w:lineRule="auto"/>
              <w:rPr>
                <w:rFonts w:ascii="Times New Roman" w:eastAsia="Times New Roman" w:hAnsi="Times New Roman" w:cs="Times New Roman"/>
                <w:sz w:val="20"/>
                <w:szCs w:val="20"/>
              </w:rPr>
            </w:pPr>
          </w:p>
        </w:tc>
      </w:tr>
      <w:tr w:rsidR="00902AF4" w:rsidRPr="00902AF4" w14:paraId="55E16863" w14:textId="77777777" w:rsidTr="00902AF4">
        <w:trPr>
          <w:trHeight w:val="328"/>
        </w:trPr>
        <w:tc>
          <w:tcPr>
            <w:tcW w:w="4411" w:type="dxa"/>
            <w:tcBorders>
              <w:top w:val="nil"/>
              <w:left w:val="single" w:sz="8" w:space="0" w:color="auto"/>
              <w:bottom w:val="single" w:sz="12" w:space="0" w:color="auto"/>
              <w:right w:val="nil"/>
            </w:tcBorders>
            <w:shd w:val="clear" w:color="auto" w:fill="auto"/>
            <w:noWrap/>
            <w:vAlign w:val="bottom"/>
            <w:hideMark/>
          </w:tcPr>
          <w:p w14:paraId="00A2C806" w14:textId="77777777" w:rsidR="00902AF4" w:rsidRPr="00902AF4" w:rsidRDefault="00902AF4" w:rsidP="00902AF4">
            <w:pPr>
              <w:spacing w:after="0" w:line="240" w:lineRule="auto"/>
              <w:rPr>
                <w:rFonts w:ascii="Calibri" w:eastAsia="Times New Roman" w:hAnsi="Calibri" w:cs="Calibri"/>
                <w:b/>
                <w:bCs/>
              </w:rPr>
            </w:pPr>
            <w:r w:rsidRPr="00902AF4">
              <w:rPr>
                <w:rFonts w:ascii="Calibri" w:eastAsia="Times New Roman" w:hAnsi="Calibri" w:cs="Calibri"/>
                <w:b/>
                <w:bCs/>
              </w:rPr>
              <w:t>Total BayREN 2020 Budget Recovery Request</w:t>
            </w:r>
          </w:p>
        </w:tc>
        <w:tc>
          <w:tcPr>
            <w:tcW w:w="2566" w:type="dxa"/>
            <w:tcBorders>
              <w:top w:val="nil"/>
              <w:left w:val="nil"/>
              <w:bottom w:val="nil"/>
              <w:right w:val="single" w:sz="8" w:space="0" w:color="auto"/>
            </w:tcBorders>
            <w:shd w:val="clear" w:color="auto" w:fill="auto"/>
            <w:noWrap/>
            <w:vAlign w:val="bottom"/>
            <w:hideMark/>
          </w:tcPr>
          <w:p w14:paraId="7FE041F4" w14:textId="77777777" w:rsidR="00902AF4" w:rsidRPr="00902AF4" w:rsidRDefault="00902AF4" w:rsidP="00902AF4">
            <w:pPr>
              <w:spacing w:after="0" w:line="240" w:lineRule="auto"/>
              <w:jc w:val="right"/>
              <w:rPr>
                <w:rFonts w:ascii="Calibri" w:eastAsia="Times New Roman" w:hAnsi="Calibri" w:cs="Calibri"/>
                <w:color w:val="000000"/>
              </w:rPr>
            </w:pPr>
            <w:r w:rsidRPr="00902AF4">
              <w:rPr>
                <w:rFonts w:ascii="Calibri" w:eastAsia="Times New Roman" w:hAnsi="Calibri" w:cs="Calibri"/>
                <w:color w:val="000000"/>
              </w:rPr>
              <w:t>$22,953,150</w:t>
            </w:r>
          </w:p>
        </w:tc>
        <w:tc>
          <w:tcPr>
            <w:tcW w:w="1303" w:type="dxa"/>
            <w:tcBorders>
              <w:top w:val="nil"/>
              <w:left w:val="nil"/>
              <w:bottom w:val="nil"/>
              <w:right w:val="nil"/>
            </w:tcBorders>
            <w:shd w:val="clear" w:color="auto" w:fill="auto"/>
            <w:vAlign w:val="center"/>
            <w:hideMark/>
          </w:tcPr>
          <w:p w14:paraId="594F1B30" w14:textId="77777777" w:rsidR="00902AF4" w:rsidRPr="00902AF4" w:rsidRDefault="00902AF4" w:rsidP="00902AF4">
            <w:pPr>
              <w:spacing w:after="0" w:line="240" w:lineRule="auto"/>
              <w:jc w:val="right"/>
              <w:rPr>
                <w:rFonts w:ascii="Calibri" w:eastAsia="Times New Roman" w:hAnsi="Calibri" w:cs="Calibri"/>
                <w:color w:val="000000"/>
              </w:rPr>
            </w:pPr>
          </w:p>
        </w:tc>
        <w:tc>
          <w:tcPr>
            <w:tcW w:w="1303" w:type="dxa"/>
            <w:tcBorders>
              <w:top w:val="nil"/>
              <w:left w:val="nil"/>
              <w:bottom w:val="nil"/>
              <w:right w:val="nil"/>
            </w:tcBorders>
            <w:shd w:val="clear" w:color="auto" w:fill="auto"/>
            <w:noWrap/>
            <w:vAlign w:val="bottom"/>
            <w:hideMark/>
          </w:tcPr>
          <w:p w14:paraId="4AD2D4E2" w14:textId="77777777" w:rsidR="00902AF4" w:rsidRPr="00902AF4" w:rsidRDefault="00902AF4" w:rsidP="00902AF4">
            <w:pPr>
              <w:spacing w:after="0" w:line="240" w:lineRule="auto"/>
              <w:jc w:val="right"/>
              <w:rPr>
                <w:rFonts w:ascii="Times New Roman" w:eastAsia="Times New Roman" w:hAnsi="Times New Roman" w:cs="Times New Roman"/>
                <w:sz w:val="20"/>
                <w:szCs w:val="20"/>
              </w:rPr>
            </w:pPr>
          </w:p>
        </w:tc>
        <w:tc>
          <w:tcPr>
            <w:tcW w:w="1363" w:type="dxa"/>
            <w:tcBorders>
              <w:top w:val="nil"/>
              <w:left w:val="nil"/>
              <w:bottom w:val="nil"/>
              <w:right w:val="nil"/>
            </w:tcBorders>
            <w:shd w:val="clear" w:color="auto" w:fill="auto"/>
            <w:noWrap/>
            <w:vAlign w:val="bottom"/>
            <w:hideMark/>
          </w:tcPr>
          <w:p w14:paraId="153DB0C7" w14:textId="77777777" w:rsidR="00902AF4" w:rsidRPr="00902AF4" w:rsidRDefault="00902AF4" w:rsidP="00902AF4">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7AB3917D" w14:textId="77777777" w:rsidR="00902AF4" w:rsidRPr="00902AF4" w:rsidRDefault="00902AF4" w:rsidP="00902AF4">
            <w:pPr>
              <w:spacing w:after="0" w:line="240" w:lineRule="auto"/>
              <w:rPr>
                <w:rFonts w:ascii="Times New Roman" w:eastAsia="Times New Roman" w:hAnsi="Times New Roman" w:cs="Times New Roman"/>
                <w:sz w:val="20"/>
                <w:szCs w:val="20"/>
              </w:rPr>
            </w:pPr>
          </w:p>
        </w:tc>
      </w:tr>
      <w:tr w:rsidR="00902AF4" w:rsidRPr="00902AF4" w14:paraId="2643FC8A" w14:textId="77777777" w:rsidTr="00902AF4">
        <w:trPr>
          <w:trHeight w:val="328"/>
        </w:trPr>
        <w:tc>
          <w:tcPr>
            <w:tcW w:w="4411" w:type="dxa"/>
            <w:tcBorders>
              <w:top w:val="nil"/>
              <w:left w:val="single" w:sz="8" w:space="0" w:color="auto"/>
              <w:bottom w:val="single" w:sz="8" w:space="0" w:color="auto"/>
              <w:right w:val="nil"/>
            </w:tcBorders>
            <w:shd w:val="clear" w:color="auto" w:fill="auto"/>
            <w:noWrap/>
            <w:vAlign w:val="bottom"/>
            <w:hideMark/>
          </w:tcPr>
          <w:p w14:paraId="436E8118" w14:textId="77777777" w:rsidR="00902AF4" w:rsidRPr="00902AF4" w:rsidRDefault="00902AF4" w:rsidP="00902AF4">
            <w:pPr>
              <w:spacing w:after="0" w:line="240" w:lineRule="auto"/>
              <w:rPr>
                <w:rFonts w:ascii="Calibri" w:eastAsia="Times New Roman" w:hAnsi="Calibri" w:cs="Calibri"/>
                <w:b/>
                <w:bCs/>
                <w:color w:val="000000"/>
              </w:rPr>
            </w:pPr>
            <w:r w:rsidRPr="00902AF4">
              <w:rPr>
                <w:rFonts w:ascii="Calibri" w:eastAsia="Times New Roman" w:hAnsi="Calibri" w:cs="Calibri"/>
                <w:b/>
                <w:bCs/>
                <w:color w:val="000000"/>
              </w:rPr>
              <w:t>Authorized 2020 Budget Cap (D.18-05-041)</w:t>
            </w:r>
          </w:p>
        </w:tc>
        <w:tc>
          <w:tcPr>
            <w:tcW w:w="2566" w:type="dxa"/>
            <w:tcBorders>
              <w:top w:val="single" w:sz="12" w:space="0" w:color="auto"/>
              <w:left w:val="nil"/>
              <w:bottom w:val="single" w:sz="8" w:space="0" w:color="auto"/>
              <w:right w:val="single" w:sz="8" w:space="0" w:color="auto"/>
            </w:tcBorders>
            <w:shd w:val="clear" w:color="auto" w:fill="auto"/>
            <w:noWrap/>
            <w:vAlign w:val="bottom"/>
            <w:hideMark/>
          </w:tcPr>
          <w:p w14:paraId="015B5B7A" w14:textId="77777777" w:rsidR="00902AF4" w:rsidRPr="00902AF4" w:rsidRDefault="00902AF4" w:rsidP="00902AF4">
            <w:pPr>
              <w:spacing w:after="0" w:line="240" w:lineRule="auto"/>
              <w:jc w:val="right"/>
              <w:rPr>
                <w:rFonts w:ascii="Calibri" w:eastAsia="Times New Roman" w:hAnsi="Calibri" w:cs="Calibri"/>
                <w:color w:val="000000"/>
              </w:rPr>
            </w:pPr>
            <w:r w:rsidRPr="00902AF4">
              <w:rPr>
                <w:rFonts w:ascii="Calibri" w:eastAsia="Times New Roman" w:hAnsi="Calibri" w:cs="Calibri"/>
                <w:color w:val="000000"/>
              </w:rPr>
              <w:t>$24,615,000</w:t>
            </w:r>
          </w:p>
        </w:tc>
        <w:tc>
          <w:tcPr>
            <w:tcW w:w="1303" w:type="dxa"/>
            <w:tcBorders>
              <w:top w:val="nil"/>
              <w:left w:val="nil"/>
              <w:bottom w:val="nil"/>
              <w:right w:val="nil"/>
            </w:tcBorders>
            <w:shd w:val="clear" w:color="auto" w:fill="auto"/>
            <w:vAlign w:val="center"/>
            <w:hideMark/>
          </w:tcPr>
          <w:p w14:paraId="28D0FE0F" w14:textId="77777777" w:rsidR="00902AF4" w:rsidRPr="00902AF4" w:rsidRDefault="00902AF4" w:rsidP="00902AF4">
            <w:pPr>
              <w:spacing w:after="0" w:line="240" w:lineRule="auto"/>
              <w:jc w:val="right"/>
              <w:rPr>
                <w:rFonts w:ascii="Calibri" w:eastAsia="Times New Roman" w:hAnsi="Calibri" w:cs="Calibri"/>
                <w:color w:val="000000"/>
              </w:rPr>
            </w:pPr>
          </w:p>
        </w:tc>
        <w:tc>
          <w:tcPr>
            <w:tcW w:w="1303" w:type="dxa"/>
            <w:tcBorders>
              <w:top w:val="nil"/>
              <w:left w:val="nil"/>
              <w:bottom w:val="nil"/>
              <w:right w:val="nil"/>
            </w:tcBorders>
            <w:shd w:val="clear" w:color="auto" w:fill="auto"/>
            <w:noWrap/>
            <w:vAlign w:val="bottom"/>
            <w:hideMark/>
          </w:tcPr>
          <w:p w14:paraId="74AF5BC4" w14:textId="77777777" w:rsidR="00902AF4" w:rsidRPr="00902AF4" w:rsidRDefault="00902AF4" w:rsidP="00902AF4">
            <w:pPr>
              <w:spacing w:after="0" w:line="240" w:lineRule="auto"/>
              <w:jc w:val="right"/>
              <w:rPr>
                <w:rFonts w:ascii="Times New Roman" w:eastAsia="Times New Roman" w:hAnsi="Times New Roman" w:cs="Times New Roman"/>
                <w:sz w:val="20"/>
                <w:szCs w:val="20"/>
              </w:rPr>
            </w:pPr>
          </w:p>
        </w:tc>
        <w:tc>
          <w:tcPr>
            <w:tcW w:w="1363" w:type="dxa"/>
            <w:tcBorders>
              <w:top w:val="nil"/>
              <w:left w:val="nil"/>
              <w:bottom w:val="nil"/>
              <w:right w:val="nil"/>
            </w:tcBorders>
            <w:shd w:val="clear" w:color="auto" w:fill="auto"/>
            <w:noWrap/>
            <w:vAlign w:val="bottom"/>
            <w:hideMark/>
          </w:tcPr>
          <w:p w14:paraId="06605D23" w14:textId="77777777" w:rsidR="00902AF4" w:rsidRPr="00902AF4" w:rsidRDefault="00902AF4" w:rsidP="00902AF4">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39E1CB60" w14:textId="77777777" w:rsidR="00902AF4" w:rsidRPr="00902AF4" w:rsidRDefault="00902AF4" w:rsidP="00902AF4">
            <w:pPr>
              <w:spacing w:after="0" w:line="240" w:lineRule="auto"/>
              <w:rPr>
                <w:rFonts w:ascii="Times New Roman" w:eastAsia="Times New Roman" w:hAnsi="Times New Roman" w:cs="Times New Roman"/>
                <w:sz w:val="20"/>
                <w:szCs w:val="20"/>
              </w:rPr>
            </w:pPr>
          </w:p>
        </w:tc>
      </w:tr>
      <w:tr w:rsidR="00902AF4" w:rsidRPr="00902AF4" w14:paraId="5C609A71" w14:textId="77777777" w:rsidTr="00902AF4">
        <w:trPr>
          <w:trHeight w:val="134"/>
        </w:trPr>
        <w:tc>
          <w:tcPr>
            <w:tcW w:w="4411" w:type="dxa"/>
            <w:tcBorders>
              <w:top w:val="nil"/>
              <w:left w:val="nil"/>
              <w:bottom w:val="nil"/>
              <w:right w:val="nil"/>
            </w:tcBorders>
            <w:shd w:val="clear" w:color="auto" w:fill="auto"/>
            <w:noWrap/>
            <w:vAlign w:val="bottom"/>
            <w:hideMark/>
          </w:tcPr>
          <w:p w14:paraId="193C0BBB" w14:textId="77777777" w:rsidR="00902AF4" w:rsidRPr="00902AF4" w:rsidRDefault="00902AF4" w:rsidP="00902AF4">
            <w:pPr>
              <w:spacing w:after="0" w:line="240" w:lineRule="auto"/>
              <w:rPr>
                <w:rFonts w:ascii="Times New Roman" w:eastAsia="Times New Roman" w:hAnsi="Times New Roman" w:cs="Times New Roman"/>
                <w:sz w:val="20"/>
                <w:szCs w:val="20"/>
              </w:rPr>
            </w:pPr>
          </w:p>
        </w:tc>
        <w:tc>
          <w:tcPr>
            <w:tcW w:w="2566" w:type="dxa"/>
            <w:tcBorders>
              <w:top w:val="nil"/>
              <w:left w:val="nil"/>
              <w:bottom w:val="nil"/>
              <w:right w:val="nil"/>
            </w:tcBorders>
            <w:shd w:val="clear" w:color="auto" w:fill="auto"/>
            <w:noWrap/>
            <w:vAlign w:val="bottom"/>
            <w:hideMark/>
          </w:tcPr>
          <w:p w14:paraId="2F9AD75B" w14:textId="77777777" w:rsidR="00902AF4" w:rsidRPr="00902AF4" w:rsidRDefault="00902AF4" w:rsidP="00902AF4">
            <w:pPr>
              <w:spacing w:after="0" w:line="240" w:lineRule="auto"/>
              <w:rPr>
                <w:rFonts w:ascii="Times New Roman" w:eastAsia="Times New Roman" w:hAnsi="Times New Roman" w:cs="Times New Roman"/>
                <w:sz w:val="20"/>
                <w:szCs w:val="20"/>
              </w:rPr>
            </w:pPr>
          </w:p>
        </w:tc>
        <w:tc>
          <w:tcPr>
            <w:tcW w:w="1303" w:type="dxa"/>
            <w:tcBorders>
              <w:top w:val="nil"/>
              <w:left w:val="nil"/>
              <w:bottom w:val="nil"/>
              <w:right w:val="nil"/>
            </w:tcBorders>
            <w:shd w:val="clear" w:color="auto" w:fill="auto"/>
            <w:vAlign w:val="center"/>
            <w:hideMark/>
          </w:tcPr>
          <w:p w14:paraId="62449067" w14:textId="77777777" w:rsidR="00902AF4" w:rsidRPr="00902AF4" w:rsidRDefault="00902AF4" w:rsidP="00902AF4">
            <w:pPr>
              <w:spacing w:after="0" w:line="240" w:lineRule="auto"/>
              <w:jc w:val="right"/>
              <w:rPr>
                <w:rFonts w:ascii="Times New Roman" w:eastAsia="Times New Roman" w:hAnsi="Times New Roman" w:cs="Times New Roman"/>
                <w:sz w:val="20"/>
                <w:szCs w:val="20"/>
              </w:rPr>
            </w:pPr>
          </w:p>
        </w:tc>
        <w:tc>
          <w:tcPr>
            <w:tcW w:w="1303" w:type="dxa"/>
            <w:tcBorders>
              <w:top w:val="nil"/>
              <w:left w:val="nil"/>
              <w:bottom w:val="nil"/>
              <w:right w:val="nil"/>
            </w:tcBorders>
            <w:shd w:val="clear" w:color="auto" w:fill="auto"/>
            <w:noWrap/>
            <w:vAlign w:val="bottom"/>
            <w:hideMark/>
          </w:tcPr>
          <w:p w14:paraId="7B64B128" w14:textId="77777777" w:rsidR="00902AF4" w:rsidRPr="00902AF4" w:rsidRDefault="00902AF4" w:rsidP="00902AF4">
            <w:pPr>
              <w:spacing w:after="0" w:line="240" w:lineRule="auto"/>
              <w:jc w:val="right"/>
              <w:rPr>
                <w:rFonts w:ascii="Times New Roman" w:eastAsia="Times New Roman" w:hAnsi="Times New Roman" w:cs="Times New Roman"/>
                <w:sz w:val="20"/>
                <w:szCs w:val="20"/>
              </w:rPr>
            </w:pPr>
          </w:p>
        </w:tc>
        <w:tc>
          <w:tcPr>
            <w:tcW w:w="1363" w:type="dxa"/>
            <w:tcBorders>
              <w:top w:val="nil"/>
              <w:left w:val="nil"/>
              <w:bottom w:val="nil"/>
              <w:right w:val="nil"/>
            </w:tcBorders>
            <w:shd w:val="clear" w:color="auto" w:fill="auto"/>
            <w:noWrap/>
            <w:vAlign w:val="bottom"/>
            <w:hideMark/>
          </w:tcPr>
          <w:p w14:paraId="60ED4164" w14:textId="77777777" w:rsidR="00902AF4" w:rsidRPr="00902AF4" w:rsidRDefault="00902AF4" w:rsidP="00902AF4">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08F28EE5" w14:textId="77777777" w:rsidR="00902AF4" w:rsidRPr="00902AF4" w:rsidRDefault="00902AF4" w:rsidP="00902AF4">
            <w:pPr>
              <w:spacing w:after="0" w:line="240" w:lineRule="auto"/>
              <w:rPr>
                <w:rFonts w:ascii="Times New Roman" w:eastAsia="Times New Roman" w:hAnsi="Times New Roman" w:cs="Times New Roman"/>
                <w:sz w:val="20"/>
                <w:szCs w:val="20"/>
              </w:rPr>
            </w:pPr>
          </w:p>
        </w:tc>
      </w:tr>
      <w:tr w:rsidR="00902AF4" w:rsidRPr="00902AF4" w14:paraId="4F2AB2CA" w14:textId="77777777" w:rsidTr="00902AF4">
        <w:trPr>
          <w:trHeight w:val="313"/>
        </w:trPr>
        <w:tc>
          <w:tcPr>
            <w:tcW w:w="4411" w:type="dxa"/>
            <w:tcBorders>
              <w:top w:val="single" w:sz="8" w:space="0" w:color="auto"/>
              <w:left w:val="single" w:sz="8" w:space="0" w:color="auto"/>
              <w:bottom w:val="single" w:sz="12" w:space="0" w:color="auto"/>
              <w:right w:val="nil"/>
            </w:tcBorders>
            <w:shd w:val="clear" w:color="auto" w:fill="auto"/>
            <w:noWrap/>
            <w:vAlign w:val="bottom"/>
            <w:hideMark/>
          </w:tcPr>
          <w:p w14:paraId="0111C42F" w14:textId="77777777" w:rsidR="00902AF4" w:rsidRPr="00902AF4" w:rsidRDefault="00902AF4" w:rsidP="00902AF4">
            <w:pPr>
              <w:spacing w:after="0" w:line="240" w:lineRule="auto"/>
              <w:rPr>
                <w:rFonts w:ascii="Calibri" w:eastAsia="Times New Roman" w:hAnsi="Calibri" w:cs="Calibri"/>
                <w:b/>
                <w:bCs/>
                <w:color w:val="000000"/>
              </w:rPr>
            </w:pPr>
            <w:r w:rsidRPr="00902AF4">
              <w:rPr>
                <w:rFonts w:ascii="Calibri" w:eastAsia="Times New Roman" w:hAnsi="Calibri" w:cs="Calibri"/>
                <w:b/>
                <w:bCs/>
                <w:color w:val="000000"/>
              </w:rPr>
              <w:t xml:space="preserve">Forecast 2020 TRC </w:t>
            </w:r>
          </w:p>
        </w:tc>
        <w:tc>
          <w:tcPr>
            <w:tcW w:w="2566" w:type="dxa"/>
            <w:tcBorders>
              <w:top w:val="single" w:sz="8" w:space="0" w:color="auto"/>
              <w:left w:val="nil"/>
              <w:bottom w:val="single" w:sz="12" w:space="0" w:color="auto"/>
              <w:right w:val="single" w:sz="8" w:space="0" w:color="auto"/>
            </w:tcBorders>
            <w:shd w:val="clear" w:color="auto" w:fill="auto"/>
            <w:noWrap/>
            <w:vAlign w:val="bottom"/>
            <w:hideMark/>
          </w:tcPr>
          <w:p w14:paraId="219FFE77" w14:textId="77777777" w:rsidR="00902AF4" w:rsidRPr="00902AF4" w:rsidRDefault="00902AF4" w:rsidP="00902AF4">
            <w:pPr>
              <w:spacing w:after="0" w:line="240" w:lineRule="auto"/>
              <w:jc w:val="right"/>
              <w:rPr>
                <w:rFonts w:ascii="Calibri" w:eastAsia="Times New Roman" w:hAnsi="Calibri" w:cs="Calibri"/>
                <w:color w:val="000000"/>
              </w:rPr>
            </w:pPr>
            <w:r w:rsidRPr="00902AF4">
              <w:rPr>
                <w:rFonts w:ascii="Calibri" w:eastAsia="Times New Roman" w:hAnsi="Calibri" w:cs="Calibri"/>
                <w:color w:val="000000"/>
              </w:rPr>
              <w:t>0.29</w:t>
            </w:r>
          </w:p>
        </w:tc>
        <w:tc>
          <w:tcPr>
            <w:tcW w:w="1303" w:type="dxa"/>
            <w:tcBorders>
              <w:top w:val="nil"/>
              <w:left w:val="nil"/>
              <w:bottom w:val="nil"/>
              <w:right w:val="nil"/>
            </w:tcBorders>
            <w:shd w:val="clear" w:color="auto" w:fill="auto"/>
            <w:vAlign w:val="center"/>
            <w:hideMark/>
          </w:tcPr>
          <w:p w14:paraId="11F1E856" w14:textId="77777777" w:rsidR="00902AF4" w:rsidRPr="00902AF4" w:rsidRDefault="00902AF4" w:rsidP="00902AF4">
            <w:pPr>
              <w:spacing w:after="0" w:line="240" w:lineRule="auto"/>
              <w:jc w:val="right"/>
              <w:rPr>
                <w:rFonts w:ascii="Calibri" w:eastAsia="Times New Roman" w:hAnsi="Calibri" w:cs="Calibri"/>
                <w:color w:val="000000"/>
              </w:rPr>
            </w:pPr>
          </w:p>
        </w:tc>
        <w:tc>
          <w:tcPr>
            <w:tcW w:w="1303" w:type="dxa"/>
            <w:tcBorders>
              <w:top w:val="nil"/>
              <w:left w:val="nil"/>
              <w:bottom w:val="nil"/>
              <w:right w:val="nil"/>
            </w:tcBorders>
            <w:shd w:val="clear" w:color="auto" w:fill="auto"/>
            <w:noWrap/>
            <w:vAlign w:val="bottom"/>
            <w:hideMark/>
          </w:tcPr>
          <w:p w14:paraId="086AE6B4" w14:textId="77777777" w:rsidR="00902AF4" w:rsidRPr="00902AF4" w:rsidRDefault="00902AF4" w:rsidP="00902AF4">
            <w:pPr>
              <w:spacing w:after="0" w:line="240" w:lineRule="auto"/>
              <w:jc w:val="right"/>
              <w:rPr>
                <w:rFonts w:ascii="Times New Roman" w:eastAsia="Times New Roman" w:hAnsi="Times New Roman" w:cs="Times New Roman"/>
                <w:sz w:val="20"/>
                <w:szCs w:val="20"/>
              </w:rPr>
            </w:pPr>
          </w:p>
        </w:tc>
        <w:tc>
          <w:tcPr>
            <w:tcW w:w="1363" w:type="dxa"/>
            <w:tcBorders>
              <w:top w:val="nil"/>
              <w:left w:val="nil"/>
              <w:bottom w:val="nil"/>
              <w:right w:val="nil"/>
            </w:tcBorders>
            <w:shd w:val="clear" w:color="auto" w:fill="auto"/>
            <w:noWrap/>
            <w:vAlign w:val="bottom"/>
            <w:hideMark/>
          </w:tcPr>
          <w:p w14:paraId="08212CBF" w14:textId="77777777" w:rsidR="00902AF4" w:rsidRPr="00902AF4" w:rsidRDefault="00902AF4" w:rsidP="00902AF4">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7BBE50B2" w14:textId="77777777" w:rsidR="00902AF4" w:rsidRPr="00902AF4" w:rsidRDefault="00902AF4" w:rsidP="00902AF4">
            <w:pPr>
              <w:spacing w:after="0" w:line="240" w:lineRule="auto"/>
              <w:rPr>
                <w:rFonts w:ascii="Times New Roman" w:eastAsia="Times New Roman" w:hAnsi="Times New Roman" w:cs="Times New Roman"/>
                <w:sz w:val="20"/>
                <w:szCs w:val="20"/>
              </w:rPr>
            </w:pPr>
          </w:p>
        </w:tc>
      </w:tr>
      <w:tr w:rsidR="00902AF4" w:rsidRPr="00902AF4" w14:paraId="120F6BFE" w14:textId="77777777" w:rsidTr="00902AF4">
        <w:trPr>
          <w:trHeight w:val="328"/>
        </w:trPr>
        <w:tc>
          <w:tcPr>
            <w:tcW w:w="4411" w:type="dxa"/>
            <w:tcBorders>
              <w:top w:val="nil"/>
              <w:left w:val="single" w:sz="8" w:space="0" w:color="auto"/>
              <w:bottom w:val="single" w:sz="8" w:space="0" w:color="auto"/>
              <w:right w:val="nil"/>
            </w:tcBorders>
            <w:shd w:val="clear" w:color="auto" w:fill="auto"/>
            <w:noWrap/>
            <w:vAlign w:val="bottom"/>
            <w:hideMark/>
          </w:tcPr>
          <w:p w14:paraId="3419C3D4" w14:textId="77777777" w:rsidR="00902AF4" w:rsidRPr="00902AF4" w:rsidRDefault="00902AF4" w:rsidP="00902AF4">
            <w:pPr>
              <w:spacing w:after="0" w:line="240" w:lineRule="auto"/>
              <w:rPr>
                <w:rFonts w:ascii="Calibri" w:eastAsia="Times New Roman" w:hAnsi="Calibri" w:cs="Calibri"/>
                <w:b/>
                <w:bCs/>
                <w:color w:val="000000"/>
              </w:rPr>
            </w:pPr>
            <w:r w:rsidRPr="00902AF4">
              <w:rPr>
                <w:rFonts w:ascii="Calibri" w:eastAsia="Times New Roman" w:hAnsi="Calibri" w:cs="Calibri"/>
                <w:b/>
                <w:bCs/>
                <w:color w:val="000000"/>
              </w:rPr>
              <w:t xml:space="preserve">Forecast 2020 PAC </w:t>
            </w:r>
          </w:p>
        </w:tc>
        <w:tc>
          <w:tcPr>
            <w:tcW w:w="2566" w:type="dxa"/>
            <w:tcBorders>
              <w:top w:val="nil"/>
              <w:left w:val="nil"/>
              <w:bottom w:val="single" w:sz="8" w:space="0" w:color="auto"/>
              <w:right w:val="single" w:sz="8" w:space="0" w:color="auto"/>
            </w:tcBorders>
            <w:shd w:val="clear" w:color="auto" w:fill="auto"/>
            <w:noWrap/>
            <w:vAlign w:val="bottom"/>
            <w:hideMark/>
          </w:tcPr>
          <w:p w14:paraId="5B7A6AB0" w14:textId="77777777" w:rsidR="00902AF4" w:rsidRPr="00902AF4" w:rsidRDefault="00902AF4" w:rsidP="00902AF4">
            <w:pPr>
              <w:spacing w:after="0" w:line="240" w:lineRule="auto"/>
              <w:jc w:val="right"/>
              <w:rPr>
                <w:rFonts w:ascii="Calibri" w:eastAsia="Times New Roman" w:hAnsi="Calibri" w:cs="Calibri"/>
                <w:color w:val="000000"/>
              </w:rPr>
            </w:pPr>
            <w:r w:rsidRPr="00902AF4">
              <w:rPr>
                <w:rFonts w:ascii="Calibri" w:eastAsia="Times New Roman" w:hAnsi="Calibri" w:cs="Calibri"/>
                <w:color w:val="000000"/>
              </w:rPr>
              <w:t>0.43</w:t>
            </w:r>
          </w:p>
        </w:tc>
        <w:tc>
          <w:tcPr>
            <w:tcW w:w="1303" w:type="dxa"/>
            <w:tcBorders>
              <w:top w:val="nil"/>
              <w:left w:val="nil"/>
              <w:bottom w:val="nil"/>
              <w:right w:val="nil"/>
            </w:tcBorders>
            <w:shd w:val="clear" w:color="auto" w:fill="auto"/>
            <w:vAlign w:val="center"/>
            <w:hideMark/>
          </w:tcPr>
          <w:p w14:paraId="025BD781" w14:textId="77777777" w:rsidR="00902AF4" w:rsidRPr="00902AF4" w:rsidRDefault="00902AF4" w:rsidP="00902AF4">
            <w:pPr>
              <w:spacing w:after="0" w:line="240" w:lineRule="auto"/>
              <w:jc w:val="right"/>
              <w:rPr>
                <w:rFonts w:ascii="Calibri" w:eastAsia="Times New Roman" w:hAnsi="Calibri" w:cs="Calibri"/>
                <w:color w:val="000000"/>
              </w:rPr>
            </w:pPr>
          </w:p>
        </w:tc>
        <w:tc>
          <w:tcPr>
            <w:tcW w:w="1303" w:type="dxa"/>
            <w:tcBorders>
              <w:top w:val="nil"/>
              <w:left w:val="nil"/>
              <w:bottom w:val="nil"/>
              <w:right w:val="nil"/>
            </w:tcBorders>
            <w:shd w:val="clear" w:color="auto" w:fill="auto"/>
            <w:noWrap/>
            <w:vAlign w:val="bottom"/>
            <w:hideMark/>
          </w:tcPr>
          <w:p w14:paraId="1867231E" w14:textId="77777777" w:rsidR="00902AF4" w:rsidRPr="00902AF4" w:rsidRDefault="00902AF4" w:rsidP="00902AF4">
            <w:pPr>
              <w:spacing w:after="0" w:line="240" w:lineRule="auto"/>
              <w:jc w:val="right"/>
              <w:rPr>
                <w:rFonts w:ascii="Times New Roman" w:eastAsia="Times New Roman" w:hAnsi="Times New Roman" w:cs="Times New Roman"/>
                <w:sz w:val="20"/>
                <w:szCs w:val="20"/>
              </w:rPr>
            </w:pPr>
          </w:p>
        </w:tc>
        <w:tc>
          <w:tcPr>
            <w:tcW w:w="1363" w:type="dxa"/>
            <w:tcBorders>
              <w:top w:val="nil"/>
              <w:left w:val="nil"/>
              <w:bottom w:val="nil"/>
              <w:right w:val="nil"/>
            </w:tcBorders>
            <w:shd w:val="clear" w:color="auto" w:fill="auto"/>
            <w:noWrap/>
            <w:vAlign w:val="bottom"/>
            <w:hideMark/>
          </w:tcPr>
          <w:p w14:paraId="47BAF2AB" w14:textId="77777777" w:rsidR="00902AF4" w:rsidRPr="00902AF4" w:rsidRDefault="00902AF4" w:rsidP="00902AF4">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69FC6083" w14:textId="77777777" w:rsidR="00902AF4" w:rsidRPr="00902AF4" w:rsidRDefault="00902AF4" w:rsidP="00902AF4">
            <w:pPr>
              <w:spacing w:after="0" w:line="240" w:lineRule="auto"/>
              <w:rPr>
                <w:rFonts w:ascii="Times New Roman" w:eastAsia="Times New Roman" w:hAnsi="Times New Roman" w:cs="Times New Roman"/>
                <w:sz w:val="20"/>
                <w:szCs w:val="20"/>
              </w:rPr>
            </w:pPr>
          </w:p>
        </w:tc>
      </w:tr>
      <w:tr w:rsidR="00902AF4" w:rsidRPr="00902AF4" w14:paraId="4133962C" w14:textId="77777777" w:rsidTr="00902AF4">
        <w:trPr>
          <w:trHeight w:val="313"/>
        </w:trPr>
        <w:tc>
          <w:tcPr>
            <w:tcW w:w="4411" w:type="dxa"/>
            <w:tcBorders>
              <w:top w:val="nil"/>
              <w:left w:val="single" w:sz="8" w:space="0" w:color="auto"/>
              <w:bottom w:val="single" w:sz="8" w:space="0" w:color="auto"/>
              <w:right w:val="nil"/>
            </w:tcBorders>
            <w:shd w:val="clear" w:color="auto" w:fill="auto"/>
            <w:noWrap/>
            <w:vAlign w:val="bottom"/>
            <w:hideMark/>
          </w:tcPr>
          <w:p w14:paraId="74AEA00D" w14:textId="77777777" w:rsidR="00902AF4" w:rsidRPr="00902AF4" w:rsidRDefault="00902AF4" w:rsidP="00902AF4">
            <w:pPr>
              <w:spacing w:after="0" w:line="240" w:lineRule="auto"/>
              <w:rPr>
                <w:rFonts w:ascii="Calibri" w:eastAsia="Times New Roman" w:hAnsi="Calibri" w:cs="Calibri"/>
                <w:b/>
                <w:bCs/>
                <w:color w:val="000000"/>
              </w:rPr>
            </w:pPr>
            <w:r w:rsidRPr="00902AF4">
              <w:rPr>
                <w:rFonts w:ascii="Calibri" w:eastAsia="Times New Roman" w:hAnsi="Calibri" w:cs="Calibri"/>
                <w:b/>
                <w:bCs/>
                <w:color w:val="000000"/>
              </w:rPr>
              <w:t>Forecast 2020 RIM</w:t>
            </w:r>
          </w:p>
        </w:tc>
        <w:tc>
          <w:tcPr>
            <w:tcW w:w="2566" w:type="dxa"/>
            <w:tcBorders>
              <w:top w:val="nil"/>
              <w:left w:val="nil"/>
              <w:bottom w:val="single" w:sz="8" w:space="0" w:color="auto"/>
              <w:right w:val="single" w:sz="8" w:space="0" w:color="auto"/>
            </w:tcBorders>
            <w:shd w:val="clear" w:color="auto" w:fill="auto"/>
            <w:noWrap/>
            <w:vAlign w:val="bottom"/>
            <w:hideMark/>
          </w:tcPr>
          <w:p w14:paraId="6A3EF613" w14:textId="77777777" w:rsidR="00902AF4" w:rsidRPr="00902AF4" w:rsidRDefault="00902AF4" w:rsidP="00902AF4">
            <w:pPr>
              <w:spacing w:after="0" w:line="240" w:lineRule="auto"/>
              <w:jc w:val="right"/>
              <w:rPr>
                <w:rFonts w:ascii="Calibri" w:eastAsia="Times New Roman" w:hAnsi="Calibri" w:cs="Calibri"/>
                <w:color w:val="000000"/>
              </w:rPr>
            </w:pPr>
            <w:r w:rsidRPr="00902AF4">
              <w:rPr>
                <w:rFonts w:ascii="Calibri" w:eastAsia="Times New Roman" w:hAnsi="Calibri" w:cs="Calibri"/>
                <w:color w:val="000000"/>
              </w:rPr>
              <w:t>0.43</w:t>
            </w:r>
          </w:p>
        </w:tc>
        <w:tc>
          <w:tcPr>
            <w:tcW w:w="1303" w:type="dxa"/>
            <w:tcBorders>
              <w:top w:val="nil"/>
              <w:left w:val="nil"/>
              <w:bottom w:val="nil"/>
              <w:right w:val="nil"/>
            </w:tcBorders>
            <w:shd w:val="clear" w:color="auto" w:fill="auto"/>
            <w:noWrap/>
            <w:vAlign w:val="bottom"/>
            <w:hideMark/>
          </w:tcPr>
          <w:p w14:paraId="0C7331B7" w14:textId="77777777" w:rsidR="00902AF4" w:rsidRPr="00902AF4" w:rsidRDefault="00902AF4" w:rsidP="00902AF4">
            <w:pPr>
              <w:spacing w:after="0" w:line="240" w:lineRule="auto"/>
              <w:jc w:val="right"/>
              <w:rPr>
                <w:rFonts w:ascii="Calibri" w:eastAsia="Times New Roman" w:hAnsi="Calibri" w:cs="Calibri"/>
                <w:color w:val="000000"/>
              </w:rPr>
            </w:pPr>
          </w:p>
        </w:tc>
        <w:tc>
          <w:tcPr>
            <w:tcW w:w="1303" w:type="dxa"/>
            <w:tcBorders>
              <w:top w:val="nil"/>
              <w:left w:val="nil"/>
              <w:bottom w:val="nil"/>
              <w:right w:val="nil"/>
            </w:tcBorders>
            <w:shd w:val="clear" w:color="auto" w:fill="auto"/>
            <w:noWrap/>
            <w:vAlign w:val="bottom"/>
            <w:hideMark/>
          </w:tcPr>
          <w:p w14:paraId="3A46E1CB" w14:textId="77777777" w:rsidR="00902AF4" w:rsidRPr="00902AF4" w:rsidRDefault="00902AF4" w:rsidP="00902AF4">
            <w:pPr>
              <w:spacing w:after="0" w:line="240" w:lineRule="auto"/>
              <w:jc w:val="right"/>
              <w:rPr>
                <w:rFonts w:ascii="Times New Roman" w:eastAsia="Times New Roman" w:hAnsi="Times New Roman" w:cs="Times New Roman"/>
                <w:sz w:val="20"/>
                <w:szCs w:val="20"/>
              </w:rPr>
            </w:pPr>
          </w:p>
        </w:tc>
        <w:tc>
          <w:tcPr>
            <w:tcW w:w="1363" w:type="dxa"/>
            <w:tcBorders>
              <w:top w:val="nil"/>
              <w:left w:val="nil"/>
              <w:bottom w:val="nil"/>
              <w:right w:val="nil"/>
            </w:tcBorders>
            <w:shd w:val="clear" w:color="auto" w:fill="auto"/>
            <w:noWrap/>
            <w:vAlign w:val="bottom"/>
            <w:hideMark/>
          </w:tcPr>
          <w:p w14:paraId="4C50F7F2" w14:textId="77777777" w:rsidR="00902AF4" w:rsidRPr="00902AF4" w:rsidRDefault="00902AF4" w:rsidP="00902AF4">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5944D887" w14:textId="77777777" w:rsidR="00902AF4" w:rsidRPr="00902AF4" w:rsidRDefault="00902AF4" w:rsidP="00902AF4">
            <w:pPr>
              <w:spacing w:after="0" w:line="240" w:lineRule="auto"/>
              <w:rPr>
                <w:rFonts w:ascii="Times New Roman" w:eastAsia="Times New Roman" w:hAnsi="Times New Roman" w:cs="Times New Roman"/>
                <w:sz w:val="20"/>
                <w:szCs w:val="20"/>
              </w:rPr>
            </w:pPr>
          </w:p>
        </w:tc>
      </w:tr>
    </w:tbl>
    <w:p w14:paraId="5AF8E02F" w14:textId="77777777" w:rsidR="006236BF" w:rsidRDefault="006236BF" w:rsidP="00723996">
      <w:pPr>
        <w:rPr>
          <w:rFonts w:ascii="Times New Roman" w:hAnsi="Times New Roman" w:cs="Times New Roman"/>
          <w:b/>
        </w:rPr>
      </w:pPr>
    </w:p>
    <w:p w14:paraId="3B700304" w14:textId="77777777" w:rsidR="00902AF4" w:rsidRDefault="00902AF4" w:rsidP="006236BF">
      <w:pPr>
        <w:spacing w:after="0"/>
        <w:ind w:firstLine="720"/>
        <w:rPr>
          <w:rFonts w:ascii="Times New Roman" w:hAnsi="Times New Roman" w:cs="Times New Roman"/>
          <w:b/>
        </w:rPr>
      </w:pPr>
    </w:p>
    <w:p w14:paraId="08C30A96" w14:textId="77777777" w:rsidR="00902AF4" w:rsidRDefault="00902AF4" w:rsidP="006236BF">
      <w:pPr>
        <w:spacing w:after="0"/>
        <w:ind w:firstLine="720"/>
        <w:rPr>
          <w:rFonts w:ascii="Times New Roman" w:hAnsi="Times New Roman" w:cs="Times New Roman"/>
          <w:b/>
        </w:rPr>
      </w:pPr>
    </w:p>
    <w:p w14:paraId="0396E101" w14:textId="77777777" w:rsidR="00902AF4" w:rsidRDefault="00902AF4" w:rsidP="006236BF">
      <w:pPr>
        <w:spacing w:after="0"/>
        <w:ind w:firstLine="720"/>
        <w:rPr>
          <w:rFonts w:ascii="Times New Roman" w:hAnsi="Times New Roman" w:cs="Times New Roman"/>
          <w:b/>
        </w:rPr>
      </w:pPr>
    </w:p>
    <w:p w14:paraId="6C67DEDA" w14:textId="77777777" w:rsidR="00902AF4" w:rsidRDefault="00902AF4" w:rsidP="006236BF">
      <w:pPr>
        <w:spacing w:after="0"/>
        <w:ind w:firstLine="720"/>
        <w:rPr>
          <w:rFonts w:ascii="Times New Roman" w:hAnsi="Times New Roman" w:cs="Times New Roman"/>
          <w:b/>
        </w:rPr>
      </w:pPr>
    </w:p>
    <w:p w14:paraId="2E18C3F1" w14:textId="77777777" w:rsidR="00902AF4" w:rsidRDefault="00902AF4" w:rsidP="006236BF">
      <w:pPr>
        <w:spacing w:after="0"/>
        <w:ind w:firstLine="720"/>
        <w:rPr>
          <w:rFonts w:ascii="Times New Roman" w:hAnsi="Times New Roman" w:cs="Times New Roman"/>
          <w:b/>
        </w:rPr>
      </w:pPr>
    </w:p>
    <w:p w14:paraId="35065A60" w14:textId="77777777" w:rsidR="00902AF4" w:rsidRDefault="00902AF4" w:rsidP="006236BF">
      <w:pPr>
        <w:spacing w:after="0"/>
        <w:ind w:firstLine="720"/>
        <w:rPr>
          <w:rFonts w:ascii="Times New Roman" w:hAnsi="Times New Roman" w:cs="Times New Roman"/>
          <w:b/>
        </w:rPr>
      </w:pPr>
    </w:p>
    <w:p w14:paraId="74EE3079" w14:textId="77777777" w:rsidR="00902AF4" w:rsidRDefault="00902AF4" w:rsidP="006236BF">
      <w:pPr>
        <w:spacing w:after="0"/>
        <w:ind w:firstLine="720"/>
        <w:rPr>
          <w:rFonts w:ascii="Times New Roman" w:hAnsi="Times New Roman" w:cs="Times New Roman"/>
          <w:b/>
        </w:rPr>
      </w:pPr>
    </w:p>
    <w:p w14:paraId="0A1640EC" w14:textId="77777777" w:rsidR="00902AF4" w:rsidRDefault="00902AF4" w:rsidP="006236BF">
      <w:pPr>
        <w:spacing w:after="0"/>
        <w:ind w:firstLine="720"/>
        <w:rPr>
          <w:rFonts w:ascii="Times New Roman" w:hAnsi="Times New Roman" w:cs="Times New Roman"/>
          <w:b/>
        </w:rPr>
      </w:pPr>
    </w:p>
    <w:p w14:paraId="375ECF91" w14:textId="77777777" w:rsidR="00902AF4" w:rsidRDefault="00902AF4" w:rsidP="006236BF">
      <w:pPr>
        <w:spacing w:after="0"/>
        <w:ind w:firstLine="720"/>
        <w:rPr>
          <w:rFonts w:ascii="Times New Roman" w:hAnsi="Times New Roman" w:cs="Times New Roman"/>
          <w:b/>
        </w:rPr>
      </w:pPr>
    </w:p>
    <w:p w14:paraId="7E7C4C32" w14:textId="77777777" w:rsidR="00902AF4" w:rsidRDefault="00902AF4" w:rsidP="006236BF">
      <w:pPr>
        <w:spacing w:after="0"/>
        <w:ind w:firstLine="720"/>
        <w:rPr>
          <w:rFonts w:ascii="Times New Roman" w:hAnsi="Times New Roman" w:cs="Times New Roman"/>
          <w:b/>
        </w:rPr>
      </w:pPr>
    </w:p>
    <w:p w14:paraId="43256335" w14:textId="77777777" w:rsidR="00902AF4" w:rsidRDefault="00902AF4" w:rsidP="006236BF">
      <w:pPr>
        <w:spacing w:after="0"/>
        <w:ind w:firstLine="720"/>
        <w:rPr>
          <w:rFonts w:ascii="Times New Roman" w:hAnsi="Times New Roman" w:cs="Times New Roman"/>
          <w:b/>
        </w:rPr>
      </w:pPr>
    </w:p>
    <w:p w14:paraId="36A51631" w14:textId="77777777" w:rsidR="00902AF4" w:rsidRDefault="00902AF4" w:rsidP="006236BF">
      <w:pPr>
        <w:spacing w:after="0"/>
        <w:ind w:firstLine="720"/>
        <w:rPr>
          <w:rFonts w:ascii="Times New Roman" w:hAnsi="Times New Roman" w:cs="Times New Roman"/>
          <w:b/>
        </w:rPr>
      </w:pPr>
    </w:p>
    <w:p w14:paraId="23DCB568" w14:textId="77777777" w:rsidR="00902AF4" w:rsidRDefault="00902AF4" w:rsidP="006236BF">
      <w:pPr>
        <w:spacing w:after="0"/>
        <w:ind w:firstLine="720"/>
        <w:rPr>
          <w:rFonts w:ascii="Times New Roman" w:hAnsi="Times New Roman" w:cs="Times New Roman"/>
          <w:b/>
        </w:rPr>
      </w:pPr>
    </w:p>
    <w:p w14:paraId="4FB62E43" w14:textId="77777777" w:rsidR="00902AF4" w:rsidRDefault="00902AF4" w:rsidP="006236BF">
      <w:pPr>
        <w:spacing w:after="0"/>
        <w:ind w:firstLine="720"/>
        <w:rPr>
          <w:rFonts w:ascii="Times New Roman" w:hAnsi="Times New Roman" w:cs="Times New Roman"/>
          <w:b/>
        </w:rPr>
      </w:pPr>
    </w:p>
    <w:p w14:paraId="43C33FC6" w14:textId="77777777" w:rsidR="00902AF4" w:rsidRDefault="00902AF4" w:rsidP="006236BF">
      <w:pPr>
        <w:spacing w:after="0"/>
        <w:ind w:firstLine="720"/>
        <w:rPr>
          <w:rFonts w:ascii="Times New Roman" w:hAnsi="Times New Roman" w:cs="Times New Roman"/>
          <w:b/>
        </w:rPr>
      </w:pPr>
    </w:p>
    <w:p w14:paraId="25A58E2B" w14:textId="77777777" w:rsidR="00902AF4" w:rsidRDefault="00902AF4" w:rsidP="006236BF">
      <w:pPr>
        <w:spacing w:after="0"/>
        <w:ind w:firstLine="720"/>
        <w:rPr>
          <w:rFonts w:ascii="Times New Roman" w:hAnsi="Times New Roman" w:cs="Times New Roman"/>
          <w:b/>
        </w:rPr>
      </w:pPr>
    </w:p>
    <w:p w14:paraId="07FB8A37" w14:textId="77777777" w:rsidR="00902AF4" w:rsidRDefault="00902AF4" w:rsidP="006236BF">
      <w:pPr>
        <w:spacing w:after="0"/>
        <w:ind w:firstLine="720"/>
        <w:rPr>
          <w:rFonts w:ascii="Times New Roman" w:hAnsi="Times New Roman" w:cs="Times New Roman"/>
          <w:b/>
        </w:rPr>
      </w:pPr>
    </w:p>
    <w:p w14:paraId="18BD4058" w14:textId="5BA50AC4" w:rsidR="006236BF" w:rsidRDefault="00902AF4" w:rsidP="006236BF">
      <w:pPr>
        <w:spacing w:after="0"/>
        <w:ind w:firstLine="720"/>
        <w:rPr>
          <w:rFonts w:ascii="Times New Roman" w:hAnsi="Times New Roman" w:cs="Times New Roman"/>
          <w:b/>
        </w:rPr>
      </w:pPr>
      <w:r w:rsidRPr="00902AF4">
        <w:rPr>
          <w:noProof/>
        </w:rPr>
        <w:drawing>
          <wp:anchor distT="0" distB="0" distL="114300" distR="114300" simplePos="0" relativeHeight="251664384" behindDoc="0" locked="0" layoutInCell="1" allowOverlap="1" wp14:anchorId="4FA7637B" wp14:editId="039D9E18">
            <wp:simplePos x="0" y="0"/>
            <wp:positionH relativeFrom="margin">
              <wp:posOffset>-433705</wp:posOffset>
            </wp:positionH>
            <wp:positionV relativeFrom="paragraph">
              <wp:posOffset>238125</wp:posOffset>
            </wp:positionV>
            <wp:extent cx="6805295" cy="35433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r="6891"/>
                    <a:stretch/>
                  </pic:blipFill>
                  <pic:spPr bwMode="auto">
                    <a:xfrm>
                      <a:off x="0" y="0"/>
                      <a:ext cx="6805295" cy="3543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36BF" w:rsidRPr="00034691">
        <w:rPr>
          <w:rFonts w:ascii="Times New Roman" w:hAnsi="Times New Roman" w:cs="Times New Roman"/>
          <w:b/>
        </w:rPr>
        <w:t>Table 2: BayREN’s Annual Rolling Portfolio Budget Forecast</w:t>
      </w:r>
      <w:r>
        <w:rPr>
          <w:rStyle w:val="FootnoteReference"/>
          <w:rFonts w:ascii="Times New Roman" w:hAnsi="Times New Roman" w:cs="Times New Roman"/>
          <w:b/>
        </w:rPr>
        <w:footnoteReference w:id="7"/>
      </w:r>
      <w:r w:rsidR="006236BF" w:rsidRPr="00034691">
        <w:rPr>
          <w:rFonts w:ascii="Times New Roman" w:hAnsi="Times New Roman" w:cs="Times New Roman"/>
          <w:b/>
        </w:rPr>
        <w:t xml:space="preserve"> </w:t>
      </w:r>
    </w:p>
    <w:p w14:paraId="7FB49AD2" w14:textId="77777777" w:rsidR="00EF1501" w:rsidRDefault="00EF1501" w:rsidP="00902AF4">
      <w:pPr>
        <w:spacing w:after="0"/>
        <w:rPr>
          <w:rFonts w:ascii="Times New Roman" w:hAnsi="Times New Roman" w:cs="Times New Roman"/>
          <w:b/>
        </w:rPr>
      </w:pPr>
    </w:p>
    <w:p w14:paraId="341F2F45" w14:textId="76A1E07A" w:rsidR="006236BF" w:rsidRDefault="006236BF" w:rsidP="006236BF">
      <w:pPr>
        <w:spacing w:after="0"/>
        <w:ind w:firstLine="720"/>
        <w:rPr>
          <w:rFonts w:ascii="Times New Roman" w:hAnsi="Times New Roman" w:cs="Times New Roman"/>
          <w:b/>
        </w:rPr>
      </w:pPr>
      <w:r w:rsidRPr="00034691">
        <w:rPr>
          <w:rFonts w:ascii="Times New Roman" w:hAnsi="Times New Roman" w:cs="Times New Roman"/>
          <w:b/>
        </w:rPr>
        <w:t>Table 3: Annual Rolling Portfolio Savings Forecast True-Up (Net kWh</w:t>
      </w:r>
      <w:r>
        <w:rPr>
          <w:rFonts w:ascii="Times New Roman" w:hAnsi="Times New Roman" w:cs="Times New Roman"/>
          <w:b/>
        </w:rPr>
        <w:t>)</w:t>
      </w:r>
      <w:r w:rsidR="00902AF4">
        <w:rPr>
          <w:rStyle w:val="FootnoteReference"/>
          <w:rFonts w:ascii="Times New Roman" w:hAnsi="Times New Roman" w:cs="Times New Roman"/>
          <w:b/>
        </w:rPr>
        <w:footnoteReference w:id="8"/>
      </w:r>
    </w:p>
    <w:p w14:paraId="2B6547CE" w14:textId="0098D589" w:rsidR="006236BF" w:rsidRDefault="00902AF4" w:rsidP="006236BF">
      <w:pPr>
        <w:spacing w:after="0"/>
        <w:ind w:firstLine="720"/>
        <w:rPr>
          <w:rFonts w:ascii="Times New Roman" w:hAnsi="Times New Roman" w:cs="Times New Roman"/>
          <w:b/>
        </w:rPr>
      </w:pPr>
      <w:r w:rsidRPr="00902AF4">
        <w:rPr>
          <w:noProof/>
        </w:rPr>
        <w:lastRenderedPageBreak/>
        <w:drawing>
          <wp:anchor distT="0" distB="0" distL="114300" distR="114300" simplePos="0" relativeHeight="251668480" behindDoc="0" locked="0" layoutInCell="1" allowOverlap="1" wp14:anchorId="5C09C1CC" wp14:editId="784DE55C">
            <wp:simplePos x="0" y="0"/>
            <wp:positionH relativeFrom="margin">
              <wp:align>center</wp:align>
            </wp:positionH>
            <wp:positionV relativeFrom="paragraph">
              <wp:posOffset>205105</wp:posOffset>
            </wp:positionV>
            <wp:extent cx="6884670" cy="308610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6002" cy="30866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80663A" w14:textId="060ECB45" w:rsidR="00485D3E" w:rsidRDefault="00485D3E" w:rsidP="006236BF">
      <w:pPr>
        <w:spacing w:after="0"/>
        <w:ind w:firstLine="720"/>
        <w:rPr>
          <w:rFonts w:ascii="Times New Roman" w:hAnsi="Times New Roman" w:cs="Times New Roman"/>
          <w:b/>
        </w:rPr>
      </w:pPr>
    </w:p>
    <w:p w14:paraId="43DEA858" w14:textId="694C8F6C" w:rsidR="00485D3E" w:rsidRDefault="00485D3E" w:rsidP="006236BF">
      <w:pPr>
        <w:spacing w:after="0"/>
        <w:ind w:firstLine="720"/>
        <w:rPr>
          <w:rFonts w:ascii="Times New Roman" w:hAnsi="Times New Roman" w:cs="Times New Roman"/>
          <w:b/>
        </w:rPr>
      </w:pPr>
    </w:p>
    <w:p w14:paraId="4FED19AD" w14:textId="77777777" w:rsidR="00485D3E" w:rsidRDefault="00485D3E" w:rsidP="006236BF">
      <w:pPr>
        <w:spacing w:after="0"/>
        <w:ind w:firstLine="720"/>
        <w:rPr>
          <w:rFonts w:ascii="Times New Roman" w:hAnsi="Times New Roman" w:cs="Times New Roman"/>
          <w:b/>
        </w:rPr>
      </w:pPr>
    </w:p>
    <w:p w14:paraId="55FED64A" w14:textId="1D44600B" w:rsidR="006236BF" w:rsidRDefault="00902AF4" w:rsidP="006236BF">
      <w:pPr>
        <w:spacing w:after="0"/>
        <w:ind w:firstLine="720"/>
        <w:rPr>
          <w:rFonts w:ascii="Times New Roman" w:hAnsi="Times New Roman" w:cs="Times New Roman"/>
          <w:b/>
        </w:rPr>
      </w:pPr>
      <w:r w:rsidRPr="00902AF4">
        <w:rPr>
          <w:noProof/>
        </w:rPr>
        <w:drawing>
          <wp:anchor distT="0" distB="0" distL="114300" distR="114300" simplePos="0" relativeHeight="251666432" behindDoc="0" locked="0" layoutInCell="1" allowOverlap="1" wp14:anchorId="14E15087" wp14:editId="561D8216">
            <wp:simplePos x="0" y="0"/>
            <wp:positionH relativeFrom="margin">
              <wp:align>center</wp:align>
            </wp:positionH>
            <wp:positionV relativeFrom="paragraph">
              <wp:posOffset>292735</wp:posOffset>
            </wp:positionV>
            <wp:extent cx="6886849" cy="3081528"/>
            <wp:effectExtent l="0" t="0" r="0" b="508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6849" cy="3081528"/>
                    </a:xfrm>
                    <a:prstGeom prst="rect">
                      <a:avLst/>
                    </a:prstGeom>
                    <a:noFill/>
                    <a:ln>
                      <a:noFill/>
                    </a:ln>
                  </pic:spPr>
                </pic:pic>
              </a:graphicData>
            </a:graphic>
            <wp14:sizeRelH relativeFrom="page">
              <wp14:pctWidth>0</wp14:pctWidth>
            </wp14:sizeRelH>
            <wp14:sizeRelV relativeFrom="page">
              <wp14:pctHeight>0</wp14:pctHeight>
            </wp14:sizeRelV>
          </wp:anchor>
        </w:drawing>
      </w:r>
      <w:r w:rsidR="006236BF" w:rsidRPr="00034691">
        <w:rPr>
          <w:rFonts w:ascii="Times New Roman" w:hAnsi="Times New Roman" w:cs="Times New Roman"/>
          <w:b/>
        </w:rPr>
        <w:t>Table 4:  Annual Rolling Portfolio Savings Forecast True-Up (Net kW)</w:t>
      </w:r>
      <w:r w:rsidR="008237C2">
        <w:rPr>
          <w:rStyle w:val="FootnoteReference"/>
          <w:rFonts w:ascii="Times New Roman" w:hAnsi="Times New Roman" w:cs="Times New Roman"/>
          <w:b/>
        </w:rPr>
        <w:footnoteReference w:id="9"/>
      </w:r>
    </w:p>
    <w:p w14:paraId="1A367480" w14:textId="77777777" w:rsidR="00EF1501" w:rsidRPr="00902AF4" w:rsidRDefault="00EF1501" w:rsidP="00902AF4">
      <w:pPr>
        <w:rPr>
          <w:rFonts w:ascii="Times New Roman" w:hAnsi="Times New Roman" w:cs="Times New Roman"/>
          <w:b/>
          <w:sz w:val="18"/>
        </w:rPr>
      </w:pPr>
    </w:p>
    <w:p w14:paraId="04627771" w14:textId="27D8AB5C" w:rsidR="00626F6D" w:rsidRDefault="006236BF" w:rsidP="008237C2">
      <w:pPr>
        <w:spacing w:after="240"/>
        <w:ind w:firstLine="720"/>
        <w:rPr>
          <w:rFonts w:ascii="Times New Roman" w:hAnsi="Times New Roman" w:cs="Times New Roman"/>
          <w:b/>
        </w:rPr>
      </w:pPr>
      <w:r w:rsidRPr="00034691">
        <w:rPr>
          <w:rFonts w:ascii="Times New Roman" w:hAnsi="Times New Roman" w:cs="Times New Roman"/>
          <w:b/>
        </w:rPr>
        <w:lastRenderedPageBreak/>
        <w:t>Table 5:  Annual Rolling Portfolio Savings Forecast True-Up (Net therms)</w:t>
      </w:r>
      <w:r w:rsidR="008237C2">
        <w:rPr>
          <w:rStyle w:val="FootnoteReference"/>
          <w:rFonts w:ascii="Times New Roman" w:hAnsi="Times New Roman" w:cs="Times New Roman"/>
          <w:b/>
        </w:rPr>
        <w:footnoteReference w:id="10"/>
      </w:r>
      <w:r w:rsidR="00902AF4" w:rsidRPr="00902AF4">
        <w:rPr>
          <w:noProof/>
        </w:rPr>
        <w:drawing>
          <wp:anchor distT="0" distB="0" distL="114300" distR="114300" simplePos="0" relativeHeight="251667456" behindDoc="0" locked="0" layoutInCell="1" allowOverlap="1" wp14:anchorId="542C3C8F" wp14:editId="7AB596DD">
            <wp:simplePos x="0" y="0"/>
            <wp:positionH relativeFrom="margin">
              <wp:align>center</wp:align>
            </wp:positionH>
            <wp:positionV relativeFrom="paragraph">
              <wp:posOffset>213360</wp:posOffset>
            </wp:positionV>
            <wp:extent cx="6886575" cy="3117215"/>
            <wp:effectExtent l="0" t="0" r="9525" b="698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6575" cy="3117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8CE6D1" w14:textId="4ECED218" w:rsidR="00043D64" w:rsidRDefault="00043D64">
      <w:pPr>
        <w:rPr>
          <w:rFonts w:ascii="Times New Roman" w:hAnsi="Times New Roman" w:cs="Times New Roman"/>
          <w:b/>
        </w:rPr>
      </w:pPr>
      <w:r>
        <w:rPr>
          <w:rFonts w:ascii="Times New Roman" w:hAnsi="Times New Roman" w:cs="Times New Roman"/>
          <w:b/>
        </w:rPr>
        <w:br w:type="page"/>
      </w:r>
    </w:p>
    <w:p w14:paraId="68CF714F" w14:textId="77777777" w:rsidR="00626F6D" w:rsidRPr="00481A2A" w:rsidRDefault="00626F6D" w:rsidP="00723996">
      <w:pPr>
        <w:pStyle w:val="ListParagraph"/>
        <w:numPr>
          <w:ilvl w:val="0"/>
          <w:numId w:val="1"/>
        </w:numPr>
        <w:rPr>
          <w:rFonts w:ascii="Times New Roman" w:hAnsi="Times New Roman" w:cs="Times New Roman"/>
          <w:b/>
        </w:rPr>
      </w:pPr>
      <w:r w:rsidRPr="00481A2A">
        <w:rPr>
          <w:rFonts w:ascii="Times New Roman" w:hAnsi="Times New Roman" w:cs="Times New Roman"/>
          <w:b/>
        </w:rPr>
        <w:lastRenderedPageBreak/>
        <w:t>Discussion of Proposed Program and Portfolio Changes</w:t>
      </w:r>
    </w:p>
    <w:p w14:paraId="29D66E35" w14:textId="77777777" w:rsidR="0079340B" w:rsidRPr="008D1332" w:rsidRDefault="00626F6D" w:rsidP="0079340B">
      <w:pPr>
        <w:jc w:val="both"/>
        <w:rPr>
          <w:rFonts w:ascii="Times New Roman" w:hAnsi="Times New Roman" w:cs="Times New Roman"/>
        </w:rPr>
      </w:pPr>
      <w:r w:rsidRPr="00D5528B">
        <w:rPr>
          <w:rFonts w:ascii="Times New Roman" w:hAnsi="Times New Roman" w:cs="Times New Roman"/>
        </w:rPr>
        <w:t>Except as discussed below, the BayREN portfolio of programs will remain primarily the same as 201</w:t>
      </w:r>
      <w:r>
        <w:rPr>
          <w:rFonts w:ascii="Times New Roman" w:hAnsi="Times New Roman" w:cs="Times New Roman"/>
        </w:rPr>
        <w:t>9</w:t>
      </w:r>
      <w:r w:rsidRPr="00D5528B">
        <w:rPr>
          <w:rFonts w:ascii="Times New Roman" w:hAnsi="Times New Roman" w:cs="Times New Roman"/>
        </w:rPr>
        <w:t xml:space="preserve"> offerings with </w:t>
      </w:r>
      <w:r w:rsidR="00486F81">
        <w:rPr>
          <w:rFonts w:ascii="Times New Roman" w:hAnsi="Times New Roman" w:cs="Times New Roman"/>
        </w:rPr>
        <w:t>no change</w:t>
      </w:r>
      <w:r w:rsidR="00756DD1">
        <w:rPr>
          <w:rFonts w:ascii="Times New Roman" w:hAnsi="Times New Roman" w:cs="Times New Roman"/>
        </w:rPr>
        <w:t xml:space="preserve">s </w:t>
      </w:r>
      <w:r w:rsidRPr="00D5528B">
        <w:rPr>
          <w:rFonts w:ascii="Times New Roman" w:hAnsi="Times New Roman" w:cs="Times New Roman"/>
        </w:rPr>
        <w:t xml:space="preserve">in current </w:t>
      </w:r>
      <w:r w:rsidR="00756DD1">
        <w:rPr>
          <w:rFonts w:ascii="Times New Roman" w:hAnsi="Times New Roman" w:cs="Times New Roman"/>
        </w:rPr>
        <w:t xml:space="preserve">program design.  </w:t>
      </w:r>
      <w:r w:rsidR="0079340B">
        <w:rPr>
          <w:rFonts w:ascii="Times New Roman" w:hAnsi="Times New Roman" w:cs="Times New Roman"/>
        </w:rPr>
        <w:t xml:space="preserve">However, </w:t>
      </w:r>
      <w:r w:rsidR="000C03B4">
        <w:rPr>
          <w:rFonts w:ascii="Times New Roman" w:hAnsi="Times New Roman" w:cs="Times New Roman"/>
        </w:rPr>
        <w:t xml:space="preserve">pending approval of the [Proposed] </w:t>
      </w:r>
      <w:r w:rsidR="000C03B4" w:rsidRPr="000C03B4">
        <w:rPr>
          <w:rFonts w:ascii="Times New Roman" w:hAnsi="Times New Roman" w:cs="Times New Roman"/>
          <w:i/>
        </w:rPr>
        <w:t>Decision Modifying the Energy Efficiency Three-Prong Test Related to Fuel Substitution</w:t>
      </w:r>
      <w:r w:rsidR="000C03B4">
        <w:rPr>
          <w:rFonts w:ascii="Times New Roman" w:hAnsi="Times New Roman" w:cs="Times New Roman"/>
        </w:rPr>
        <w:t xml:space="preserve"> and the approval of relevant </w:t>
      </w:r>
      <w:r w:rsidR="00A50622">
        <w:rPr>
          <w:rFonts w:ascii="Times New Roman" w:hAnsi="Times New Roman" w:cs="Times New Roman"/>
        </w:rPr>
        <w:t>work papers</w:t>
      </w:r>
      <w:r w:rsidR="000C03B4">
        <w:rPr>
          <w:rFonts w:ascii="Times New Roman" w:hAnsi="Times New Roman" w:cs="Times New Roman"/>
        </w:rPr>
        <w:t xml:space="preserve">, the BayREN will consider introducing fuel switching measures into both residential offerings. </w:t>
      </w:r>
      <w:r w:rsidR="0079340B">
        <w:rPr>
          <w:rFonts w:ascii="Times New Roman" w:hAnsi="Times New Roman" w:cs="Times New Roman"/>
        </w:rPr>
        <w:t>BayREN’s 2020 total budget request is slightly less than last year for reasons discussed below.</w:t>
      </w:r>
    </w:p>
    <w:p w14:paraId="62BECCAB" w14:textId="37A95A4B" w:rsidR="00626F6D" w:rsidRDefault="00626F6D" w:rsidP="00626F6D">
      <w:pPr>
        <w:rPr>
          <w:rFonts w:ascii="Times New Roman" w:hAnsi="Times New Roman" w:cs="Times New Roman"/>
          <w:u w:val="single"/>
        </w:rPr>
      </w:pPr>
      <w:r>
        <w:rPr>
          <w:rFonts w:ascii="Times New Roman" w:hAnsi="Times New Roman" w:cs="Times New Roman"/>
          <w:u w:val="single"/>
        </w:rPr>
        <w:t>Multifamily</w:t>
      </w:r>
      <w:r w:rsidR="00756DD1">
        <w:rPr>
          <w:rFonts w:ascii="Times New Roman" w:hAnsi="Times New Roman" w:cs="Times New Roman"/>
          <w:u w:val="single"/>
        </w:rPr>
        <w:t xml:space="preserve"> (BAMBE)</w:t>
      </w:r>
    </w:p>
    <w:p w14:paraId="4CBE9775" w14:textId="615C1914" w:rsidR="00486F81" w:rsidRDefault="00486F81" w:rsidP="00486F81">
      <w:pPr>
        <w:spacing w:after="0"/>
        <w:rPr>
          <w:rFonts w:ascii="Times New Roman" w:hAnsi="Times New Roman" w:cs="Times New Roman"/>
        </w:rPr>
      </w:pPr>
      <w:r>
        <w:rPr>
          <w:rFonts w:ascii="Times New Roman" w:hAnsi="Times New Roman" w:cs="Times New Roman"/>
        </w:rPr>
        <w:t xml:space="preserve">BayREN has worked closely with </w:t>
      </w:r>
      <w:r w:rsidR="00756DD1">
        <w:rPr>
          <w:rFonts w:ascii="Times New Roman" w:hAnsi="Times New Roman" w:cs="Times New Roman"/>
        </w:rPr>
        <w:t xml:space="preserve">PG&amp;E and MCE (the </w:t>
      </w:r>
      <w:r>
        <w:rPr>
          <w:rFonts w:ascii="Times New Roman" w:hAnsi="Times New Roman" w:cs="Times New Roman"/>
        </w:rPr>
        <w:t>other PAs</w:t>
      </w:r>
      <w:r w:rsidR="00756DD1">
        <w:rPr>
          <w:rFonts w:ascii="Times New Roman" w:hAnsi="Times New Roman" w:cs="Times New Roman"/>
        </w:rPr>
        <w:t xml:space="preserve"> in our shared territory)</w:t>
      </w:r>
      <w:r>
        <w:rPr>
          <w:rFonts w:ascii="Times New Roman" w:hAnsi="Times New Roman" w:cs="Times New Roman"/>
        </w:rPr>
        <w:t xml:space="preserve"> to streamline cross-referrals and maintain a positive participant experience. To increase compatibility with PG&amp;E’s Multifamily Upgrade Program (MUP), BayREN created a pathway for rater-guided projects to participate in BAMBE. Whereas </w:t>
      </w:r>
      <w:r w:rsidR="0079340B">
        <w:rPr>
          <w:rFonts w:ascii="Times New Roman" w:hAnsi="Times New Roman" w:cs="Times New Roman"/>
        </w:rPr>
        <w:t>R</w:t>
      </w:r>
      <w:r>
        <w:rPr>
          <w:rFonts w:ascii="Times New Roman" w:hAnsi="Times New Roman" w:cs="Times New Roman"/>
        </w:rPr>
        <w:t xml:space="preserve">aters previously did not have a role in BAMBE, they now are able to conduct the upfront site visit and </w:t>
      </w:r>
      <w:r w:rsidR="0079340B">
        <w:rPr>
          <w:rFonts w:ascii="Times New Roman" w:hAnsi="Times New Roman" w:cs="Times New Roman"/>
        </w:rPr>
        <w:t xml:space="preserve">perform </w:t>
      </w:r>
      <w:r>
        <w:rPr>
          <w:rFonts w:ascii="Times New Roman" w:hAnsi="Times New Roman" w:cs="Times New Roman"/>
        </w:rPr>
        <w:t>energy modeling</w:t>
      </w:r>
      <w:r w:rsidR="0079340B">
        <w:rPr>
          <w:rFonts w:ascii="Times New Roman" w:hAnsi="Times New Roman" w:cs="Times New Roman"/>
        </w:rPr>
        <w:t xml:space="preserve">; </w:t>
      </w:r>
      <w:r>
        <w:rPr>
          <w:rFonts w:ascii="Times New Roman" w:hAnsi="Times New Roman" w:cs="Times New Roman"/>
        </w:rPr>
        <w:t xml:space="preserve">Rater projects are </w:t>
      </w:r>
      <w:r w:rsidR="0079340B">
        <w:rPr>
          <w:rFonts w:ascii="Times New Roman" w:hAnsi="Times New Roman" w:cs="Times New Roman"/>
        </w:rPr>
        <w:t xml:space="preserve">now </w:t>
      </w:r>
      <w:r>
        <w:rPr>
          <w:rFonts w:ascii="Times New Roman" w:hAnsi="Times New Roman" w:cs="Times New Roman"/>
        </w:rPr>
        <w:t xml:space="preserve">eligible to receive an assessment incentive. BayREN is working with PG&amp;E to enable MUP Raters to use EnergyPro Lite for BAMBE </w:t>
      </w:r>
      <w:r w:rsidR="0079340B">
        <w:rPr>
          <w:rFonts w:ascii="Times New Roman" w:hAnsi="Times New Roman" w:cs="Times New Roman"/>
        </w:rPr>
        <w:t xml:space="preserve">projects </w:t>
      </w:r>
      <w:r>
        <w:rPr>
          <w:rFonts w:ascii="Times New Roman" w:hAnsi="Times New Roman" w:cs="Times New Roman"/>
        </w:rPr>
        <w:t xml:space="preserve">and for initial screening in MUP if </w:t>
      </w:r>
      <w:r w:rsidR="0079340B">
        <w:rPr>
          <w:rFonts w:ascii="Times New Roman" w:hAnsi="Times New Roman" w:cs="Times New Roman"/>
        </w:rPr>
        <w:t>they choose</w:t>
      </w:r>
      <w:r>
        <w:rPr>
          <w:rFonts w:ascii="Times New Roman" w:hAnsi="Times New Roman" w:cs="Times New Roman"/>
        </w:rPr>
        <w:t>.  This alignment of modeling software and program delivery simplifies participation for Raters and customers within the Bay Area.</w:t>
      </w:r>
      <w:r w:rsidR="003361B4">
        <w:rPr>
          <w:rFonts w:ascii="Times New Roman" w:hAnsi="Times New Roman" w:cs="Times New Roman"/>
        </w:rPr>
        <w:t xml:space="preserve">  </w:t>
      </w:r>
      <w:r w:rsidR="003361B4" w:rsidRPr="003361B4">
        <w:rPr>
          <w:rFonts w:ascii="Times New Roman" w:hAnsi="Times New Roman" w:cs="Times New Roman"/>
        </w:rPr>
        <w:t xml:space="preserve">BayREN is </w:t>
      </w:r>
      <w:r w:rsidR="003361B4">
        <w:rPr>
          <w:rFonts w:ascii="Times New Roman" w:hAnsi="Times New Roman" w:cs="Times New Roman"/>
        </w:rPr>
        <w:t xml:space="preserve">also collaborating </w:t>
      </w:r>
      <w:r w:rsidR="003361B4" w:rsidRPr="003361B4">
        <w:rPr>
          <w:rFonts w:ascii="Times New Roman" w:hAnsi="Times New Roman" w:cs="Times New Roman"/>
        </w:rPr>
        <w:t xml:space="preserve">with MCE to further align the multifamily programs. This alignment is intended to reduce confusion in the market and help ensure that property owners are getting the type of service and incentive level most appropriate for their business model, </w:t>
      </w:r>
      <w:r w:rsidR="003361B4">
        <w:rPr>
          <w:rFonts w:ascii="Times New Roman" w:hAnsi="Times New Roman" w:cs="Times New Roman"/>
        </w:rPr>
        <w:t xml:space="preserve">thereby </w:t>
      </w:r>
      <w:r w:rsidR="003361B4" w:rsidRPr="003361B4">
        <w:rPr>
          <w:rFonts w:ascii="Times New Roman" w:hAnsi="Times New Roman" w:cs="Times New Roman"/>
        </w:rPr>
        <w:t>expand</w:t>
      </w:r>
      <w:r w:rsidR="003361B4">
        <w:rPr>
          <w:rFonts w:ascii="Times New Roman" w:hAnsi="Times New Roman" w:cs="Times New Roman"/>
        </w:rPr>
        <w:t>ing</w:t>
      </w:r>
      <w:r w:rsidR="003361B4" w:rsidRPr="003361B4">
        <w:rPr>
          <w:rFonts w:ascii="Times New Roman" w:hAnsi="Times New Roman" w:cs="Times New Roman"/>
        </w:rPr>
        <w:t xml:space="preserve"> the volume and quality of projects</w:t>
      </w:r>
      <w:r w:rsidR="0079340B">
        <w:rPr>
          <w:rFonts w:ascii="Times New Roman" w:hAnsi="Times New Roman" w:cs="Times New Roman"/>
        </w:rPr>
        <w:t xml:space="preserve"> in the shared territory</w:t>
      </w:r>
      <w:r w:rsidR="003361B4" w:rsidRPr="003361B4">
        <w:rPr>
          <w:rFonts w:ascii="Times New Roman" w:hAnsi="Times New Roman" w:cs="Times New Roman"/>
        </w:rPr>
        <w:t>.</w:t>
      </w:r>
    </w:p>
    <w:p w14:paraId="46C54D74" w14:textId="77777777" w:rsidR="00626F6D" w:rsidRDefault="00626F6D" w:rsidP="00626F6D">
      <w:pPr>
        <w:rPr>
          <w:rFonts w:ascii="Times New Roman" w:hAnsi="Times New Roman" w:cs="Times New Roman"/>
          <w:u w:val="single"/>
        </w:rPr>
      </w:pPr>
    </w:p>
    <w:p w14:paraId="1A392ED7" w14:textId="193AD806" w:rsidR="00626F6D" w:rsidRPr="00216894" w:rsidRDefault="00626F6D" w:rsidP="00626F6D">
      <w:pPr>
        <w:rPr>
          <w:rFonts w:ascii="Times New Roman" w:hAnsi="Times New Roman" w:cs="Times New Roman"/>
          <w:u w:val="single"/>
        </w:rPr>
      </w:pPr>
      <w:r w:rsidRPr="00216894">
        <w:rPr>
          <w:rFonts w:ascii="Times New Roman" w:hAnsi="Times New Roman" w:cs="Times New Roman"/>
          <w:u w:val="single"/>
        </w:rPr>
        <w:t>Single Family</w:t>
      </w:r>
      <w:r w:rsidR="003361B4">
        <w:rPr>
          <w:rFonts w:ascii="Times New Roman" w:hAnsi="Times New Roman" w:cs="Times New Roman"/>
          <w:u w:val="single"/>
        </w:rPr>
        <w:t xml:space="preserve"> (Home</w:t>
      </w:r>
      <w:r w:rsidR="00DE1196">
        <w:rPr>
          <w:rFonts w:ascii="Times New Roman" w:hAnsi="Times New Roman" w:cs="Times New Roman"/>
          <w:u w:val="single"/>
        </w:rPr>
        <w:t>+</w:t>
      </w:r>
      <w:r w:rsidR="003361B4">
        <w:rPr>
          <w:rFonts w:ascii="Times New Roman" w:hAnsi="Times New Roman" w:cs="Times New Roman"/>
          <w:u w:val="single"/>
        </w:rPr>
        <w:t>)</w:t>
      </w:r>
    </w:p>
    <w:p w14:paraId="0B906E39" w14:textId="4E85DCD1" w:rsidR="00DE1196" w:rsidRDefault="00DE1196" w:rsidP="00DE1196">
      <w:pPr>
        <w:rPr>
          <w:szCs w:val="20"/>
        </w:rPr>
      </w:pPr>
      <w:r>
        <w:rPr>
          <w:rFonts w:ascii="Times New Roman" w:hAnsi="Times New Roman" w:cs="Times New Roman"/>
        </w:rPr>
        <w:t>BayREN closed its Home Upgrade Program in December 2018, and launched the newly designed Single Family program ‘Home+’ in January 2019. The new program focuses on lower-to-middle income</w:t>
      </w:r>
      <w:r>
        <w:rPr>
          <w:rStyle w:val="FootnoteReference"/>
          <w:rFonts w:ascii="Times New Roman" w:hAnsi="Times New Roman" w:cs="Times New Roman"/>
        </w:rPr>
        <w:footnoteReference w:customMarkFollows="1" w:id="11"/>
        <w:t>[1]</w:t>
      </w:r>
      <w:r>
        <w:rPr>
          <w:rFonts w:ascii="Times New Roman" w:hAnsi="Times New Roman" w:cs="Times New Roman"/>
        </w:rPr>
        <w:t xml:space="preserve"> homeowners and renters in the Bay Area, a population that is consistently underserved in ratepayer energy efficiency programs </w:t>
      </w:r>
      <w:r w:rsidR="0079340B">
        <w:rPr>
          <w:rFonts w:ascii="Times New Roman" w:hAnsi="Times New Roman" w:cs="Times New Roman"/>
        </w:rPr>
        <w:t xml:space="preserve">throughout </w:t>
      </w:r>
      <w:r>
        <w:rPr>
          <w:rFonts w:ascii="Times New Roman" w:hAnsi="Times New Roman" w:cs="Times New Roman"/>
        </w:rPr>
        <w:t xml:space="preserve">the state. Prior to launching Home+, </w:t>
      </w:r>
      <w:r w:rsidRPr="00011F3A">
        <w:rPr>
          <w:rFonts w:ascii="Times New Roman" w:hAnsi="Times New Roman" w:cs="Times New Roman"/>
        </w:rPr>
        <w:t xml:space="preserve">BayREN conducted a </w:t>
      </w:r>
      <w:r>
        <w:rPr>
          <w:rFonts w:ascii="Times New Roman" w:hAnsi="Times New Roman" w:cs="Times New Roman"/>
        </w:rPr>
        <w:t>S</w:t>
      </w:r>
      <w:r w:rsidRPr="00011F3A">
        <w:rPr>
          <w:rFonts w:ascii="Times New Roman" w:hAnsi="Times New Roman" w:cs="Times New Roman"/>
        </w:rPr>
        <w:t xml:space="preserve">ingle </w:t>
      </w:r>
      <w:r>
        <w:rPr>
          <w:rFonts w:ascii="Times New Roman" w:hAnsi="Times New Roman" w:cs="Times New Roman"/>
        </w:rPr>
        <w:t>F</w:t>
      </w:r>
      <w:r w:rsidRPr="00011F3A">
        <w:rPr>
          <w:rFonts w:ascii="Times New Roman" w:hAnsi="Times New Roman" w:cs="Times New Roman"/>
        </w:rPr>
        <w:t xml:space="preserve">amily </w:t>
      </w:r>
      <w:r>
        <w:rPr>
          <w:rFonts w:ascii="Times New Roman" w:hAnsi="Times New Roman" w:cs="Times New Roman"/>
        </w:rPr>
        <w:t>M</w:t>
      </w:r>
      <w:r w:rsidRPr="00011F3A">
        <w:rPr>
          <w:rFonts w:ascii="Times New Roman" w:hAnsi="Times New Roman" w:cs="Times New Roman"/>
        </w:rPr>
        <w:t xml:space="preserve">oderate </w:t>
      </w:r>
      <w:r>
        <w:rPr>
          <w:rFonts w:ascii="Times New Roman" w:hAnsi="Times New Roman" w:cs="Times New Roman"/>
        </w:rPr>
        <w:t>I</w:t>
      </w:r>
      <w:r w:rsidRPr="00011F3A">
        <w:rPr>
          <w:rFonts w:ascii="Times New Roman" w:hAnsi="Times New Roman" w:cs="Times New Roman"/>
        </w:rPr>
        <w:t xml:space="preserve">ncome </w:t>
      </w:r>
      <w:r>
        <w:rPr>
          <w:rFonts w:ascii="Times New Roman" w:hAnsi="Times New Roman" w:cs="Times New Roman"/>
        </w:rPr>
        <w:t>M</w:t>
      </w:r>
      <w:r w:rsidRPr="00011F3A">
        <w:rPr>
          <w:rFonts w:ascii="Times New Roman" w:hAnsi="Times New Roman" w:cs="Times New Roman"/>
        </w:rPr>
        <w:t xml:space="preserve">arket </w:t>
      </w:r>
      <w:r>
        <w:rPr>
          <w:rFonts w:ascii="Times New Roman" w:hAnsi="Times New Roman" w:cs="Times New Roman"/>
        </w:rPr>
        <w:t>C</w:t>
      </w:r>
      <w:r w:rsidRPr="00011F3A">
        <w:rPr>
          <w:rFonts w:ascii="Times New Roman" w:hAnsi="Times New Roman" w:cs="Times New Roman"/>
        </w:rPr>
        <w:t>haracterization study</w:t>
      </w:r>
      <w:r>
        <w:rPr>
          <w:rFonts w:ascii="Times New Roman" w:hAnsi="Times New Roman" w:cs="Times New Roman"/>
        </w:rPr>
        <w:t xml:space="preserve">; the </w:t>
      </w:r>
      <w:r w:rsidRPr="00011F3A">
        <w:rPr>
          <w:rFonts w:ascii="Times New Roman" w:hAnsi="Times New Roman" w:cs="Times New Roman"/>
        </w:rPr>
        <w:t>findings informed m</w:t>
      </w:r>
      <w:r w:rsidR="0079340B">
        <w:rPr>
          <w:rFonts w:ascii="Times New Roman" w:hAnsi="Times New Roman" w:cs="Times New Roman"/>
        </w:rPr>
        <w:t>uch</w:t>
      </w:r>
      <w:r w:rsidRPr="00011F3A">
        <w:rPr>
          <w:rFonts w:ascii="Times New Roman" w:hAnsi="Times New Roman" w:cs="Times New Roman"/>
        </w:rPr>
        <w:t xml:space="preserve"> of the new program design.</w:t>
      </w:r>
      <w:r w:rsidRPr="00950C65">
        <w:rPr>
          <w:szCs w:val="20"/>
        </w:rPr>
        <w:t xml:space="preserve"> </w:t>
      </w:r>
    </w:p>
    <w:p w14:paraId="3EE140D9" w14:textId="160BA3F5" w:rsidR="00DE1196" w:rsidRPr="00134A2E" w:rsidRDefault="00DE1196" w:rsidP="00DE1196">
      <w:pPr>
        <w:rPr>
          <w:rFonts w:ascii="Times New Roman" w:hAnsi="Times New Roman" w:cs="Times New Roman"/>
        </w:rPr>
      </w:pPr>
      <w:r w:rsidRPr="00134A2E">
        <w:rPr>
          <w:rFonts w:ascii="Times New Roman" w:hAnsi="Times New Roman" w:cs="Times New Roman"/>
        </w:rPr>
        <w:t xml:space="preserve">The key </w:t>
      </w:r>
      <w:r>
        <w:rPr>
          <w:rFonts w:ascii="Times New Roman" w:hAnsi="Times New Roman" w:cs="Times New Roman"/>
        </w:rPr>
        <w:t>elements</w:t>
      </w:r>
      <w:r w:rsidRPr="00134A2E">
        <w:rPr>
          <w:rFonts w:ascii="Times New Roman" w:hAnsi="Times New Roman" w:cs="Times New Roman"/>
        </w:rPr>
        <w:t xml:space="preserve"> of the new program incl</w:t>
      </w:r>
      <w:r>
        <w:rPr>
          <w:rFonts w:ascii="Times New Roman" w:hAnsi="Times New Roman" w:cs="Times New Roman"/>
        </w:rPr>
        <w:t>ude r</w:t>
      </w:r>
      <w:r w:rsidRPr="00134A2E">
        <w:rPr>
          <w:rFonts w:ascii="Times New Roman" w:hAnsi="Times New Roman" w:cs="Times New Roman"/>
        </w:rPr>
        <w:t>ebates for single measure upgrades with bonus rebates offered for bundled measures</w:t>
      </w:r>
      <w:r>
        <w:rPr>
          <w:rFonts w:ascii="Times New Roman" w:hAnsi="Times New Roman" w:cs="Times New Roman"/>
        </w:rPr>
        <w:t xml:space="preserve">. Customers have been able to undertake upgrades that best fit their needs. The new program also expanded its reach, and unlike Home Upgrade, allows renters (representing one third of the target market) to participate.  Additionally, up to four unit single family homes are </w:t>
      </w:r>
      <w:r w:rsidR="00F42D20">
        <w:rPr>
          <w:rFonts w:ascii="Times New Roman" w:hAnsi="Times New Roman" w:cs="Times New Roman"/>
        </w:rPr>
        <w:t xml:space="preserve">now </w:t>
      </w:r>
      <w:r>
        <w:rPr>
          <w:rFonts w:ascii="Times New Roman" w:hAnsi="Times New Roman" w:cs="Times New Roman"/>
        </w:rPr>
        <w:t xml:space="preserve">eligible. The program also offers energy efficiency kits that are mailed to customers that complete an online home energy evaluation. </w:t>
      </w:r>
    </w:p>
    <w:p w14:paraId="62818AE3" w14:textId="329A818E" w:rsidR="00DE1196" w:rsidRDefault="00DE1196" w:rsidP="00DE1196">
      <w:pPr>
        <w:rPr>
          <w:rFonts w:ascii="Times New Roman" w:hAnsi="Times New Roman" w:cs="Times New Roman"/>
        </w:rPr>
      </w:pPr>
      <w:r>
        <w:rPr>
          <w:rFonts w:ascii="Times New Roman" w:hAnsi="Times New Roman" w:cs="Times New Roman"/>
        </w:rPr>
        <w:t>Another important offering of the program includes direct install of basic energy efficiency measures. The direct install measures are targeted specifically at households that have historical</w:t>
      </w:r>
      <w:r w:rsidR="0079340B">
        <w:rPr>
          <w:rFonts w:ascii="Times New Roman" w:hAnsi="Times New Roman" w:cs="Times New Roman"/>
        </w:rPr>
        <w:t>ly</w:t>
      </w:r>
      <w:r>
        <w:rPr>
          <w:rFonts w:ascii="Times New Roman" w:hAnsi="Times New Roman" w:cs="Times New Roman"/>
        </w:rPr>
        <w:t xml:space="preserve"> low program participation. These measures are installed </w:t>
      </w:r>
      <w:r w:rsidR="00F42D20">
        <w:rPr>
          <w:rFonts w:ascii="Times New Roman" w:hAnsi="Times New Roman" w:cs="Times New Roman"/>
        </w:rPr>
        <w:t xml:space="preserve">with </w:t>
      </w:r>
      <w:r w:rsidR="002A0BD2">
        <w:rPr>
          <w:rFonts w:ascii="Times New Roman" w:hAnsi="Times New Roman" w:cs="Times New Roman"/>
        </w:rPr>
        <w:t xml:space="preserve">youth trained through our </w:t>
      </w:r>
      <w:r w:rsidR="00F42D20">
        <w:rPr>
          <w:rFonts w:ascii="Times New Roman" w:hAnsi="Times New Roman" w:cs="Times New Roman"/>
        </w:rPr>
        <w:t>partner Rising Sun Energy</w:t>
      </w:r>
      <w:r w:rsidR="002A0BD2">
        <w:rPr>
          <w:rFonts w:ascii="Times New Roman" w:hAnsi="Times New Roman" w:cs="Times New Roman"/>
        </w:rPr>
        <w:t>, via the “Green House Calls” offering.</w:t>
      </w:r>
      <w:r>
        <w:rPr>
          <w:rFonts w:ascii="Times New Roman" w:hAnsi="Times New Roman" w:cs="Times New Roman"/>
        </w:rPr>
        <w:t xml:space="preserve"> </w:t>
      </w:r>
    </w:p>
    <w:p w14:paraId="0547F64E" w14:textId="694FCDC9" w:rsidR="002A0BD2" w:rsidRDefault="00DE1196" w:rsidP="00DE1196">
      <w:pPr>
        <w:rPr>
          <w:rFonts w:ascii="Times New Roman" w:hAnsi="Times New Roman" w:cs="Times New Roman"/>
        </w:rPr>
      </w:pPr>
      <w:r>
        <w:rPr>
          <w:rFonts w:ascii="Times New Roman" w:hAnsi="Times New Roman" w:cs="Times New Roman"/>
        </w:rPr>
        <w:lastRenderedPageBreak/>
        <w:t xml:space="preserve">Compared to 2018’s Home Upgrade Program, Home+ has been able to serve a higher number of program participants within a lower incentive budget because of the new increased flexibility of measures available to different households. This high participation rate is expected to continue in 2020. </w:t>
      </w:r>
    </w:p>
    <w:p w14:paraId="543977F6" w14:textId="77777777" w:rsidR="00626F6D" w:rsidRPr="00577F0E" w:rsidRDefault="00626F6D" w:rsidP="00626F6D">
      <w:pPr>
        <w:rPr>
          <w:rFonts w:ascii="Times New Roman" w:hAnsi="Times New Roman" w:cs="Times New Roman"/>
          <w:u w:val="single"/>
        </w:rPr>
      </w:pPr>
      <w:r w:rsidRPr="00577F0E">
        <w:rPr>
          <w:rFonts w:ascii="Times New Roman" w:hAnsi="Times New Roman" w:cs="Times New Roman"/>
          <w:u w:val="single"/>
        </w:rPr>
        <w:t>Commercial</w:t>
      </w:r>
    </w:p>
    <w:p w14:paraId="3BBC0131" w14:textId="69AA6DD3" w:rsidR="00626F6D" w:rsidRPr="00577F0E" w:rsidRDefault="00626F6D" w:rsidP="00626F6D">
      <w:pPr>
        <w:jc w:val="both"/>
        <w:rPr>
          <w:rFonts w:ascii="Times New Roman" w:hAnsi="Times New Roman" w:cs="Times New Roman"/>
          <w:iCs/>
        </w:rPr>
      </w:pPr>
      <w:r w:rsidRPr="00577F0E">
        <w:rPr>
          <w:rFonts w:ascii="Times New Roman" w:hAnsi="Times New Roman" w:cs="Times New Roman"/>
          <w:iCs/>
        </w:rPr>
        <w:t>The BayREN S</w:t>
      </w:r>
      <w:r w:rsidR="002A0BD2">
        <w:rPr>
          <w:rFonts w:ascii="Times New Roman" w:hAnsi="Times New Roman" w:cs="Times New Roman"/>
          <w:iCs/>
        </w:rPr>
        <w:t xml:space="preserve">mall </w:t>
      </w:r>
      <w:r w:rsidR="00393002">
        <w:rPr>
          <w:rFonts w:ascii="Times New Roman" w:hAnsi="Times New Roman" w:cs="Times New Roman"/>
          <w:iCs/>
        </w:rPr>
        <w:t>and</w:t>
      </w:r>
      <w:r w:rsidR="002A0BD2">
        <w:rPr>
          <w:rFonts w:ascii="Times New Roman" w:hAnsi="Times New Roman" w:cs="Times New Roman"/>
          <w:iCs/>
        </w:rPr>
        <w:t xml:space="preserve"> </w:t>
      </w:r>
      <w:r w:rsidRPr="00577F0E">
        <w:rPr>
          <w:rFonts w:ascii="Times New Roman" w:hAnsi="Times New Roman" w:cs="Times New Roman"/>
          <w:iCs/>
        </w:rPr>
        <w:t>M</w:t>
      </w:r>
      <w:r w:rsidR="002A0BD2">
        <w:rPr>
          <w:rFonts w:ascii="Times New Roman" w:hAnsi="Times New Roman" w:cs="Times New Roman"/>
          <w:iCs/>
        </w:rPr>
        <w:t xml:space="preserve">edium </w:t>
      </w:r>
      <w:r w:rsidRPr="00577F0E">
        <w:rPr>
          <w:rFonts w:ascii="Times New Roman" w:hAnsi="Times New Roman" w:cs="Times New Roman"/>
          <w:iCs/>
        </w:rPr>
        <w:t>B</w:t>
      </w:r>
      <w:r w:rsidR="002A0BD2">
        <w:rPr>
          <w:rFonts w:ascii="Times New Roman" w:hAnsi="Times New Roman" w:cs="Times New Roman"/>
          <w:iCs/>
        </w:rPr>
        <w:t>usiness (SMB)</w:t>
      </w:r>
      <w:r w:rsidRPr="00577F0E">
        <w:rPr>
          <w:rFonts w:ascii="Times New Roman" w:hAnsi="Times New Roman" w:cs="Times New Roman"/>
          <w:iCs/>
        </w:rPr>
        <w:t xml:space="preserve"> Commercial </w:t>
      </w:r>
      <w:r w:rsidR="003D6C88">
        <w:rPr>
          <w:rFonts w:ascii="Times New Roman" w:hAnsi="Times New Roman" w:cs="Times New Roman"/>
          <w:iCs/>
        </w:rPr>
        <w:t>p</w:t>
      </w:r>
      <w:r w:rsidRPr="00577F0E">
        <w:rPr>
          <w:rFonts w:ascii="Times New Roman" w:hAnsi="Times New Roman" w:cs="Times New Roman"/>
          <w:iCs/>
        </w:rPr>
        <w:t>rogram</w:t>
      </w:r>
      <w:r w:rsidR="003D6C88">
        <w:rPr>
          <w:rFonts w:ascii="Times New Roman" w:hAnsi="Times New Roman" w:cs="Times New Roman"/>
          <w:iCs/>
        </w:rPr>
        <w:t xml:space="preserve"> consists of two subprograms: Pay-for-Performance and Microloan. The Pay-for-Performance subprogram</w:t>
      </w:r>
      <w:r w:rsidRPr="00577F0E">
        <w:rPr>
          <w:rFonts w:ascii="Times New Roman" w:hAnsi="Times New Roman" w:cs="Times New Roman"/>
          <w:iCs/>
        </w:rPr>
        <w:t xml:space="preserve"> is designed to empower building </w:t>
      </w:r>
      <w:r w:rsidR="00393002">
        <w:rPr>
          <w:rFonts w:ascii="Times New Roman" w:hAnsi="Times New Roman" w:cs="Times New Roman"/>
          <w:iCs/>
        </w:rPr>
        <w:t xml:space="preserve">and business </w:t>
      </w:r>
      <w:r w:rsidRPr="00577F0E">
        <w:rPr>
          <w:rFonts w:ascii="Times New Roman" w:hAnsi="Times New Roman" w:cs="Times New Roman"/>
          <w:iCs/>
        </w:rPr>
        <w:t>owners to take a holistic and longer-term approach in incorporating energy efficiency</w:t>
      </w:r>
      <w:r w:rsidR="00393002">
        <w:rPr>
          <w:rFonts w:ascii="Times New Roman" w:hAnsi="Times New Roman" w:cs="Times New Roman"/>
          <w:iCs/>
        </w:rPr>
        <w:t xml:space="preserve">. </w:t>
      </w:r>
      <w:r w:rsidRPr="00577F0E">
        <w:rPr>
          <w:rFonts w:ascii="Times New Roman" w:hAnsi="Times New Roman" w:cs="Times New Roman"/>
          <w:iCs/>
        </w:rPr>
        <w:t>Applicants will receive whole</w:t>
      </w:r>
      <w:r w:rsidR="00393002">
        <w:rPr>
          <w:rFonts w:ascii="Times New Roman" w:hAnsi="Times New Roman" w:cs="Times New Roman"/>
          <w:iCs/>
        </w:rPr>
        <w:t>-</w:t>
      </w:r>
      <w:r w:rsidRPr="00577F0E">
        <w:rPr>
          <w:rFonts w:ascii="Times New Roman" w:hAnsi="Times New Roman" w:cs="Times New Roman"/>
          <w:iCs/>
        </w:rPr>
        <w:t xml:space="preserve">building technical analysis, </w:t>
      </w:r>
      <w:r w:rsidR="002A0BD2">
        <w:rPr>
          <w:rFonts w:ascii="Times New Roman" w:hAnsi="Times New Roman" w:cs="Times New Roman"/>
          <w:iCs/>
        </w:rPr>
        <w:t xml:space="preserve">learn about </w:t>
      </w:r>
      <w:r w:rsidRPr="00577F0E">
        <w:rPr>
          <w:rFonts w:ascii="Times New Roman" w:hAnsi="Times New Roman" w:cs="Times New Roman"/>
          <w:iCs/>
        </w:rPr>
        <w:t xml:space="preserve">attractive financing options, and </w:t>
      </w:r>
      <w:r w:rsidR="002A0BD2">
        <w:rPr>
          <w:rFonts w:ascii="Times New Roman" w:hAnsi="Times New Roman" w:cs="Times New Roman"/>
          <w:iCs/>
        </w:rPr>
        <w:t xml:space="preserve">receive </w:t>
      </w:r>
      <w:r w:rsidRPr="00577F0E">
        <w:rPr>
          <w:rFonts w:ascii="Times New Roman" w:hAnsi="Times New Roman" w:cs="Times New Roman"/>
          <w:iCs/>
        </w:rPr>
        <w:t>ongoing project support from a network of qualified industry partners and trusted local government partnerships.</w:t>
      </w:r>
      <w:r w:rsidR="003D6C88">
        <w:rPr>
          <w:rFonts w:ascii="Times New Roman" w:hAnsi="Times New Roman" w:cs="Times New Roman"/>
          <w:iCs/>
        </w:rPr>
        <w:t xml:space="preserve"> The Microloan subprogram is designed to provide micro and small business owners with access to attractive, flexible, hassle-free financing to install energy efficiency upgrades.  </w:t>
      </w:r>
    </w:p>
    <w:p w14:paraId="36869310" w14:textId="3B995CB5" w:rsidR="00626F6D" w:rsidRPr="00577F0E" w:rsidRDefault="00626F6D" w:rsidP="00626F6D">
      <w:pPr>
        <w:jc w:val="both"/>
        <w:rPr>
          <w:rFonts w:ascii="Times New Roman" w:hAnsi="Times New Roman" w:cs="Times New Roman"/>
          <w:iCs/>
        </w:rPr>
      </w:pPr>
      <w:r w:rsidRPr="00577F0E">
        <w:rPr>
          <w:rFonts w:ascii="Times New Roman" w:hAnsi="Times New Roman" w:cs="Times New Roman"/>
          <w:iCs/>
        </w:rPr>
        <w:t>BayREN recognizes that whole-building retrofit projects can be complex and costly</w:t>
      </w:r>
      <w:r w:rsidR="003D6C88">
        <w:rPr>
          <w:rFonts w:ascii="Times New Roman" w:hAnsi="Times New Roman" w:cs="Times New Roman"/>
          <w:iCs/>
        </w:rPr>
        <w:t>.</w:t>
      </w:r>
      <w:r w:rsidRPr="00577F0E">
        <w:rPr>
          <w:rFonts w:ascii="Times New Roman" w:hAnsi="Times New Roman" w:cs="Times New Roman"/>
          <w:iCs/>
        </w:rPr>
        <w:t xml:space="preserve"> </w:t>
      </w:r>
      <w:r w:rsidR="003D6C88">
        <w:rPr>
          <w:rFonts w:ascii="Times New Roman" w:hAnsi="Times New Roman" w:cs="Times New Roman"/>
          <w:iCs/>
        </w:rPr>
        <w:t>BayREN also recognizes the need to transition from traditional (deemed and customer) to meter-based program</w:t>
      </w:r>
      <w:r w:rsidR="009D4787">
        <w:rPr>
          <w:rFonts w:ascii="Times New Roman" w:hAnsi="Times New Roman" w:cs="Times New Roman"/>
          <w:iCs/>
        </w:rPr>
        <w:t xml:space="preserve"> designs.</w:t>
      </w:r>
      <w:r w:rsidR="003D6C88">
        <w:rPr>
          <w:rFonts w:ascii="Times New Roman" w:hAnsi="Times New Roman" w:cs="Times New Roman"/>
          <w:iCs/>
        </w:rPr>
        <w:t xml:space="preserve"> As such, the Pay-for-Performance subprogram</w:t>
      </w:r>
      <w:r w:rsidRPr="00577F0E">
        <w:rPr>
          <w:rFonts w:ascii="Times New Roman" w:hAnsi="Times New Roman" w:cs="Times New Roman"/>
          <w:iCs/>
        </w:rPr>
        <w:t xml:space="preserve"> break</w:t>
      </w:r>
      <w:r w:rsidR="003D6C88">
        <w:rPr>
          <w:rFonts w:ascii="Times New Roman" w:hAnsi="Times New Roman" w:cs="Times New Roman"/>
          <w:iCs/>
        </w:rPr>
        <w:t>s</w:t>
      </w:r>
      <w:r w:rsidRPr="00577F0E">
        <w:rPr>
          <w:rFonts w:ascii="Times New Roman" w:hAnsi="Times New Roman" w:cs="Times New Roman"/>
          <w:iCs/>
        </w:rPr>
        <w:t xml:space="preserve"> down</w:t>
      </w:r>
      <w:r w:rsidR="003D6C88">
        <w:rPr>
          <w:rFonts w:ascii="Times New Roman" w:hAnsi="Times New Roman" w:cs="Times New Roman"/>
          <w:iCs/>
        </w:rPr>
        <w:t xml:space="preserve"> SMB</w:t>
      </w:r>
      <w:r w:rsidRPr="00577F0E">
        <w:rPr>
          <w:rFonts w:ascii="Times New Roman" w:hAnsi="Times New Roman" w:cs="Times New Roman"/>
          <w:iCs/>
        </w:rPr>
        <w:t xml:space="preserve"> market barriers</w:t>
      </w:r>
      <w:r w:rsidR="003D6C88">
        <w:rPr>
          <w:rFonts w:ascii="Times New Roman" w:hAnsi="Times New Roman" w:cs="Times New Roman"/>
          <w:iCs/>
        </w:rPr>
        <w:t xml:space="preserve"> and initiates the transition from traditional to meter-based programs.</w:t>
      </w:r>
    </w:p>
    <w:p w14:paraId="3C96FFDF" w14:textId="2D794F54" w:rsidR="003D6C88" w:rsidRPr="009D4787" w:rsidRDefault="003D6C88">
      <w:pPr>
        <w:numPr>
          <w:ilvl w:val="0"/>
          <w:numId w:val="3"/>
        </w:numPr>
        <w:spacing w:after="0" w:line="240" w:lineRule="auto"/>
        <w:jc w:val="both"/>
        <w:rPr>
          <w:rFonts w:ascii="Times New Roman" w:hAnsi="Times New Roman" w:cs="Times New Roman"/>
          <w:iCs/>
        </w:rPr>
      </w:pPr>
      <w:r>
        <w:rPr>
          <w:rFonts w:ascii="Times New Roman" w:hAnsi="Times New Roman" w:cs="Times New Roman"/>
          <w:iCs/>
        </w:rPr>
        <w:t xml:space="preserve">The Pay-for-Performance </w:t>
      </w:r>
      <w:r w:rsidR="009D4787">
        <w:rPr>
          <w:rFonts w:ascii="Times New Roman" w:hAnsi="Times New Roman" w:cs="Times New Roman"/>
          <w:iCs/>
        </w:rPr>
        <w:t>s</w:t>
      </w:r>
      <w:r>
        <w:rPr>
          <w:rFonts w:ascii="Times New Roman" w:hAnsi="Times New Roman" w:cs="Times New Roman"/>
          <w:iCs/>
        </w:rPr>
        <w:t xml:space="preserve">ubprogram takes a hybrid approach. </w:t>
      </w:r>
      <w:r w:rsidR="009D4787">
        <w:rPr>
          <w:rFonts w:ascii="Times New Roman" w:hAnsi="Times New Roman" w:cs="Times New Roman"/>
          <w:iCs/>
        </w:rPr>
        <w:t>First, it</w:t>
      </w:r>
      <w:r w:rsidRPr="00577F0E">
        <w:rPr>
          <w:rFonts w:ascii="Times New Roman" w:hAnsi="Times New Roman" w:cs="Times New Roman"/>
          <w:iCs/>
        </w:rPr>
        <w:t xml:space="preserve"> identif</w:t>
      </w:r>
      <w:r w:rsidR="009D4787">
        <w:rPr>
          <w:rFonts w:ascii="Times New Roman" w:hAnsi="Times New Roman" w:cs="Times New Roman"/>
          <w:iCs/>
        </w:rPr>
        <w:t>ies the</w:t>
      </w:r>
      <w:r w:rsidRPr="00577F0E">
        <w:rPr>
          <w:rFonts w:ascii="Times New Roman" w:hAnsi="Times New Roman" w:cs="Times New Roman"/>
          <w:iCs/>
        </w:rPr>
        <w:t xml:space="preserve"> “low-hanging fruit</w:t>
      </w:r>
      <w:r>
        <w:rPr>
          <w:rFonts w:ascii="Times New Roman" w:hAnsi="Times New Roman" w:cs="Times New Roman"/>
          <w:iCs/>
        </w:rPr>
        <w:t>s,</w:t>
      </w:r>
      <w:r w:rsidRPr="00577F0E">
        <w:rPr>
          <w:rFonts w:ascii="Times New Roman" w:hAnsi="Times New Roman" w:cs="Times New Roman"/>
          <w:iCs/>
        </w:rPr>
        <w:t>”</w:t>
      </w:r>
      <w:r>
        <w:rPr>
          <w:rFonts w:ascii="Times New Roman" w:hAnsi="Times New Roman" w:cs="Times New Roman"/>
          <w:iCs/>
        </w:rPr>
        <w:t xml:space="preserve"> such as deemed measures</w:t>
      </w:r>
      <w:r w:rsidRPr="00577F0E">
        <w:rPr>
          <w:rFonts w:ascii="Times New Roman" w:hAnsi="Times New Roman" w:cs="Times New Roman"/>
          <w:iCs/>
        </w:rPr>
        <w:t>. Next, it will identify custom measures, with a focus on HVAC</w:t>
      </w:r>
      <w:r>
        <w:rPr>
          <w:rFonts w:ascii="Times New Roman" w:hAnsi="Times New Roman" w:cs="Times New Roman"/>
          <w:iCs/>
        </w:rPr>
        <w:t xml:space="preserve">, refrigeration and equipment-control </w:t>
      </w:r>
      <w:r w:rsidRPr="00577F0E">
        <w:rPr>
          <w:rFonts w:ascii="Times New Roman" w:hAnsi="Times New Roman" w:cs="Times New Roman"/>
          <w:iCs/>
        </w:rPr>
        <w:t>improvements</w:t>
      </w:r>
      <w:r>
        <w:rPr>
          <w:rFonts w:ascii="Times New Roman" w:hAnsi="Times New Roman" w:cs="Times New Roman"/>
          <w:iCs/>
        </w:rPr>
        <w:t>.</w:t>
      </w:r>
      <w:r w:rsidRPr="009D4787">
        <w:rPr>
          <w:rFonts w:ascii="Times New Roman" w:hAnsi="Times New Roman" w:cs="Times New Roman"/>
          <w:iCs/>
        </w:rPr>
        <w:t xml:space="preserve"> </w:t>
      </w:r>
    </w:p>
    <w:p w14:paraId="68E86DFE" w14:textId="21E50D41" w:rsidR="003D6C88" w:rsidRDefault="003D6C88" w:rsidP="00626F6D">
      <w:pPr>
        <w:numPr>
          <w:ilvl w:val="0"/>
          <w:numId w:val="3"/>
        </w:numPr>
        <w:spacing w:after="0" w:line="240" w:lineRule="auto"/>
        <w:jc w:val="both"/>
        <w:rPr>
          <w:rFonts w:ascii="Times New Roman" w:hAnsi="Times New Roman" w:cs="Times New Roman"/>
          <w:iCs/>
        </w:rPr>
      </w:pPr>
      <w:r>
        <w:rPr>
          <w:rFonts w:ascii="Times New Roman" w:hAnsi="Times New Roman" w:cs="Times New Roman"/>
          <w:iCs/>
        </w:rPr>
        <w:t>50% of the eligible rebates will be paid after installation completion; the balance will be paid over 24 months. The amounts paid are dependent on third-party verified savings from the utility meters.</w:t>
      </w:r>
    </w:p>
    <w:p w14:paraId="6B3A3D61" w14:textId="3AAE96C4" w:rsidR="009D4787" w:rsidRDefault="009D4787" w:rsidP="00626F6D">
      <w:pPr>
        <w:numPr>
          <w:ilvl w:val="0"/>
          <w:numId w:val="3"/>
        </w:numPr>
        <w:spacing w:after="0" w:line="240" w:lineRule="auto"/>
        <w:jc w:val="both"/>
        <w:rPr>
          <w:rFonts w:ascii="Times New Roman" w:hAnsi="Times New Roman" w:cs="Times New Roman"/>
          <w:iCs/>
        </w:rPr>
      </w:pPr>
      <w:r>
        <w:rPr>
          <w:rFonts w:ascii="Times New Roman" w:hAnsi="Times New Roman" w:cs="Times New Roman"/>
          <w:iCs/>
        </w:rPr>
        <w:t>All available financing options will be explored.</w:t>
      </w:r>
    </w:p>
    <w:p w14:paraId="63C4939E" w14:textId="59887383" w:rsidR="00626F6D" w:rsidRPr="00577F0E" w:rsidRDefault="00626F6D" w:rsidP="00626F6D">
      <w:pPr>
        <w:numPr>
          <w:ilvl w:val="0"/>
          <w:numId w:val="3"/>
        </w:numPr>
        <w:spacing w:after="0" w:line="240" w:lineRule="auto"/>
        <w:jc w:val="both"/>
        <w:rPr>
          <w:rFonts w:ascii="Times New Roman" w:hAnsi="Times New Roman" w:cs="Times New Roman"/>
          <w:iCs/>
        </w:rPr>
      </w:pPr>
      <w:r w:rsidRPr="00577F0E">
        <w:rPr>
          <w:rFonts w:ascii="Times New Roman" w:hAnsi="Times New Roman" w:cs="Times New Roman"/>
          <w:iCs/>
        </w:rPr>
        <w:t>Each project will be resourced with a Building Performance Advisor</w:t>
      </w:r>
      <w:r w:rsidR="003D6C88">
        <w:rPr>
          <w:rFonts w:ascii="Times New Roman" w:hAnsi="Times New Roman" w:cs="Times New Roman"/>
          <w:iCs/>
        </w:rPr>
        <w:t>: a program implementer</w:t>
      </w:r>
      <w:r w:rsidRPr="00577F0E">
        <w:rPr>
          <w:rFonts w:ascii="Times New Roman" w:hAnsi="Times New Roman" w:cs="Times New Roman"/>
          <w:iCs/>
        </w:rPr>
        <w:t xml:space="preserve"> who </w:t>
      </w:r>
      <w:r w:rsidR="003D6C88">
        <w:rPr>
          <w:rFonts w:ascii="Times New Roman" w:hAnsi="Times New Roman" w:cs="Times New Roman"/>
          <w:iCs/>
        </w:rPr>
        <w:t>o</w:t>
      </w:r>
      <w:r w:rsidRPr="00577F0E">
        <w:rPr>
          <w:rFonts w:ascii="Times New Roman" w:hAnsi="Times New Roman" w:cs="Times New Roman"/>
          <w:iCs/>
        </w:rPr>
        <w:t>ffer</w:t>
      </w:r>
      <w:r w:rsidR="003D6C88">
        <w:rPr>
          <w:rFonts w:ascii="Times New Roman" w:hAnsi="Times New Roman" w:cs="Times New Roman"/>
          <w:iCs/>
        </w:rPr>
        <w:t>s</w:t>
      </w:r>
      <w:r w:rsidRPr="00577F0E">
        <w:rPr>
          <w:rFonts w:ascii="Times New Roman" w:hAnsi="Times New Roman" w:cs="Times New Roman"/>
          <w:iCs/>
        </w:rPr>
        <w:t xml:space="preserve"> a range of advisory services to busy customers, their contractors, and service providers. </w:t>
      </w:r>
    </w:p>
    <w:p w14:paraId="0A00A0C5" w14:textId="5C5A4265" w:rsidR="00626F6D" w:rsidRPr="007730A0" w:rsidRDefault="003D6C88">
      <w:pPr>
        <w:numPr>
          <w:ilvl w:val="0"/>
          <w:numId w:val="3"/>
        </w:numPr>
        <w:spacing w:after="240" w:line="240" w:lineRule="auto"/>
        <w:jc w:val="both"/>
        <w:rPr>
          <w:rFonts w:ascii="Times New Roman" w:hAnsi="Times New Roman" w:cs="Times New Roman"/>
          <w:iCs/>
        </w:rPr>
      </w:pPr>
      <w:r>
        <w:rPr>
          <w:rFonts w:ascii="Times New Roman" w:hAnsi="Times New Roman" w:cs="Times New Roman"/>
          <w:iCs/>
        </w:rPr>
        <w:t>The subprogram</w:t>
      </w:r>
      <w:r w:rsidR="007730A0">
        <w:rPr>
          <w:rFonts w:ascii="Times New Roman" w:hAnsi="Times New Roman" w:cs="Times New Roman"/>
          <w:iCs/>
        </w:rPr>
        <w:t xml:space="preserve"> will</w:t>
      </w:r>
      <w:r>
        <w:rPr>
          <w:rFonts w:ascii="Times New Roman" w:hAnsi="Times New Roman" w:cs="Times New Roman"/>
          <w:iCs/>
        </w:rPr>
        <w:t xml:space="preserve"> </w:t>
      </w:r>
      <w:r w:rsidR="007730A0">
        <w:rPr>
          <w:rFonts w:ascii="Times New Roman" w:hAnsi="Times New Roman" w:cs="Times New Roman"/>
          <w:iCs/>
        </w:rPr>
        <w:t>contract and par</w:t>
      </w:r>
      <w:r w:rsidR="007730A0" w:rsidRPr="007730A0">
        <w:rPr>
          <w:rFonts w:ascii="Times New Roman" w:hAnsi="Times New Roman" w:cs="Times New Roman"/>
          <w:iCs/>
        </w:rPr>
        <w:t xml:space="preserve">tner with an energy service company (ESCO). Via </w:t>
      </w:r>
      <w:r w:rsidR="007730A0" w:rsidRPr="00204057">
        <w:rPr>
          <w:rFonts w:ascii="Times New Roman" w:hAnsi="Times New Roman" w:cs="Times New Roman"/>
          <w:iCs/>
        </w:rPr>
        <w:t xml:space="preserve">a </w:t>
      </w:r>
      <w:r w:rsidR="00626F6D" w:rsidRPr="00204057">
        <w:rPr>
          <w:rFonts w:ascii="Times New Roman" w:hAnsi="Times New Roman" w:cs="Times New Roman"/>
          <w:iCs/>
        </w:rPr>
        <w:t xml:space="preserve">competitive Request for </w:t>
      </w:r>
      <w:r w:rsidR="007730A0" w:rsidRPr="007730A0">
        <w:rPr>
          <w:rFonts w:ascii="Times New Roman" w:hAnsi="Times New Roman" w:cs="Times New Roman"/>
          <w:iCs/>
        </w:rPr>
        <w:t>Proposal, th</w:t>
      </w:r>
      <w:r w:rsidR="007730A0">
        <w:rPr>
          <w:rFonts w:ascii="Times New Roman" w:hAnsi="Times New Roman" w:cs="Times New Roman"/>
          <w:iCs/>
        </w:rPr>
        <w:t xml:space="preserve">is </w:t>
      </w:r>
      <w:r w:rsidR="007730A0" w:rsidRPr="007730A0">
        <w:rPr>
          <w:rFonts w:ascii="Times New Roman" w:hAnsi="Times New Roman" w:cs="Times New Roman"/>
          <w:iCs/>
        </w:rPr>
        <w:t>ESCO has</w:t>
      </w:r>
      <w:r w:rsidR="00626F6D" w:rsidRPr="007730A0">
        <w:rPr>
          <w:rFonts w:ascii="Times New Roman" w:hAnsi="Times New Roman" w:cs="Times New Roman"/>
          <w:iCs/>
        </w:rPr>
        <w:t xml:space="preserve"> </w:t>
      </w:r>
      <w:r w:rsidR="007730A0" w:rsidRPr="007730A0">
        <w:rPr>
          <w:rFonts w:ascii="Times New Roman" w:hAnsi="Times New Roman" w:cs="Times New Roman"/>
          <w:iCs/>
        </w:rPr>
        <w:t>demonstrated the financial  capacity to</w:t>
      </w:r>
      <w:r w:rsidR="00626F6D" w:rsidRPr="007730A0">
        <w:rPr>
          <w:rFonts w:ascii="Times New Roman" w:hAnsi="Times New Roman" w:cs="Times New Roman"/>
          <w:iCs/>
        </w:rPr>
        <w:t xml:space="preserve"> absorb all of the project performance risk </w:t>
      </w:r>
      <w:r w:rsidR="007730A0" w:rsidRPr="007730A0">
        <w:rPr>
          <w:rFonts w:ascii="Times New Roman" w:hAnsi="Times New Roman" w:cs="Times New Roman"/>
          <w:iCs/>
        </w:rPr>
        <w:t>a</w:t>
      </w:r>
      <w:r w:rsidR="007730A0">
        <w:rPr>
          <w:rFonts w:ascii="Times New Roman" w:hAnsi="Times New Roman" w:cs="Times New Roman"/>
          <w:iCs/>
        </w:rPr>
        <w:t>s well as</w:t>
      </w:r>
      <w:r w:rsidR="007730A0" w:rsidRPr="007730A0">
        <w:rPr>
          <w:rFonts w:ascii="Times New Roman" w:hAnsi="Times New Roman" w:cs="Times New Roman"/>
          <w:iCs/>
        </w:rPr>
        <w:t xml:space="preserve"> experience </w:t>
      </w:r>
      <w:r w:rsidR="007730A0">
        <w:rPr>
          <w:rFonts w:ascii="Times New Roman" w:hAnsi="Times New Roman" w:cs="Times New Roman"/>
          <w:iCs/>
        </w:rPr>
        <w:t>with working pay-for-performance, meter-based programs.</w:t>
      </w:r>
      <w:r w:rsidR="007730A0" w:rsidRPr="007730A0">
        <w:rPr>
          <w:rFonts w:ascii="Times New Roman" w:hAnsi="Times New Roman" w:cs="Times New Roman"/>
          <w:iCs/>
        </w:rPr>
        <w:t xml:space="preserve"> </w:t>
      </w:r>
      <w:r w:rsidR="00626F6D" w:rsidRPr="007730A0">
        <w:rPr>
          <w:rFonts w:ascii="Times New Roman" w:hAnsi="Times New Roman" w:cs="Times New Roman"/>
          <w:iCs/>
        </w:rPr>
        <w:t xml:space="preserve"> </w:t>
      </w:r>
    </w:p>
    <w:p w14:paraId="5524615C" w14:textId="78AB8018" w:rsidR="00626F6D" w:rsidRPr="00577F0E" w:rsidRDefault="007730A0" w:rsidP="00626F6D">
      <w:pPr>
        <w:jc w:val="both"/>
        <w:rPr>
          <w:rFonts w:ascii="Times New Roman" w:hAnsi="Times New Roman" w:cs="Times New Roman"/>
        </w:rPr>
      </w:pPr>
      <w:r>
        <w:rPr>
          <w:rFonts w:ascii="Times New Roman" w:hAnsi="Times New Roman" w:cs="Times New Roman"/>
        </w:rPr>
        <w:t>The Pay-for-Performance subprogram will leverage financing</w:t>
      </w:r>
      <w:r w:rsidR="00CF4559">
        <w:rPr>
          <w:rFonts w:ascii="Times New Roman" w:hAnsi="Times New Roman" w:cs="Times New Roman"/>
        </w:rPr>
        <w:t xml:space="preserve"> with</w:t>
      </w:r>
      <w:r w:rsidR="009D4787">
        <w:rPr>
          <w:rFonts w:ascii="Times New Roman" w:hAnsi="Times New Roman" w:cs="Times New Roman"/>
        </w:rPr>
        <w:t xml:space="preserve"> </w:t>
      </w:r>
      <w:r w:rsidR="00CF4559">
        <w:rPr>
          <w:rFonts w:ascii="Times New Roman" w:hAnsi="Times New Roman" w:cs="Times New Roman"/>
        </w:rPr>
        <w:t>incentives</w:t>
      </w:r>
      <w:r>
        <w:rPr>
          <w:rFonts w:ascii="Times New Roman" w:hAnsi="Times New Roman" w:cs="Times New Roman"/>
        </w:rPr>
        <w:t>. Again,</w:t>
      </w:r>
      <w:r w:rsidR="00CF4559">
        <w:rPr>
          <w:rFonts w:ascii="Times New Roman" w:hAnsi="Times New Roman" w:cs="Times New Roman"/>
        </w:rPr>
        <w:t xml:space="preserve"> </w:t>
      </w:r>
      <w:r w:rsidR="00626F6D" w:rsidRPr="00577F0E">
        <w:rPr>
          <w:rFonts w:ascii="Times New Roman" w:hAnsi="Times New Roman" w:cs="Times New Roman"/>
        </w:rPr>
        <w:t>50% of the</w:t>
      </w:r>
      <w:r w:rsidR="00CF4559">
        <w:rPr>
          <w:rFonts w:ascii="Times New Roman" w:hAnsi="Times New Roman" w:cs="Times New Roman"/>
        </w:rPr>
        <w:t xml:space="preserve"> eligible</w:t>
      </w:r>
      <w:r w:rsidR="00626F6D" w:rsidRPr="00577F0E">
        <w:rPr>
          <w:rFonts w:ascii="Times New Roman" w:hAnsi="Times New Roman" w:cs="Times New Roman"/>
        </w:rPr>
        <w:t xml:space="preserve"> incentive </w:t>
      </w:r>
      <w:r w:rsidR="00CF4559">
        <w:rPr>
          <w:rFonts w:ascii="Times New Roman" w:hAnsi="Times New Roman" w:cs="Times New Roman"/>
        </w:rPr>
        <w:t xml:space="preserve">is </w:t>
      </w:r>
      <w:r w:rsidR="00626F6D" w:rsidRPr="00577F0E">
        <w:rPr>
          <w:rFonts w:ascii="Times New Roman" w:hAnsi="Times New Roman" w:cs="Times New Roman"/>
        </w:rPr>
        <w:t>paid up front based o</w:t>
      </w:r>
      <w:r w:rsidR="00CF4559">
        <w:rPr>
          <w:rFonts w:ascii="Times New Roman" w:hAnsi="Times New Roman" w:cs="Times New Roman"/>
        </w:rPr>
        <w:t>n deemed, modeled and/or calculated</w:t>
      </w:r>
      <w:r w:rsidR="00626F6D" w:rsidRPr="00577F0E">
        <w:rPr>
          <w:rFonts w:ascii="Times New Roman" w:hAnsi="Times New Roman" w:cs="Times New Roman"/>
        </w:rPr>
        <w:t xml:space="preserve"> savings, and the remaining 50% tied to actual metered performance after </w:t>
      </w:r>
      <w:r w:rsidR="00CF4559">
        <w:rPr>
          <w:rFonts w:ascii="Times New Roman" w:hAnsi="Times New Roman" w:cs="Times New Roman"/>
        </w:rPr>
        <w:t>Y</w:t>
      </w:r>
      <w:r w:rsidR="00626F6D" w:rsidRPr="00577F0E">
        <w:rPr>
          <w:rFonts w:ascii="Times New Roman" w:hAnsi="Times New Roman" w:cs="Times New Roman"/>
        </w:rPr>
        <w:t>ear</w:t>
      </w:r>
      <w:r w:rsidR="00CF4559">
        <w:rPr>
          <w:rFonts w:ascii="Times New Roman" w:hAnsi="Times New Roman" w:cs="Times New Roman"/>
        </w:rPr>
        <w:t>s 1 and 2</w:t>
      </w:r>
      <w:r w:rsidR="00626F6D" w:rsidRPr="00577F0E">
        <w:rPr>
          <w:rFonts w:ascii="Times New Roman" w:hAnsi="Times New Roman" w:cs="Times New Roman"/>
        </w:rPr>
        <w:t xml:space="preserve">. </w:t>
      </w:r>
      <w:r w:rsidR="00CF4559">
        <w:rPr>
          <w:rFonts w:ascii="Times New Roman" w:hAnsi="Times New Roman" w:cs="Times New Roman"/>
        </w:rPr>
        <w:t>F</w:t>
      </w:r>
      <w:r w:rsidR="00626F6D" w:rsidRPr="00577F0E">
        <w:rPr>
          <w:rFonts w:ascii="Times New Roman" w:hAnsi="Times New Roman" w:cs="Times New Roman"/>
        </w:rPr>
        <w:t>inancing options</w:t>
      </w:r>
      <w:r w:rsidR="00CF4559">
        <w:rPr>
          <w:rFonts w:ascii="Times New Roman" w:hAnsi="Times New Roman" w:cs="Times New Roman"/>
        </w:rPr>
        <w:t xml:space="preserve"> </w:t>
      </w:r>
      <w:r w:rsidR="00626F6D" w:rsidRPr="00577F0E">
        <w:rPr>
          <w:rFonts w:ascii="Times New Roman" w:hAnsi="Times New Roman" w:cs="Times New Roman"/>
        </w:rPr>
        <w:t xml:space="preserve">will be </w:t>
      </w:r>
      <w:r w:rsidR="009D4787">
        <w:rPr>
          <w:rFonts w:ascii="Times New Roman" w:hAnsi="Times New Roman" w:cs="Times New Roman"/>
        </w:rPr>
        <w:t>fully explored,</w:t>
      </w:r>
      <w:r w:rsidR="00626F6D" w:rsidRPr="00577F0E">
        <w:rPr>
          <w:rFonts w:ascii="Times New Roman" w:hAnsi="Times New Roman" w:cs="Times New Roman"/>
        </w:rPr>
        <w:t xml:space="preserve"> </w:t>
      </w:r>
      <w:r>
        <w:rPr>
          <w:rFonts w:ascii="Times New Roman" w:hAnsi="Times New Roman" w:cs="Times New Roman"/>
        </w:rPr>
        <w:t>including PG&amp;E’s On-</w:t>
      </w:r>
      <w:r w:rsidR="009D4787">
        <w:rPr>
          <w:rFonts w:ascii="Times New Roman" w:hAnsi="Times New Roman" w:cs="Times New Roman"/>
        </w:rPr>
        <w:t>B</w:t>
      </w:r>
      <w:r>
        <w:rPr>
          <w:rFonts w:ascii="Times New Roman" w:hAnsi="Times New Roman" w:cs="Times New Roman"/>
        </w:rPr>
        <w:t xml:space="preserve">ill Financing, </w:t>
      </w:r>
      <w:r w:rsidR="009D4787">
        <w:rPr>
          <w:rFonts w:ascii="Times New Roman" w:hAnsi="Times New Roman" w:cs="Times New Roman"/>
        </w:rPr>
        <w:t xml:space="preserve">the </w:t>
      </w:r>
      <w:r>
        <w:rPr>
          <w:rFonts w:ascii="Times New Roman" w:hAnsi="Times New Roman" w:cs="Times New Roman"/>
        </w:rPr>
        <w:t>ESCO’s private lending</w:t>
      </w:r>
      <w:r w:rsidR="009D4787">
        <w:rPr>
          <w:rFonts w:ascii="Times New Roman" w:hAnsi="Times New Roman" w:cs="Times New Roman"/>
        </w:rPr>
        <w:t xml:space="preserve"> services</w:t>
      </w:r>
      <w:r>
        <w:rPr>
          <w:rFonts w:ascii="Times New Roman" w:hAnsi="Times New Roman" w:cs="Times New Roman"/>
        </w:rPr>
        <w:t>, and</w:t>
      </w:r>
      <w:r w:rsidR="00626F6D" w:rsidRPr="00577F0E">
        <w:rPr>
          <w:rFonts w:ascii="Times New Roman" w:hAnsi="Times New Roman" w:cs="Times New Roman"/>
        </w:rPr>
        <w:t xml:space="preserve"> the </w:t>
      </w:r>
      <w:r>
        <w:rPr>
          <w:rFonts w:ascii="Times New Roman" w:hAnsi="Times New Roman" w:cs="Times New Roman"/>
        </w:rPr>
        <w:t>BayREN</w:t>
      </w:r>
      <w:r w:rsidR="00626F6D" w:rsidRPr="00577F0E">
        <w:rPr>
          <w:rFonts w:ascii="Times New Roman" w:hAnsi="Times New Roman" w:cs="Times New Roman"/>
        </w:rPr>
        <w:t xml:space="preserve"> Microloan</w:t>
      </w:r>
      <w:r>
        <w:rPr>
          <w:rFonts w:ascii="Times New Roman" w:hAnsi="Times New Roman" w:cs="Times New Roman"/>
        </w:rPr>
        <w:t>.</w:t>
      </w:r>
    </w:p>
    <w:p w14:paraId="6FB7DE4F" w14:textId="4DF92018" w:rsidR="00626F6D" w:rsidRDefault="009D4787" w:rsidP="00626F6D">
      <w:pPr>
        <w:jc w:val="both"/>
        <w:rPr>
          <w:rFonts w:ascii="Times New Roman" w:hAnsi="Times New Roman" w:cs="Times New Roman"/>
        </w:rPr>
      </w:pPr>
      <w:r>
        <w:rPr>
          <w:rFonts w:ascii="Times New Roman" w:hAnsi="Times New Roman" w:cs="Times New Roman"/>
        </w:rPr>
        <w:t>Another notable</w:t>
      </w:r>
      <w:r w:rsidR="00393002">
        <w:rPr>
          <w:rFonts w:ascii="Times New Roman" w:hAnsi="Times New Roman" w:cs="Times New Roman"/>
        </w:rPr>
        <w:t xml:space="preserve"> feature</w:t>
      </w:r>
      <w:r w:rsidR="00626F6D" w:rsidRPr="00577F0E">
        <w:rPr>
          <w:rFonts w:ascii="Times New Roman" w:hAnsi="Times New Roman" w:cs="Times New Roman"/>
        </w:rPr>
        <w:t xml:space="preserve"> of the </w:t>
      </w:r>
      <w:r w:rsidR="00CF4559">
        <w:rPr>
          <w:rFonts w:ascii="Times New Roman" w:hAnsi="Times New Roman" w:cs="Times New Roman"/>
        </w:rPr>
        <w:t xml:space="preserve">Pay-for-Performance </w:t>
      </w:r>
      <w:r w:rsidR="007730A0">
        <w:rPr>
          <w:rFonts w:ascii="Times New Roman" w:hAnsi="Times New Roman" w:cs="Times New Roman"/>
        </w:rPr>
        <w:t>s</w:t>
      </w:r>
      <w:r w:rsidR="00626F6D" w:rsidRPr="00577F0E">
        <w:rPr>
          <w:rFonts w:ascii="Times New Roman" w:hAnsi="Times New Roman" w:cs="Times New Roman"/>
        </w:rPr>
        <w:t xml:space="preserve">ubprogram is “program layering” via referrals to complimentary </w:t>
      </w:r>
      <w:r w:rsidR="006F140B">
        <w:rPr>
          <w:rFonts w:ascii="Times New Roman" w:hAnsi="Times New Roman" w:cs="Times New Roman"/>
        </w:rPr>
        <w:t xml:space="preserve">energy efficiency </w:t>
      </w:r>
      <w:r w:rsidR="00626F6D" w:rsidRPr="00577F0E">
        <w:rPr>
          <w:rFonts w:ascii="Times New Roman" w:hAnsi="Times New Roman" w:cs="Times New Roman"/>
        </w:rPr>
        <w:t>(e.g.</w:t>
      </w:r>
      <w:r w:rsidR="00393002">
        <w:rPr>
          <w:rFonts w:ascii="Times New Roman" w:hAnsi="Times New Roman" w:cs="Times New Roman"/>
        </w:rPr>
        <w:t xml:space="preserve"> </w:t>
      </w:r>
      <w:r>
        <w:rPr>
          <w:rFonts w:ascii="Times New Roman" w:hAnsi="Times New Roman" w:cs="Times New Roman"/>
        </w:rPr>
        <w:t xml:space="preserve">CCA programs and </w:t>
      </w:r>
      <w:r w:rsidR="00626F6D" w:rsidRPr="00577F0E">
        <w:rPr>
          <w:rFonts w:ascii="Times New Roman" w:hAnsi="Times New Roman" w:cs="Times New Roman"/>
        </w:rPr>
        <w:t>PG&amp;E</w:t>
      </w:r>
      <w:r w:rsidR="00393002">
        <w:rPr>
          <w:rFonts w:ascii="Times New Roman" w:hAnsi="Times New Roman" w:cs="Times New Roman"/>
        </w:rPr>
        <w:t>’s third-party programs and local government partnerships</w:t>
      </w:r>
      <w:r w:rsidR="00626F6D" w:rsidRPr="00577F0E">
        <w:rPr>
          <w:rFonts w:ascii="Times New Roman" w:hAnsi="Times New Roman" w:cs="Times New Roman"/>
        </w:rPr>
        <w:t xml:space="preserve">) to harvest deeper energy savings. Program layering </w:t>
      </w:r>
      <w:r w:rsidR="006F140B">
        <w:rPr>
          <w:rFonts w:ascii="Times New Roman" w:hAnsi="Times New Roman" w:cs="Times New Roman"/>
        </w:rPr>
        <w:t>serves not only to amplify the s</w:t>
      </w:r>
      <w:r w:rsidR="00626F6D" w:rsidRPr="00577F0E">
        <w:rPr>
          <w:rFonts w:ascii="Times New Roman" w:hAnsi="Times New Roman" w:cs="Times New Roman"/>
        </w:rPr>
        <w:t xml:space="preserve">ubprogram’s ability to develop comprehensive projects with a small budget, but also helps other utility programs achieve the 5% small commercial penetration target </w:t>
      </w:r>
      <w:r w:rsidR="006F140B">
        <w:rPr>
          <w:rFonts w:ascii="Times New Roman" w:hAnsi="Times New Roman" w:cs="Times New Roman"/>
        </w:rPr>
        <w:t xml:space="preserve">directive from </w:t>
      </w:r>
      <w:r w:rsidR="00626F6D" w:rsidRPr="00577F0E">
        <w:rPr>
          <w:rFonts w:ascii="Times New Roman" w:hAnsi="Times New Roman" w:cs="Times New Roman"/>
        </w:rPr>
        <w:t>D.18-05-014.</w:t>
      </w:r>
    </w:p>
    <w:p w14:paraId="5D0052F4" w14:textId="56BFE77C" w:rsidR="00393002" w:rsidRDefault="00393002" w:rsidP="00626F6D">
      <w:pPr>
        <w:jc w:val="both"/>
        <w:rPr>
          <w:rFonts w:ascii="Times New Roman" w:hAnsi="Times New Roman" w:cs="Times New Roman"/>
        </w:rPr>
      </w:pPr>
      <w:r>
        <w:rPr>
          <w:rFonts w:ascii="Times New Roman" w:hAnsi="Times New Roman" w:cs="Times New Roman"/>
        </w:rPr>
        <w:t xml:space="preserve">The Microloan subprogram is available in all nine Bay Area Counties. BayREN is partnering with San Francisco lender, Mission Asset Fund (MAF), to market and implement the subprogram. The Microloan is a no-interest, small-dollar loan made to individual and businesses with the intent to purchase and install energy-efficient equipment. MAF will deploy a high-impact marketing strategy to the Bay Area’s SMB sector. MAF has also designed a fully automated intake system to reduce participant-acquisition costs and streamline the application process. </w:t>
      </w:r>
    </w:p>
    <w:p w14:paraId="05B12587" w14:textId="77777777" w:rsidR="00393002" w:rsidRDefault="00393002" w:rsidP="00626F6D">
      <w:pPr>
        <w:jc w:val="both"/>
        <w:rPr>
          <w:rFonts w:ascii="Times New Roman" w:hAnsi="Times New Roman" w:cs="Times New Roman"/>
        </w:rPr>
      </w:pPr>
    </w:p>
    <w:p w14:paraId="7BD87F5F" w14:textId="77777777" w:rsidR="00486F81" w:rsidRDefault="00486F81" w:rsidP="00486F81">
      <w:pPr>
        <w:rPr>
          <w:rFonts w:ascii="Times New Roman" w:hAnsi="Times New Roman" w:cs="Times New Roman"/>
          <w:u w:val="single"/>
        </w:rPr>
      </w:pPr>
      <w:r w:rsidRPr="00170264">
        <w:rPr>
          <w:rFonts w:ascii="Times New Roman" w:hAnsi="Times New Roman" w:cs="Times New Roman"/>
          <w:u w:val="single"/>
        </w:rPr>
        <w:lastRenderedPageBreak/>
        <w:t>WBSP</w:t>
      </w:r>
    </w:p>
    <w:p w14:paraId="3B9B5753" w14:textId="4E8AB612" w:rsidR="00486F81" w:rsidRPr="00671F69" w:rsidRDefault="00486F81" w:rsidP="00486F81">
      <w:pPr>
        <w:rPr>
          <w:rFonts w:ascii="Times New Roman" w:hAnsi="Times New Roman" w:cs="Times New Roman"/>
        </w:rPr>
      </w:pPr>
      <w:r w:rsidRPr="00671F69">
        <w:rPr>
          <w:rFonts w:ascii="Times New Roman" w:hAnsi="Times New Roman" w:cs="Times New Roman"/>
        </w:rPr>
        <w:t>The Water Bill Savings Program</w:t>
      </w:r>
      <w:r>
        <w:rPr>
          <w:rFonts w:ascii="Times New Roman" w:hAnsi="Times New Roman" w:cs="Times New Roman"/>
        </w:rPr>
        <w:t xml:space="preserve"> (WBSP) is a collaboration of BayREN</w:t>
      </w:r>
      <w:r w:rsidRPr="00671F69">
        <w:rPr>
          <w:rFonts w:ascii="Times New Roman" w:hAnsi="Times New Roman" w:cs="Times New Roman"/>
        </w:rPr>
        <w:t xml:space="preserve"> and Association of Bay Area Governments (ABAG) to help Bay Area residents and businesses upgrade their properties to be more water efficient using an on-bill financing offer thro</w:t>
      </w:r>
      <w:r>
        <w:rPr>
          <w:rFonts w:ascii="Times New Roman" w:hAnsi="Times New Roman" w:cs="Times New Roman"/>
        </w:rPr>
        <w:t xml:space="preserve">ugh their local water utility. </w:t>
      </w:r>
      <w:r w:rsidRPr="00671F69">
        <w:rPr>
          <w:rFonts w:ascii="Times New Roman" w:hAnsi="Times New Roman" w:cs="Times New Roman"/>
        </w:rPr>
        <w:t>This financing Program is based on the</w:t>
      </w:r>
      <w:r>
        <w:rPr>
          <w:rFonts w:ascii="Times New Roman" w:hAnsi="Times New Roman" w:cs="Times New Roman"/>
        </w:rPr>
        <w:t xml:space="preserve"> Pay-As-You Save® (PAYS®) model: </w:t>
      </w:r>
      <w:r w:rsidR="003E0EAB">
        <w:rPr>
          <w:rFonts w:ascii="Times New Roman" w:hAnsi="Times New Roman" w:cs="Times New Roman"/>
        </w:rPr>
        <w:t>Water u</w:t>
      </w:r>
      <w:r w:rsidRPr="00671F69">
        <w:rPr>
          <w:rFonts w:ascii="Times New Roman" w:hAnsi="Times New Roman" w:cs="Times New Roman"/>
        </w:rPr>
        <w:t>tility customers install eligible eff</w:t>
      </w:r>
      <w:r>
        <w:rPr>
          <w:rFonts w:ascii="Times New Roman" w:hAnsi="Times New Roman" w:cs="Times New Roman"/>
        </w:rPr>
        <w:t>iciency improvements with no up-</w:t>
      </w:r>
      <w:r w:rsidRPr="00671F69">
        <w:rPr>
          <w:rFonts w:ascii="Times New Roman" w:hAnsi="Times New Roman" w:cs="Times New Roman"/>
        </w:rPr>
        <w:t xml:space="preserve">front cost ― and repay project costs with a monthly on-bill surcharge that is significantly lower than the estimated savings. </w:t>
      </w:r>
      <w:r w:rsidR="003E0EAB">
        <w:rPr>
          <w:rFonts w:ascii="Times New Roman" w:hAnsi="Times New Roman" w:cs="Times New Roman"/>
        </w:rPr>
        <w:t>As indicated in BayREN’s Business Plan, g</w:t>
      </w:r>
      <w:r>
        <w:rPr>
          <w:rFonts w:ascii="Times New Roman" w:hAnsi="Times New Roman" w:cs="Times New Roman"/>
        </w:rPr>
        <w:t xml:space="preserve">eneral program design components address: </w:t>
      </w:r>
    </w:p>
    <w:p w14:paraId="5171CFB6" w14:textId="77777777" w:rsidR="00486F81" w:rsidRPr="00DE29B7" w:rsidRDefault="00486F81" w:rsidP="00486F81">
      <w:pPr>
        <w:pStyle w:val="ListParagraph"/>
        <w:numPr>
          <w:ilvl w:val="0"/>
          <w:numId w:val="5"/>
        </w:numPr>
        <w:spacing w:after="0" w:line="240" w:lineRule="auto"/>
        <w:rPr>
          <w:rFonts w:ascii="Times New Roman" w:hAnsi="Times New Roman" w:cs="Times New Roman"/>
        </w:rPr>
      </w:pPr>
      <w:r w:rsidRPr="003A3A0B">
        <w:rPr>
          <w:rFonts w:ascii="Times New Roman" w:hAnsi="Times New Roman" w:cs="Times New Roman"/>
          <w:u w:val="single"/>
        </w:rPr>
        <w:t>Eligible improvements for residential customers.</w:t>
      </w:r>
      <w:r w:rsidRPr="00DE29B7">
        <w:rPr>
          <w:rFonts w:ascii="Times New Roman" w:hAnsi="Times New Roman" w:cs="Times New Roman"/>
        </w:rPr>
        <w:t xml:space="preserve"> Indoor improvements include ultra-low-flow toilets, showerheads, and aerators. Outdoor improvements include drought tolerant landscaping, weather-based irrigation controllers, and irrigation system repairs. Energy-only measures may be permitted at water utility’s discretion.</w:t>
      </w:r>
    </w:p>
    <w:p w14:paraId="163A5AAD" w14:textId="77777777" w:rsidR="00486F81" w:rsidRPr="00DE29B7" w:rsidRDefault="00486F81" w:rsidP="00486F81">
      <w:pPr>
        <w:pStyle w:val="ListParagraph"/>
        <w:numPr>
          <w:ilvl w:val="0"/>
          <w:numId w:val="5"/>
        </w:numPr>
        <w:spacing w:after="0" w:line="240" w:lineRule="auto"/>
        <w:rPr>
          <w:rFonts w:ascii="Times New Roman" w:hAnsi="Times New Roman" w:cs="Times New Roman"/>
        </w:rPr>
      </w:pPr>
      <w:r w:rsidRPr="003A3A0B">
        <w:rPr>
          <w:rFonts w:ascii="Times New Roman" w:hAnsi="Times New Roman" w:cs="Times New Roman"/>
          <w:u w:val="single"/>
        </w:rPr>
        <w:t>Tariff structure.</w:t>
      </w:r>
      <w:r w:rsidRPr="00DE29B7">
        <w:rPr>
          <w:rFonts w:ascii="Times New Roman" w:hAnsi="Times New Roman" w:cs="Times New Roman"/>
        </w:rPr>
        <w:t xml:space="preserve"> The program’s project financing uses a voluntary surcharge established by the water utility using its regulatory authority for origination, contracting, servicing, and repayment. Participating water customers agree to pay the tariff surcharge assigned to their meter location; the utility can resolve non-payment through existing collection practices.</w:t>
      </w:r>
    </w:p>
    <w:p w14:paraId="57B5655B" w14:textId="3A0C2B11" w:rsidR="00486F81" w:rsidRPr="00170264" w:rsidRDefault="00486F81" w:rsidP="00486F81">
      <w:pPr>
        <w:pStyle w:val="ListParagraph"/>
        <w:numPr>
          <w:ilvl w:val="0"/>
          <w:numId w:val="5"/>
        </w:numPr>
        <w:spacing w:after="120" w:line="240" w:lineRule="auto"/>
        <w:rPr>
          <w:rFonts w:ascii="Times New Roman" w:hAnsi="Times New Roman" w:cs="Times New Roman"/>
        </w:rPr>
      </w:pPr>
      <w:r w:rsidRPr="003A3A0B">
        <w:rPr>
          <w:rFonts w:ascii="Times New Roman" w:hAnsi="Times New Roman" w:cs="Times New Roman"/>
          <w:u w:val="single"/>
        </w:rPr>
        <w:t>Utility portfolio.</w:t>
      </w:r>
      <w:r w:rsidRPr="00DE29B7">
        <w:rPr>
          <w:rFonts w:ascii="Times New Roman" w:hAnsi="Times New Roman" w:cs="Times New Roman"/>
        </w:rPr>
        <w:t xml:space="preserve"> The WBSP financing mechanism uses ABAG-secured capital to facilitate utility investment for public benefit, while leveraging </w:t>
      </w:r>
      <w:r w:rsidR="006F140B">
        <w:rPr>
          <w:rFonts w:ascii="Times New Roman" w:hAnsi="Times New Roman" w:cs="Times New Roman"/>
        </w:rPr>
        <w:t xml:space="preserve">water </w:t>
      </w:r>
      <w:r w:rsidRPr="00DE29B7">
        <w:rPr>
          <w:rFonts w:ascii="Times New Roman" w:hAnsi="Times New Roman" w:cs="Times New Roman"/>
        </w:rPr>
        <w:t>utility rate-setting authority to recover the investment. ABAG pays for services rendered to participating customers who join the utility’s portfolio of WBSP projects. The utility collects the tariff surcharge at participating meter locations to make full repayment of invested capital.</w:t>
      </w:r>
    </w:p>
    <w:p w14:paraId="64FE2AF9" w14:textId="77448320" w:rsidR="00486F81" w:rsidRDefault="00486F81" w:rsidP="00486F81">
      <w:pPr>
        <w:rPr>
          <w:rFonts w:ascii="Times New Roman" w:hAnsi="Times New Roman" w:cs="Times New Roman"/>
        </w:rPr>
      </w:pPr>
      <w:r>
        <w:rPr>
          <w:rFonts w:ascii="Times New Roman" w:hAnsi="Times New Roman" w:cs="Times New Roman"/>
        </w:rPr>
        <w:t>Since the WBSP Program was approved in 2013, BayREN has worked with three</w:t>
      </w:r>
      <w:r w:rsidR="00F97FD9">
        <w:rPr>
          <w:rFonts w:ascii="Times New Roman" w:hAnsi="Times New Roman" w:cs="Times New Roman"/>
        </w:rPr>
        <w:t xml:space="preserve"> water</w:t>
      </w:r>
      <w:r>
        <w:rPr>
          <w:rFonts w:ascii="Times New Roman" w:hAnsi="Times New Roman" w:cs="Times New Roman"/>
        </w:rPr>
        <w:t xml:space="preserve"> utility partners: Town of Windsor, City of Hayward, and East Bay Municipal Utility District. Starting in 2020, </w:t>
      </w:r>
      <w:r w:rsidRPr="00671F69">
        <w:rPr>
          <w:rFonts w:ascii="Times New Roman" w:hAnsi="Times New Roman" w:cs="Times New Roman"/>
        </w:rPr>
        <w:t xml:space="preserve">BayREN will operate the Program </w:t>
      </w:r>
      <w:r>
        <w:rPr>
          <w:rFonts w:ascii="Times New Roman" w:hAnsi="Times New Roman" w:cs="Times New Roman"/>
        </w:rPr>
        <w:t xml:space="preserve">regionally </w:t>
      </w:r>
      <w:r w:rsidRPr="00671F69">
        <w:rPr>
          <w:rFonts w:ascii="Times New Roman" w:hAnsi="Times New Roman" w:cs="Times New Roman"/>
        </w:rPr>
        <w:t xml:space="preserve">throughout the Bay Area providing turn-key program financing and administration services </w:t>
      </w:r>
      <w:r>
        <w:rPr>
          <w:rFonts w:ascii="Times New Roman" w:hAnsi="Times New Roman" w:cs="Times New Roman"/>
        </w:rPr>
        <w:t xml:space="preserve">under a single program framework </w:t>
      </w:r>
      <w:r w:rsidRPr="00671F69">
        <w:rPr>
          <w:rFonts w:ascii="Times New Roman" w:hAnsi="Times New Roman" w:cs="Times New Roman"/>
        </w:rPr>
        <w:t>to participating local governments and their water utilities. The Program currently serves multifamily and single family customers and will expand to small and medium commercial customers</w:t>
      </w:r>
      <w:r>
        <w:rPr>
          <w:rFonts w:ascii="Times New Roman" w:hAnsi="Times New Roman" w:cs="Times New Roman"/>
        </w:rPr>
        <w:t xml:space="preserve"> in 2020</w:t>
      </w:r>
      <w:r w:rsidRPr="00671F69">
        <w:rPr>
          <w:rFonts w:ascii="Times New Roman" w:hAnsi="Times New Roman" w:cs="Times New Roman"/>
        </w:rPr>
        <w:t>. The Program is set to begin enrolling water utilities in Q1 2020.</w:t>
      </w:r>
      <w:r>
        <w:rPr>
          <w:rFonts w:ascii="Times New Roman" w:hAnsi="Times New Roman" w:cs="Times New Roman"/>
        </w:rPr>
        <w:t xml:space="preserve"> </w:t>
      </w:r>
      <w:r w:rsidR="001B18EF">
        <w:rPr>
          <w:rFonts w:ascii="Times New Roman" w:hAnsi="Times New Roman" w:cs="Times New Roman"/>
        </w:rPr>
        <w:t xml:space="preserve">The slight increase in the budget request for </w:t>
      </w:r>
      <w:r>
        <w:rPr>
          <w:rFonts w:ascii="Times New Roman" w:hAnsi="Times New Roman" w:cs="Times New Roman"/>
        </w:rPr>
        <w:t xml:space="preserve">2020 </w:t>
      </w:r>
      <w:r w:rsidR="001B18EF">
        <w:rPr>
          <w:rFonts w:ascii="Times New Roman" w:hAnsi="Times New Roman" w:cs="Times New Roman"/>
        </w:rPr>
        <w:t xml:space="preserve">is to </w:t>
      </w:r>
      <w:r>
        <w:rPr>
          <w:rFonts w:ascii="Times New Roman" w:hAnsi="Times New Roman" w:cs="Times New Roman"/>
        </w:rPr>
        <w:t xml:space="preserve">support: </w:t>
      </w:r>
    </w:p>
    <w:p w14:paraId="05C38746" w14:textId="0B1EF294" w:rsidR="00486F81" w:rsidRPr="00DE29B7" w:rsidRDefault="00486F81" w:rsidP="00486F81">
      <w:pPr>
        <w:pStyle w:val="ListParagraph"/>
        <w:numPr>
          <w:ilvl w:val="0"/>
          <w:numId w:val="6"/>
        </w:numPr>
        <w:spacing w:after="0" w:line="240" w:lineRule="auto"/>
        <w:rPr>
          <w:rFonts w:ascii="Times New Roman" w:hAnsi="Times New Roman" w:cs="Times New Roman"/>
        </w:rPr>
      </w:pPr>
      <w:r w:rsidRPr="00DE29B7">
        <w:rPr>
          <w:rFonts w:ascii="Times New Roman" w:hAnsi="Times New Roman" w:cs="Times New Roman"/>
        </w:rPr>
        <w:t>Water utility enrollment in the regional Program</w:t>
      </w:r>
      <w:r w:rsidR="00F97FD9">
        <w:rPr>
          <w:rFonts w:ascii="Times New Roman" w:hAnsi="Times New Roman" w:cs="Times New Roman"/>
        </w:rPr>
        <w:t>:</w:t>
      </w:r>
      <w:r w:rsidRPr="00DE29B7">
        <w:rPr>
          <w:rFonts w:ascii="Times New Roman" w:hAnsi="Times New Roman" w:cs="Times New Roman"/>
        </w:rPr>
        <w:t xml:space="preserve"> BayREN is </w:t>
      </w:r>
      <w:r>
        <w:rPr>
          <w:rFonts w:ascii="Times New Roman" w:hAnsi="Times New Roman" w:cs="Times New Roman"/>
        </w:rPr>
        <w:t xml:space="preserve">initially </w:t>
      </w:r>
      <w:r w:rsidRPr="00DE29B7">
        <w:rPr>
          <w:rFonts w:ascii="Times New Roman" w:hAnsi="Times New Roman" w:cs="Times New Roman"/>
        </w:rPr>
        <w:t xml:space="preserve">targeting Windsor and Hayward as well as other well positioned water utilities to opt into the Program. </w:t>
      </w:r>
    </w:p>
    <w:p w14:paraId="392942BA" w14:textId="77777777" w:rsidR="00486F81" w:rsidRPr="00DE29B7" w:rsidRDefault="00486F81" w:rsidP="00486F81">
      <w:pPr>
        <w:pStyle w:val="ListParagraph"/>
        <w:numPr>
          <w:ilvl w:val="0"/>
          <w:numId w:val="6"/>
        </w:numPr>
        <w:spacing w:after="0" w:line="240" w:lineRule="auto"/>
        <w:rPr>
          <w:rFonts w:ascii="Times New Roman" w:hAnsi="Times New Roman" w:cs="Times New Roman"/>
        </w:rPr>
      </w:pPr>
      <w:r w:rsidRPr="00DE29B7">
        <w:rPr>
          <w:rFonts w:ascii="Times New Roman" w:hAnsi="Times New Roman" w:cs="Times New Roman"/>
        </w:rPr>
        <w:t>Design and deployment of a digital platform to support: Program administration including contractor communications; customer enrollment, customer relationship management (CRM), and</w:t>
      </w:r>
      <w:r>
        <w:rPr>
          <w:rFonts w:ascii="Times New Roman" w:hAnsi="Times New Roman" w:cs="Times New Roman"/>
        </w:rPr>
        <w:t> </w:t>
      </w:r>
      <w:r w:rsidRPr="00DE29B7">
        <w:rPr>
          <w:rFonts w:ascii="Times New Roman" w:hAnsi="Times New Roman" w:cs="Times New Roman"/>
        </w:rPr>
        <w:t xml:space="preserve">customer support; ABAG financing service tracking/payment/reporting, and; Program tracking/reporting. </w:t>
      </w:r>
    </w:p>
    <w:p w14:paraId="7EF1992E" w14:textId="350CFDA9" w:rsidR="00486F81" w:rsidRPr="00170264" w:rsidRDefault="00486F81" w:rsidP="00486F81">
      <w:pPr>
        <w:pStyle w:val="ListParagraph"/>
        <w:numPr>
          <w:ilvl w:val="0"/>
          <w:numId w:val="6"/>
        </w:numPr>
        <w:spacing w:after="0" w:line="240" w:lineRule="auto"/>
        <w:rPr>
          <w:rFonts w:ascii="Times New Roman" w:hAnsi="Times New Roman" w:cs="Times New Roman"/>
        </w:rPr>
      </w:pPr>
      <w:r w:rsidRPr="00DE29B7">
        <w:rPr>
          <w:rFonts w:ascii="Times New Roman" w:hAnsi="Times New Roman" w:cs="Times New Roman"/>
        </w:rPr>
        <w:t xml:space="preserve">Establishment of value-add program services, including: </w:t>
      </w:r>
      <w:r>
        <w:rPr>
          <w:rFonts w:ascii="Times New Roman" w:hAnsi="Times New Roman" w:cs="Times New Roman"/>
        </w:rPr>
        <w:t>A</w:t>
      </w:r>
      <w:r w:rsidRPr="00DE29B7">
        <w:rPr>
          <w:rFonts w:ascii="Times New Roman" w:hAnsi="Times New Roman" w:cs="Times New Roman"/>
        </w:rPr>
        <w:t xml:space="preserve"> bulk purchasing strategy to drive down program costs; geographically targeted marketing services, and the commercial expansion. </w:t>
      </w:r>
    </w:p>
    <w:p w14:paraId="72806681" w14:textId="77777777" w:rsidR="001B18EF" w:rsidRDefault="001B18EF" w:rsidP="00486F81">
      <w:pPr>
        <w:rPr>
          <w:rFonts w:ascii="Times New Roman" w:hAnsi="Times New Roman" w:cs="Times New Roman"/>
        </w:rPr>
      </w:pPr>
    </w:p>
    <w:p w14:paraId="158E8215" w14:textId="5E93F730" w:rsidR="00486F81" w:rsidRDefault="00486F81" w:rsidP="00486F81">
      <w:pPr>
        <w:rPr>
          <w:rFonts w:ascii="Times New Roman" w:hAnsi="Times New Roman" w:cs="Times New Roman"/>
        </w:rPr>
      </w:pPr>
      <w:r>
        <w:rPr>
          <w:rFonts w:ascii="Times New Roman" w:hAnsi="Times New Roman" w:cs="Times New Roman"/>
        </w:rPr>
        <w:t>Originally the program design called for the establishment of a joint powers authority (JPA) to provide the financing service; however, program partners later determined that ABAG was well positioned to fill that role. An action item to formally establish the ABAG financing service will be presented to the ABAG Executive Board in November 2019.</w:t>
      </w:r>
    </w:p>
    <w:p w14:paraId="6E451DAE" w14:textId="77777777" w:rsidR="00486F81" w:rsidRDefault="00486F81" w:rsidP="00486F81">
      <w:pPr>
        <w:rPr>
          <w:rFonts w:ascii="Times New Roman" w:hAnsi="Times New Roman" w:cs="Times New Roman"/>
          <w:u w:val="single"/>
        </w:rPr>
      </w:pPr>
      <w:r>
        <w:rPr>
          <w:rFonts w:ascii="Times New Roman" w:hAnsi="Times New Roman" w:cs="Times New Roman"/>
          <w:u w:val="single"/>
        </w:rPr>
        <w:t>Codes &amp; Standards</w:t>
      </w:r>
    </w:p>
    <w:p w14:paraId="6C909345" w14:textId="1598C08B" w:rsidR="00486F81" w:rsidRPr="00A87C25" w:rsidRDefault="00486F81" w:rsidP="00486F81">
      <w:pPr>
        <w:rPr>
          <w:rFonts w:ascii="Times New Roman" w:hAnsi="Times New Roman" w:cs="Times New Roman"/>
        </w:rPr>
      </w:pPr>
      <w:r w:rsidRPr="00A87C25">
        <w:rPr>
          <w:rFonts w:ascii="Times New Roman" w:hAnsi="Times New Roman" w:cs="Times New Roman"/>
        </w:rPr>
        <w:t xml:space="preserve">BayREN </w:t>
      </w:r>
      <w:r w:rsidR="001B18EF">
        <w:rPr>
          <w:rFonts w:ascii="Times New Roman" w:hAnsi="Times New Roman" w:cs="Times New Roman"/>
        </w:rPr>
        <w:t xml:space="preserve">will </w:t>
      </w:r>
      <w:r w:rsidRPr="00A87C25">
        <w:rPr>
          <w:rFonts w:ascii="Times New Roman" w:hAnsi="Times New Roman" w:cs="Times New Roman"/>
        </w:rPr>
        <w:t>continu</w:t>
      </w:r>
      <w:r w:rsidR="001B18EF">
        <w:rPr>
          <w:rFonts w:ascii="Times New Roman" w:hAnsi="Times New Roman" w:cs="Times New Roman"/>
        </w:rPr>
        <w:t>e</w:t>
      </w:r>
      <w:r w:rsidRPr="00A87C25">
        <w:rPr>
          <w:rFonts w:ascii="Times New Roman" w:hAnsi="Times New Roman" w:cs="Times New Roman"/>
        </w:rPr>
        <w:t xml:space="preserve"> its Codes offerings and expand them in a few areas:  trainings, reach code impacts and tracking, and improving permit closure rates.  </w:t>
      </w:r>
    </w:p>
    <w:p w14:paraId="016EB009" w14:textId="5258C9BF" w:rsidR="00486F81" w:rsidRPr="00A87C25" w:rsidRDefault="00486F81" w:rsidP="00486F81">
      <w:pPr>
        <w:rPr>
          <w:rFonts w:ascii="Times New Roman" w:hAnsi="Times New Roman" w:cs="Times New Roman"/>
        </w:rPr>
      </w:pPr>
      <w:r w:rsidRPr="00A87C25">
        <w:rPr>
          <w:rFonts w:ascii="Times New Roman" w:hAnsi="Times New Roman" w:cs="Times New Roman"/>
        </w:rPr>
        <w:lastRenderedPageBreak/>
        <w:t xml:space="preserve">Training will continue to be offered </w:t>
      </w:r>
      <w:r w:rsidR="00F97FD9">
        <w:rPr>
          <w:rFonts w:ascii="Times New Roman" w:hAnsi="Times New Roman" w:cs="Times New Roman"/>
        </w:rPr>
        <w:t>to</w:t>
      </w:r>
      <w:r w:rsidRPr="00A87C25">
        <w:rPr>
          <w:rFonts w:ascii="Times New Roman" w:hAnsi="Times New Roman" w:cs="Times New Roman"/>
        </w:rPr>
        <w:t xml:space="preserve"> local government staff, with BayREN offering reach code enforcement training for the first time.  In addition, we anticipate expanding a pilot program to provide training for contractors at local building department venues.  This will engage contractors, who are difficult to reach but also very important for improving code compliance.</w:t>
      </w:r>
      <w:r w:rsidR="001B18EF">
        <w:rPr>
          <w:rFonts w:ascii="Times New Roman" w:hAnsi="Times New Roman" w:cs="Times New Roman"/>
        </w:rPr>
        <w:t xml:space="preserve">  </w:t>
      </w:r>
      <w:r w:rsidR="00F97FD9">
        <w:rPr>
          <w:rFonts w:ascii="Times New Roman" w:hAnsi="Times New Roman" w:cs="Times New Roman"/>
        </w:rPr>
        <w:t xml:space="preserve">Having the trainings occur on site at the building departments is designed to make attendance easier for </w:t>
      </w:r>
      <w:r w:rsidR="00D60DE0">
        <w:rPr>
          <w:rFonts w:ascii="Times New Roman" w:hAnsi="Times New Roman" w:cs="Times New Roman"/>
        </w:rPr>
        <w:t>contractors</w:t>
      </w:r>
      <w:r w:rsidR="00F97FD9">
        <w:rPr>
          <w:rFonts w:ascii="Times New Roman" w:hAnsi="Times New Roman" w:cs="Times New Roman"/>
        </w:rPr>
        <w:t xml:space="preserve">.  </w:t>
      </w:r>
      <w:r w:rsidR="001B18EF">
        <w:rPr>
          <w:rFonts w:ascii="Times New Roman" w:hAnsi="Times New Roman" w:cs="Times New Roman"/>
        </w:rPr>
        <w:t>Outreach and trainings will be done jointly with the BayREN single family program.</w:t>
      </w:r>
    </w:p>
    <w:p w14:paraId="0E640763" w14:textId="313C506B" w:rsidR="00486F81" w:rsidRPr="00A87C25" w:rsidRDefault="00486F81" w:rsidP="00486F81">
      <w:pPr>
        <w:rPr>
          <w:rFonts w:ascii="Times New Roman" w:hAnsi="Times New Roman" w:cs="Times New Roman"/>
        </w:rPr>
      </w:pPr>
      <w:r w:rsidRPr="00A87C25">
        <w:rPr>
          <w:rFonts w:ascii="Times New Roman" w:hAnsi="Times New Roman" w:cs="Times New Roman"/>
        </w:rPr>
        <w:t>BayREN has been working over the past year to support and encourage local government reach code adoption.  Building on those efforts, BayREN has started examining reach code enforcement and is planning to expand that effort to look at estimated impacts of reach codes as well as ways to improve reach code compliance.</w:t>
      </w:r>
    </w:p>
    <w:p w14:paraId="2E7C2AB2" w14:textId="33E84B7F" w:rsidR="00486F81" w:rsidRPr="00A87C25" w:rsidRDefault="00486F81" w:rsidP="00486F81">
      <w:pPr>
        <w:rPr>
          <w:rFonts w:ascii="Times New Roman" w:hAnsi="Times New Roman" w:cs="Times New Roman"/>
        </w:rPr>
      </w:pPr>
      <w:r w:rsidRPr="00A87C25">
        <w:rPr>
          <w:rFonts w:ascii="Times New Roman" w:hAnsi="Times New Roman" w:cs="Times New Roman"/>
        </w:rPr>
        <w:t>A new effort that will be rolling out in 2020 will be focused on improving permit closure rates.  BayREN has research</w:t>
      </w:r>
      <w:r w:rsidR="00A802B7">
        <w:rPr>
          <w:rFonts w:ascii="Times New Roman" w:hAnsi="Times New Roman" w:cs="Times New Roman"/>
        </w:rPr>
        <w:t>ed</w:t>
      </w:r>
      <w:r w:rsidRPr="00A87C25">
        <w:rPr>
          <w:rFonts w:ascii="Times New Roman" w:hAnsi="Times New Roman" w:cs="Times New Roman"/>
        </w:rPr>
        <w:t xml:space="preserve"> this area and is now working to design the activities needed.  </w:t>
      </w:r>
    </w:p>
    <w:p w14:paraId="57111C45" w14:textId="3CD3D51F" w:rsidR="00486F81" w:rsidRDefault="00486F81" w:rsidP="000F6752">
      <w:pPr>
        <w:rPr>
          <w:rFonts w:ascii="Times New Roman" w:hAnsi="Times New Roman" w:cs="Times New Roman"/>
          <w:u w:val="single"/>
        </w:rPr>
      </w:pPr>
      <w:r>
        <w:rPr>
          <w:rFonts w:ascii="Times New Roman" w:hAnsi="Times New Roman" w:cs="Times New Roman"/>
          <w:u w:val="single"/>
        </w:rPr>
        <w:t>Green Labeling</w:t>
      </w:r>
    </w:p>
    <w:p w14:paraId="46767448" w14:textId="6434C6F3" w:rsidR="00A87C25" w:rsidRPr="00034691" w:rsidRDefault="0047791C" w:rsidP="00EF1501">
      <w:pPr>
        <w:rPr>
          <w:rFonts w:ascii="Times New Roman" w:hAnsi="Times New Roman" w:cs="Times New Roman"/>
          <w:u w:val="single"/>
        </w:rPr>
      </w:pPr>
      <w:r>
        <w:rPr>
          <w:rFonts w:ascii="Times New Roman" w:hAnsi="Times New Roman" w:cs="Times New Roman"/>
        </w:rPr>
        <w:t xml:space="preserve">Since program launch in 2018, the number of Home Energy Scores in the region has continued to increase.  To accommodate this uptake in interest and to ensure equitable distribution throughout the region, BayREN has placed a cap on the number of </w:t>
      </w:r>
      <w:r w:rsidR="00A802B7">
        <w:rPr>
          <w:rFonts w:ascii="Times New Roman" w:hAnsi="Times New Roman" w:cs="Times New Roman"/>
        </w:rPr>
        <w:t xml:space="preserve">Home Energy </w:t>
      </w:r>
      <w:r>
        <w:rPr>
          <w:rFonts w:ascii="Times New Roman" w:hAnsi="Times New Roman" w:cs="Times New Roman"/>
        </w:rPr>
        <w:t xml:space="preserve">Scores per county.  </w:t>
      </w:r>
      <w:r w:rsidRPr="002F01EB">
        <w:rPr>
          <w:rFonts w:ascii="Times New Roman" w:hAnsi="Times New Roman" w:cs="Times New Roman"/>
        </w:rPr>
        <w:t xml:space="preserve">We are questing </w:t>
      </w:r>
      <w:r w:rsidR="00810710" w:rsidRPr="002F01EB">
        <w:rPr>
          <w:rFonts w:ascii="Times New Roman" w:hAnsi="Times New Roman" w:cs="Times New Roman"/>
        </w:rPr>
        <w:t>a slight increase in the program budget (</w:t>
      </w:r>
      <w:r w:rsidRPr="002F01EB">
        <w:rPr>
          <w:rFonts w:ascii="Times New Roman" w:hAnsi="Times New Roman" w:cs="Times New Roman"/>
        </w:rPr>
        <w:t>$140,000</w:t>
      </w:r>
      <w:r w:rsidR="00810710" w:rsidRPr="002F01EB">
        <w:rPr>
          <w:rFonts w:ascii="Times New Roman" w:hAnsi="Times New Roman" w:cs="Times New Roman"/>
        </w:rPr>
        <w:t>) to continue to support city and county data requests for Climate Action Planning; updating the program forms and databases</w:t>
      </w:r>
      <w:r w:rsidR="00A802B7">
        <w:rPr>
          <w:rFonts w:ascii="Times New Roman" w:hAnsi="Times New Roman" w:cs="Times New Roman"/>
        </w:rPr>
        <w:t xml:space="preserve">; and, </w:t>
      </w:r>
      <w:r w:rsidR="00810710" w:rsidRPr="002F01EB">
        <w:rPr>
          <w:rFonts w:ascii="Times New Roman" w:hAnsi="Times New Roman" w:cs="Times New Roman"/>
        </w:rPr>
        <w:t xml:space="preserve">increase support for </w:t>
      </w:r>
      <w:r w:rsidR="00501C06">
        <w:rPr>
          <w:rFonts w:ascii="Times New Roman" w:hAnsi="Times New Roman" w:cs="Times New Roman"/>
        </w:rPr>
        <w:t>A</w:t>
      </w:r>
      <w:r w:rsidRPr="002F01EB">
        <w:rPr>
          <w:rFonts w:ascii="Times New Roman" w:hAnsi="Times New Roman" w:cs="Times New Roman"/>
        </w:rPr>
        <w:t>ssessors</w:t>
      </w:r>
      <w:r w:rsidR="009D6271">
        <w:rPr>
          <w:rFonts w:ascii="Times New Roman" w:hAnsi="Times New Roman" w:cs="Times New Roman"/>
        </w:rPr>
        <w:t xml:space="preserve">, </w:t>
      </w:r>
      <w:r w:rsidRPr="002F01EB">
        <w:rPr>
          <w:rFonts w:ascii="Times New Roman" w:hAnsi="Times New Roman" w:cs="Times New Roman"/>
        </w:rPr>
        <w:t>Raters</w:t>
      </w:r>
      <w:r w:rsidR="009D6271">
        <w:rPr>
          <w:rFonts w:ascii="Times New Roman" w:hAnsi="Times New Roman" w:cs="Times New Roman"/>
        </w:rPr>
        <w:t xml:space="preserve"> and </w:t>
      </w:r>
      <w:r w:rsidRPr="002F01EB">
        <w:rPr>
          <w:rFonts w:ascii="Times New Roman" w:hAnsi="Times New Roman" w:cs="Times New Roman"/>
        </w:rPr>
        <w:t xml:space="preserve">Contractors. </w:t>
      </w:r>
    </w:p>
    <w:p w14:paraId="4957D99A" w14:textId="77777777" w:rsidR="00626F6D" w:rsidRPr="00D5528B" w:rsidRDefault="00626F6D" w:rsidP="00A87C25">
      <w:pPr>
        <w:pStyle w:val="ListParagraph"/>
        <w:numPr>
          <w:ilvl w:val="0"/>
          <w:numId w:val="1"/>
        </w:numPr>
        <w:spacing w:after="240" w:line="240" w:lineRule="auto"/>
        <w:rPr>
          <w:rFonts w:ascii="Times New Roman" w:hAnsi="Times New Roman" w:cs="Times New Roman"/>
          <w:b/>
        </w:rPr>
      </w:pPr>
      <w:r w:rsidRPr="00D5528B">
        <w:rPr>
          <w:rFonts w:ascii="Times New Roman" w:hAnsi="Times New Roman" w:cs="Times New Roman"/>
          <w:b/>
        </w:rPr>
        <w:t>Strategies for increased cost-effectiveness</w:t>
      </w:r>
    </w:p>
    <w:p w14:paraId="4A43D4EB" w14:textId="482A7FB5" w:rsidR="00626F6D" w:rsidRPr="00D5528B" w:rsidRDefault="00626F6D" w:rsidP="00626F6D">
      <w:pPr>
        <w:jc w:val="both"/>
        <w:rPr>
          <w:rFonts w:ascii="Times New Roman" w:hAnsi="Times New Roman" w:cs="Times New Roman"/>
        </w:rPr>
      </w:pPr>
      <w:r w:rsidRPr="00D5528B">
        <w:rPr>
          <w:rFonts w:ascii="Times New Roman" w:hAnsi="Times New Roman" w:cs="Times New Roman"/>
        </w:rPr>
        <w:t xml:space="preserve">Given BayREN’s directive to focus on filling gaps, piloting different or unique approaches that have the potential to scale and/or targeting hard-to-reach customers, we are not held to a particular cost-effectiveness threshold.  However, we do strive to be more cost-effective </w:t>
      </w:r>
      <w:r w:rsidR="00486F81">
        <w:rPr>
          <w:rFonts w:ascii="Times New Roman" w:hAnsi="Times New Roman" w:cs="Times New Roman"/>
        </w:rPr>
        <w:t>and the</w:t>
      </w:r>
      <w:r w:rsidRPr="00D5528B">
        <w:rPr>
          <w:rFonts w:ascii="Times New Roman" w:hAnsi="Times New Roman" w:cs="Times New Roman"/>
        </w:rPr>
        <w:t xml:space="preserve"> strategies </w:t>
      </w:r>
      <w:r w:rsidR="00486F81">
        <w:rPr>
          <w:rFonts w:ascii="Times New Roman" w:hAnsi="Times New Roman" w:cs="Times New Roman"/>
        </w:rPr>
        <w:t xml:space="preserve">employed in 2019 have increased the forecasted Portfolio level TRC </w:t>
      </w:r>
      <w:r w:rsidR="005F03C5">
        <w:rPr>
          <w:rFonts w:ascii="Times New Roman" w:hAnsi="Times New Roman" w:cs="Times New Roman"/>
        </w:rPr>
        <w:t>for</w:t>
      </w:r>
      <w:r w:rsidRPr="00D5528B">
        <w:rPr>
          <w:rFonts w:ascii="Times New Roman" w:hAnsi="Times New Roman" w:cs="Times New Roman"/>
        </w:rPr>
        <w:t xml:space="preserve"> 20</w:t>
      </w:r>
      <w:r w:rsidR="00560986">
        <w:rPr>
          <w:rFonts w:ascii="Times New Roman" w:hAnsi="Times New Roman" w:cs="Times New Roman"/>
        </w:rPr>
        <w:t>20</w:t>
      </w:r>
      <w:r w:rsidRPr="00D5528B">
        <w:rPr>
          <w:rFonts w:ascii="Times New Roman" w:hAnsi="Times New Roman" w:cs="Times New Roman"/>
        </w:rPr>
        <w:t xml:space="preserve"> </w:t>
      </w:r>
      <w:r w:rsidR="00486F81">
        <w:rPr>
          <w:rFonts w:ascii="Times New Roman" w:hAnsi="Times New Roman" w:cs="Times New Roman"/>
        </w:rPr>
        <w:t xml:space="preserve">and beyond. </w:t>
      </w:r>
      <w:r w:rsidRPr="00D5528B">
        <w:rPr>
          <w:rFonts w:ascii="Times New Roman" w:hAnsi="Times New Roman" w:cs="Times New Roman"/>
        </w:rPr>
        <w:t>BayREN has three resource programs.  Strategies for increasing the cost effectiveness of these programs in 20</w:t>
      </w:r>
      <w:r w:rsidR="00486F81">
        <w:rPr>
          <w:rFonts w:ascii="Times New Roman" w:hAnsi="Times New Roman" w:cs="Times New Roman"/>
        </w:rPr>
        <w:t>20</w:t>
      </w:r>
      <w:r w:rsidRPr="00D5528B">
        <w:rPr>
          <w:rFonts w:ascii="Times New Roman" w:hAnsi="Times New Roman" w:cs="Times New Roman"/>
        </w:rPr>
        <w:t xml:space="preserve"> are:</w:t>
      </w:r>
    </w:p>
    <w:p w14:paraId="274C0B65" w14:textId="77777777" w:rsidR="00626F6D" w:rsidRPr="00CC79E1" w:rsidRDefault="00626F6D" w:rsidP="00626F6D">
      <w:pPr>
        <w:pStyle w:val="ListParagraph"/>
        <w:numPr>
          <w:ilvl w:val="0"/>
          <w:numId w:val="4"/>
        </w:numPr>
        <w:spacing w:after="120" w:line="240" w:lineRule="auto"/>
        <w:ind w:left="1800"/>
        <w:rPr>
          <w:rFonts w:ascii="Times New Roman" w:hAnsi="Times New Roman" w:cs="Times New Roman"/>
        </w:rPr>
      </w:pPr>
      <w:r w:rsidRPr="00CC79E1">
        <w:rPr>
          <w:rFonts w:ascii="Times New Roman" w:hAnsi="Times New Roman" w:cs="Times New Roman"/>
        </w:rPr>
        <w:t>Single Family</w:t>
      </w:r>
    </w:p>
    <w:p w14:paraId="092FBF6A" w14:textId="33580988" w:rsidR="00F42D20" w:rsidRDefault="00F42D20" w:rsidP="00626F6D">
      <w:pPr>
        <w:jc w:val="both"/>
        <w:rPr>
          <w:rFonts w:ascii="Times New Roman" w:hAnsi="Times New Roman" w:cs="Times New Roman"/>
        </w:rPr>
      </w:pPr>
      <w:r>
        <w:rPr>
          <w:rFonts w:ascii="Times New Roman" w:hAnsi="Times New Roman" w:cs="Times New Roman"/>
        </w:rPr>
        <w:t>The new program offers deemed measures that have a range of cost-effectiveness. The most cost-effective measures are offered through the mail-in kits and the direct install Green House Call activity. In 2020, efforts will be focused on promoting these offer</w:t>
      </w:r>
      <w:r w:rsidR="005F03C5">
        <w:rPr>
          <w:rFonts w:ascii="Times New Roman" w:hAnsi="Times New Roman" w:cs="Times New Roman"/>
        </w:rPr>
        <w:t>ing</w:t>
      </w:r>
      <w:r>
        <w:rPr>
          <w:rFonts w:ascii="Times New Roman" w:hAnsi="Times New Roman" w:cs="Times New Roman"/>
        </w:rPr>
        <w:t>s while also marketing the most efficient home upgrade</w:t>
      </w:r>
      <w:r w:rsidR="005F03C5">
        <w:rPr>
          <w:rFonts w:ascii="Times New Roman" w:hAnsi="Times New Roman" w:cs="Times New Roman"/>
        </w:rPr>
        <w:t xml:space="preserve"> measures </w:t>
      </w:r>
      <w:r>
        <w:rPr>
          <w:rFonts w:ascii="Times New Roman" w:hAnsi="Times New Roman" w:cs="Times New Roman"/>
        </w:rPr>
        <w:t xml:space="preserve">s which include water heaters and smart thermostats.  </w:t>
      </w:r>
    </w:p>
    <w:p w14:paraId="3F6C2472" w14:textId="77777777" w:rsidR="00626F6D" w:rsidRPr="00CC79E1" w:rsidRDefault="00626F6D" w:rsidP="00626F6D">
      <w:pPr>
        <w:pStyle w:val="ListParagraph"/>
        <w:numPr>
          <w:ilvl w:val="0"/>
          <w:numId w:val="4"/>
        </w:numPr>
        <w:spacing w:after="120" w:line="240" w:lineRule="auto"/>
        <w:ind w:left="1800"/>
        <w:rPr>
          <w:rFonts w:ascii="Times New Roman" w:hAnsi="Times New Roman" w:cs="Times New Roman"/>
        </w:rPr>
      </w:pPr>
      <w:r>
        <w:rPr>
          <w:rFonts w:ascii="Times New Roman" w:hAnsi="Times New Roman" w:cs="Times New Roman"/>
        </w:rPr>
        <w:t>Multifamily</w:t>
      </w:r>
    </w:p>
    <w:p w14:paraId="64ECA648" w14:textId="71E736EA" w:rsidR="00486F81" w:rsidRDefault="00486F81" w:rsidP="00486F81">
      <w:pPr>
        <w:jc w:val="both"/>
        <w:rPr>
          <w:rFonts w:ascii="Times New Roman" w:hAnsi="Times New Roman" w:cs="Times New Roman"/>
        </w:rPr>
      </w:pPr>
      <w:r w:rsidRPr="00486F81">
        <w:rPr>
          <w:rFonts w:ascii="Times New Roman" w:hAnsi="Times New Roman" w:cs="Times New Roman"/>
        </w:rPr>
        <w:t xml:space="preserve">As detailed in the Business Plan, steps will be taken to continue streamlining the participation process, phasing out rebates over time and replacing them with scalable market drivers. This includes also introducing our simplified property assessment process and modeling tools to a broader set of users in the industry. These changes should collectively reduce the total cost of going through an energy upgrade.  We will leverage resources such as the CEC Local Government Challenge grant </w:t>
      </w:r>
      <w:r w:rsidR="00BA43EA">
        <w:rPr>
          <w:rFonts w:ascii="Times New Roman" w:hAnsi="Times New Roman" w:cs="Times New Roman"/>
        </w:rPr>
        <w:t xml:space="preserve">received by program lead agency StopWaste, </w:t>
      </w:r>
      <w:r w:rsidRPr="00486F81">
        <w:rPr>
          <w:rFonts w:ascii="Times New Roman" w:hAnsi="Times New Roman" w:cs="Times New Roman"/>
        </w:rPr>
        <w:t>and strong local government relationships to facilitate scaling. Our long-term strategy will be to communicate marketability and non-energy benefits to participants in order build market awareness around energy efficiency a</w:t>
      </w:r>
      <w:r w:rsidR="00BA43EA">
        <w:rPr>
          <w:rFonts w:ascii="Times New Roman" w:hAnsi="Times New Roman" w:cs="Times New Roman"/>
        </w:rPr>
        <w:t xml:space="preserve">s we </w:t>
      </w:r>
      <w:r w:rsidRPr="00486F81">
        <w:rPr>
          <w:rFonts w:ascii="Times New Roman" w:hAnsi="Times New Roman" w:cs="Times New Roman"/>
        </w:rPr>
        <w:t>prepare to transition away from rebates.</w:t>
      </w:r>
      <w:r w:rsidR="00BA43EA">
        <w:rPr>
          <w:rFonts w:ascii="Times New Roman" w:hAnsi="Times New Roman" w:cs="Times New Roman"/>
        </w:rPr>
        <w:t xml:space="preserve">  </w:t>
      </w:r>
      <w:r w:rsidRPr="00486F81">
        <w:rPr>
          <w:rFonts w:ascii="Times New Roman" w:hAnsi="Times New Roman" w:cs="Times New Roman"/>
        </w:rPr>
        <w:t>Additionally, ongoing coordination with other Bay Area Multifamily Program Administrators is designed to support the efficient use of ratepayer funds.</w:t>
      </w:r>
      <w:r>
        <w:rPr>
          <w:rFonts w:ascii="Times New Roman" w:hAnsi="Times New Roman" w:cs="Times New Roman"/>
        </w:rPr>
        <w:t xml:space="preserve"> </w:t>
      </w:r>
    </w:p>
    <w:p w14:paraId="65B417E8" w14:textId="77777777" w:rsidR="00626F6D" w:rsidRPr="00CC79E1" w:rsidRDefault="00626F6D" w:rsidP="00626F6D">
      <w:pPr>
        <w:pStyle w:val="xmsonormal"/>
        <w:numPr>
          <w:ilvl w:val="0"/>
          <w:numId w:val="4"/>
        </w:numPr>
        <w:spacing w:after="120"/>
        <w:ind w:left="1800"/>
        <w:rPr>
          <w:rFonts w:ascii="Times New Roman" w:hAnsi="Times New Roman" w:cs="Times New Roman"/>
        </w:rPr>
      </w:pPr>
      <w:r w:rsidRPr="00D5528B">
        <w:rPr>
          <w:rFonts w:ascii="Times New Roman" w:hAnsi="Times New Roman" w:cs="Times New Roman"/>
        </w:rPr>
        <w:lastRenderedPageBreak/>
        <w:t>Commercial</w:t>
      </w:r>
    </w:p>
    <w:p w14:paraId="490613DF" w14:textId="6BD9FB90" w:rsidR="00043D64" w:rsidRDefault="00174E40" w:rsidP="00626F6D">
      <w:pPr>
        <w:jc w:val="both"/>
        <w:rPr>
          <w:rFonts w:ascii="Times New Roman" w:hAnsi="Times New Roman" w:cs="Times New Roman"/>
        </w:rPr>
      </w:pPr>
      <w:r>
        <w:rPr>
          <w:rFonts w:ascii="Times New Roman" w:hAnsi="Times New Roman" w:cs="Times New Roman"/>
        </w:rPr>
        <w:t xml:space="preserve">The Commercial program was slower to launch in 2019 than had been anticipated.  However, the strategies for greater cost effectiveness in this program remain.  </w:t>
      </w:r>
      <w:r w:rsidR="001D6459">
        <w:rPr>
          <w:rFonts w:ascii="Times New Roman" w:hAnsi="Times New Roman" w:cs="Times New Roman"/>
        </w:rPr>
        <w:t>In the Pay-for-Performance subprogram, a</w:t>
      </w:r>
      <w:r w:rsidR="00626F6D" w:rsidRPr="00D5528B">
        <w:rPr>
          <w:rFonts w:ascii="Times New Roman" w:hAnsi="Times New Roman" w:cs="Times New Roman"/>
        </w:rPr>
        <w:t xml:space="preserve"> significant portion of</w:t>
      </w:r>
      <w:r w:rsidR="001D6459">
        <w:rPr>
          <w:rFonts w:ascii="Times New Roman" w:hAnsi="Times New Roman" w:cs="Times New Roman"/>
        </w:rPr>
        <w:t xml:space="preserve"> the</w:t>
      </w:r>
      <w:r w:rsidR="00626F6D" w:rsidRPr="00D5528B">
        <w:rPr>
          <w:rFonts w:ascii="Times New Roman" w:hAnsi="Times New Roman" w:cs="Times New Roman"/>
        </w:rPr>
        <w:t xml:space="preserve"> </w:t>
      </w:r>
      <w:r w:rsidR="001D6459">
        <w:rPr>
          <w:rFonts w:ascii="Times New Roman" w:hAnsi="Times New Roman" w:cs="Times New Roman"/>
        </w:rPr>
        <w:t>eligible</w:t>
      </w:r>
      <w:r w:rsidR="001D6459" w:rsidRPr="00D5528B">
        <w:rPr>
          <w:rFonts w:ascii="Times New Roman" w:hAnsi="Times New Roman" w:cs="Times New Roman"/>
        </w:rPr>
        <w:t xml:space="preserve"> </w:t>
      </w:r>
      <w:r w:rsidR="00626F6D" w:rsidRPr="00D5528B">
        <w:rPr>
          <w:rFonts w:ascii="Times New Roman" w:hAnsi="Times New Roman" w:cs="Times New Roman"/>
        </w:rPr>
        <w:t xml:space="preserve">incentives </w:t>
      </w:r>
      <w:r w:rsidR="001D6459">
        <w:rPr>
          <w:rFonts w:ascii="Times New Roman" w:hAnsi="Times New Roman" w:cs="Times New Roman"/>
        </w:rPr>
        <w:t xml:space="preserve">is </w:t>
      </w:r>
      <w:r w:rsidR="00626F6D" w:rsidRPr="00D5528B">
        <w:rPr>
          <w:rFonts w:ascii="Times New Roman" w:hAnsi="Times New Roman" w:cs="Times New Roman"/>
        </w:rPr>
        <w:t>tied to metered-verified savings.  This ensure</w:t>
      </w:r>
      <w:r w:rsidR="001D6459">
        <w:rPr>
          <w:rFonts w:ascii="Times New Roman" w:hAnsi="Times New Roman" w:cs="Times New Roman"/>
        </w:rPr>
        <w:t>s</w:t>
      </w:r>
      <w:r w:rsidR="00626F6D" w:rsidRPr="00D5528B">
        <w:rPr>
          <w:rFonts w:ascii="Times New Roman" w:hAnsi="Times New Roman" w:cs="Times New Roman"/>
        </w:rPr>
        <w:t xml:space="preserve"> that incentives are going towards </w:t>
      </w:r>
      <w:r w:rsidR="00224804">
        <w:rPr>
          <w:rFonts w:ascii="Times New Roman" w:hAnsi="Times New Roman" w:cs="Times New Roman"/>
        </w:rPr>
        <w:t xml:space="preserve">actual </w:t>
      </w:r>
      <w:r w:rsidR="00626F6D" w:rsidRPr="00D5528B">
        <w:rPr>
          <w:rFonts w:ascii="Times New Roman" w:hAnsi="Times New Roman" w:cs="Times New Roman"/>
        </w:rPr>
        <w:t>energy savings</w:t>
      </w:r>
      <w:r w:rsidR="001D6459">
        <w:rPr>
          <w:rFonts w:ascii="Times New Roman" w:hAnsi="Times New Roman" w:cs="Times New Roman"/>
        </w:rPr>
        <w:t xml:space="preserve"> and the savings are sustained.</w:t>
      </w:r>
      <w:r w:rsidR="00626F6D" w:rsidRPr="00D5528B">
        <w:rPr>
          <w:rFonts w:ascii="Times New Roman" w:hAnsi="Times New Roman" w:cs="Times New Roman"/>
        </w:rPr>
        <w:t xml:space="preserve"> As designed, many of the traditional implementation tasks</w:t>
      </w:r>
      <w:r w:rsidR="001D6459">
        <w:rPr>
          <w:rFonts w:ascii="Times New Roman" w:hAnsi="Times New Roman" w:cs="Times New Roman"/>
        </w:rPr>
        <w:t xml:space="preserve">, including customer-acquisition and project development, </w:t>
      </w:r>
      <w:r w:rsidR="00626F6D" w:rsidRPr="00D5528B">
        <w:rPr>
          <w:rFonts w:ascii="Times New Roman" w:hAnsi="Times New Roman" w:cs="Times New Roman"/>
        </w:rPr>
        <w:t xml:space="preserve">will be performed by </w:t>
      </w:r>
      <w:r w:rsidR="001D6459">
        <w:rPr>
          <w:rFonts w:ascii="Times New Roman" w:hAnsi="Times New Roman" w:cs="Times New Roman"/>
        </w:rPr>
        <w:t>the ESCO</w:t>
      </w:r>
      <w:r w:rsidR="00626F6D" w:rsidRPr="00D5528B">
        <w:rPr>
          <w:rFonts w:ascii="Times New Roman" w:hAnsi="Times New Roman" w:cs="Times New Roman"/>
        </w:rPr>
        <w:t xml:space="preserve"> thereby reducing implementation expenditures.</w:t>
      </w:r>
      <w:r w:rsidR="001D6459">
        <w:rPr>
          <w:rFonts w:ascii="Times New Roman" w:hAnsi="Times New Roman" w:cs="Times New Roman"/>
        </w:rPr>
        <w:t xml:space="preserve"> Financing and program-layering remain fundamental features of the Pay-for-Performance subprogram. As for the Microloan subprogram, many of the marketing and implementation functions will be digital and automated. To ensure equitable access, customers without access to the Internet will receive in-person assistance from BayREN.</w:t>
      </w:r>
    </w:p>
    <w:p w14:paraId="31D3CF85" w14:textId="77777777" w:rsidR="00043D64" w:rsidRDefault="00043D64">
      <w:pPr>
        <w:rPr>
          <w:rFonts w:ascii="Times New Roman" w:hAnsi="Times New Roman" w:cs="Times New Roman"/>
        </w:rPr>
      </w:pPr>
      <w:r>
        <w:rPr>
          <w:rFonts w:ascii="Times New Roman" w:hAnsi="Times New Roman" w:cs="Times New Roman"/>
        </w:rPr>
        <w:br w:type="page"/>
      </w:r>
    </w:p>
    <w:p w14:paraId="09351DC5" w14:textId="77777777" w:rsidR="00626F6D" w:rsidRPr="00CE21A5" w:rsidRDefault="00626F6D" w:rsidP="00EF1501">
      <w:pPr>
        <w:pStyle w:val="ListParagraph"/>
        <w:numPr>
          <w:ilvl w:val="0"/>
          <w:numId w:val="4"/>
        </w:numPr>
        <w:spacing w:line="240" w:lineRule="auto"/>
        <w:ind w:left="720"/>
        <w:rPr>
          <w:rFonts w:ascii="Times New Roman" w:hAnsi="Times New Roman" w:cs="Times New Roman"/>
          <w:b/>
        </w:rPr>
      </w:pPr>
      <w:bookmarkStart w:id="1" w:name="_Hlk14894300"/>
      <w:r w:rsidRPr="00CE21A5">
        <w:rPr>
          <w:rFonts w:ascii="Times New Roman" w:hAnsi="Times New Roman" w:cs="Times New Roman"/>
          <w:b/>
        </w:rPr>
        <w:lastRenderedPageBreak/>
        <w:t>Metrics</w:t>
      </w:r>
    </w:p>
    <w:p w14:paraId="4FE42998" w14:textId="57C14406" w:rsidR="00626F6D" w:rsidRDefault="00626F6D" w:rsidP="00626F6D">
      <w:pPr>
        <w:jc w:val="both"/>
        <w:rPr>
          <w:rFonts w:ascii="Times New Roman" w:hAnsi="Times New Roman" w:cs="Times New Roman"/>
        </w:rPr>
      </w:pPr>
      <w:r w:rsidRPr="00D5528B">
        <w:rPr>
          <w:rFonts w:ascii="Times New Roman" w:hAnsi="Times New Roman" w:cs="Times New Roman"/>
        </w:rPr>
        <w:t>Per D.18-05-041</w:t>
      </w:r>
      <w:r w:rsidR="00501C06">
        <w:rPr>
          <w:rFonts w:ascii="Times New Roman" w:hAnsi="Times New Roman" w:cs="Times New Roman"/>
        </w:rPr>
        <w:t xml:space="preserve"> Ordering Paragraph 10</w:t>
      </w:r>
      <w:r w:rsidRPr="00D5528B">
        <w:rPr>
          <w:rFonts w:ascii="Times New Roman" w:hAnsi="Times New Roman" w:cs="Times New Roman"/>
        </w:rPr>
        <w:t>, the metrics, targets and indicators for BayREN’s</w:t>
      </w:r>
      <w:r>
        <w:rPr>
          <w:rFonts w:ascii="Times New Roman" w:hAnsi="Times New Roman" w:cs="Times New Roman"/>
        </w:rPr>
        <w:t xml:space="preserve"> 2019</w:t>
      </w:r>
      <w:r w:rsidRPr="00D5528B">
        <w:rPr>
          <w:rFonts w:ascii="Times New Roman" w:hAnsi="Times New Roman" w:cs="Times New Roman"/>
        </w:rPr>
        <w:t xml:space="preserve"> portfolio, and for the specific programs, were filed on </w:t>
      </w:r>
      <w:r>
        <w:rPr>
          <w:rFonts w:ascii="Times New Roman" w:hAnsi="Times New Roman" w:cs="Times New Roman"/>
        </w:rPr>
        <w:t xml:space="preserve">May 1, 2019 along with </w:t>
      </w:r>
      <w:r w:rsidR="00501C06">
        <w:rPr>
          <w:rFonts w:ascii="Times New Roman" w:hAnsi="Times New Roman" w:cs="Times New Roman"/>
        </w:rPr>
        <w:t>BayREN’s</w:t>
      </w:r>
      <w:r>
        <w:rPr>
          <w:rFonts w:ascii="Times New Roman" w:hAnsi="Times New Roman" w:cs="Times New Roman"/>
        </w:rPr>
        <w:t xml:space="preserve"> </w:t>
      </w:r>
      <w:r w:rsidR="009A14C2">
        <w:rPr>
          <w:rFonts w:ascii="Times New Roman" w:hAnsi="Times New Roman" w:cs="Times New Roman"/>
        </w:rPr>
        <w:t xml:space="preserve">2019 </w:t>
      </w:r>
      <w:r>
        <w:rPr>
          <w:rFonts w:ascii="Times New Roman" w:hAnsi="Times New Roman" w:cs="Times New Roman"/>
        </w:rPr>
        <w:t>Annual Energy Efficiency Report.</w:t>
      </w:r>
      <w:r w:rsidR="00486F81">
        <w:rPr>
          <w:rFonts w:ascii="Times New Roman" w:hAnsi="Times New Roman" w:cs="Times New Roman"/>
        </w:rPr>
        <w:t xml:space="preserve"> 2020 Program Metrics will be filed on May 1, 2020 along with the Annual Report. </w:t>
      </w:r>
    </w:p>
    <w:p w14:paraId="7F1C80BC" w14:textId="77777777" w:rsidR="00626F6D" w:rsidRPr="00CE21A5" w:rsidRDefault="00626F6D" w:rsidP="00EF1501">
      <w:pPr>
        <w:pStyle w:val="ListParagraph"/>
        <w:numPr>
          <w:ilvl w:val="0"/>
          <w:numId w:val="4"/>
        </w:numPr>
        <w:spacing w:before="120" w:line="240" w:lineRule="auto"/>
        <w:ind w:left="720"/>
        <w:rPr>
          <w:rFonts w:ascii="Times New Roman" w:hAnsi="Times New Roman" w:cs="Times New Roman"/>
          <w:b/>
        </w:rPr>
      </w:pPr>
      <w:r w:rsidRPr="00CC79E1">
        <w:rPr>
          <w:rFonts w:ascii="Times New Roman" w:hAnsi="Times New Roman" w:cs="Times New Roman"/>
        </w:rPr>
        <w:t xml:space="preserve"> </w:t>
      </w:r>
      <w:r w:rsidRPr="00CE21A5">
        <w:rPr>
          <w:rFonts w:ascii="Times New Roman" w:hAnsi="Times New Roman" w:cs="Times New Roman"/>
          <w:b/>
        </w:rPr>
        <w:t>Program Implementation Plans/Implementation Plans</w:t>
      </w:r>
    </w:p>
    <w:bookmarkEnd w:id="1"/>
    <w:p w14:paraId="0383A84F" w14:textId="1D14E35B" w:rsidR="00626F6D" w:rsidRPr="00034691" w:rsidRDefault="00626F6D" w:rsidP="00626F6D">
      <w:pPr>
        <w:jc w:val="both"/>
        <w:rPr>
          <w:rFonts w:ascii="Times New Roman" w:hAnsi="Times New Roman" w:cs="Times New Roman"/>
        </w:rPr>
      </w:pPr>
      <w:r w:rsidRPr="00034691">
        <w:rPr>
          <w:rFonts w:ascii="Times New Roman" w:hAnsi="Times New Roman" w:cs="Times New Roman"/>
        </w:rPr>
        <w:t xml:space="preserve">BayREN has uploaded to CEDARS revised redlined and clean versions of the Program Implementation Plans (PIPs) for Codes and Standards, Commercial, Green Labeling, Multifamily, Single Family and Water Bill Savings Program.  The changes were minor and primarily reflect the </w:t>
      </w:r>
      <w:r w:rsidR="002C72F6">
        <w:rPr>
          <w:rFonts w:ascii="Times New Roman" w:hAnsi="Times New Roman" w:cs="Times New Roman"/>
        </w:rPr>
        <w:t xml:space="preserve">2020 program </w:t>
      </w:r>
      <w:r w:rsidRPr="00034691">
        <w:rPr>
          <w:rFonts w:ascii="Times New Roman" w:hAnsi="Times New Roman" w:cs="Times New Roman"/>
        </w:rPr>
        <w:t>budgets</w:t>
      </w:r>
      <w:r w:rsidR="002C72F6">
        <w:rPr>
          <w:rFonts w:ascii="Times New Roman" w:hAnsi="Times New Roman" w:cs="Times New Roman"/>
        </w:rPr>
        <w:t xml:space="preserve">. </w:t>
      </w:r>
    </w:p>
    <w:p w14:paraId="62AD335E" w14:textId="77777777" w:rsidR="00626F6D" w:rsidRPr="00D5528B" w:rsidRDefault="00626F6D" w:rsidP="00626F6D">
      <w:pPr>
        <w:pStyle w:val="Heading1"/>
        <w:rPr>
          <w:rFonts w:ascii="Times New Roman" w:hAnsi="Times New Roman" w:cs="Times New Roman"/>
          <w:b w:val="0"/>
          <w:color w:val="auto"/>
          <w:sz w:val="22"/>
          <w:szCs w:val="22"/>
        </w:rPr>
      </w:pPr>
      <w:r w:rsidRPr="00D5528B">
        <w:rPr>
          <w:rFonts w:ascii="Times New Roman" w:hAnsi="Times New Roman" w:cs="Times New Roman"/>
          <w:color w:val="auto"/>
          <w:sz w:val="22"/>
          <w:szCs w:val="22"/>
        </w:rPr>
        <w:t>Protest</w:t>
      </w:r>
    </w:p>
    <w:p w14:paraId="299878CA" w14:textId="65AE627A" w:rsidR="00626F6D" w:rsidRPr="00D5528B" w:rsidRDefault="00626F6D" w:rsidP="00626F6D">
      <w:pPr>
        <w:jc w:val="both"/>
        <w:rPr>
          <w:rFonts w:ascii="Times New Roman" w:hAnsi="Times New Roman" w:cs="Times New Roman"/>
        </w:rPr>
      </w:pPr>
      <w:r w:rsidRPr="00D5528B">
        <w:rPr>
          <w:rFonts w:ascii="Times New Roman" w:hAnsi="Times New Roman" w:cs="Times New Roman"/>
        </w:rPr>
        <w:t>Anyone may p</w:t>
      </w:r>
      <w:r w:rsidR="00CE21A5">
        <w:rPr>
          <w:rFonts w:ascii="Times New Roman" w:hAnsi="Times New Roman" w:cs="Times New Roman"/>
        </w:rPr>
        <w:t>rotest this Advice Letter. The P</w:t>
      </w:r>
      <w:r w:rsidRPr="00D5528B">
        <w:rPr>
          <w:rFonts w:ascii="Times New Roman" w:hAnsi="Times New Roman" w:cs="Times New Roman"/>
        </w:rPr>
        <w:t xml:space="preserve">rotest must state the grounds upon which it is based.  The </w:t>
      </w:r>
      <w:r w:rsidR="00CE21A5">
        <w:rPr>
          <w:rFonts w:ascii="Times New Roman" w:hAnsi="Times New Roman" w:cs="Times New Roman"/>
        </w:rPr>
        <w:t>P</w:t>
      </w:r>
      <w:r w:rsidRPr="00D5528B">
        <w:rPr>
          <w:rFonts w:ascii="Times New Roman" w:hAnsi="Times New Roman" w:cs="Times New Roman"/>
        </w:rPr>
        <w:t>rotest must be made in writing and received by the Commission within 20 days of the date this Advice Letter was filed with the Commission, or September 2</w:t>
      </w:r>
      <w:r w:rsidR="002E29D5">
        <w:rPr>
          <w:rFonts w:ascii="Times New Roman" w:hAnsi="Times New Roman" w:cs="Times New Roman"/>
        </w:rPr>
        <w:t>3</w:t>
      </w:r>
      <w:r w:rsidRPr="00D5528B">
        <w:rPr>
          <w:rFonts w:ascii="Times New Roman" w:hAnsi="Times New Roman" w:cs="Times New Roman"/>
        </w:rPr>
        <w:t>, 201</w:t>
      </w:r>
      <w:r w:rsidR="002E29D5">
        <w:rPr>
          <w:rFonts w:ascii="Times New Roman" w:hAnsi="Times New Roman" w:cs="Times New Roman"/>
        </w:rPr>
        <w:t>9</w:t>
      </w:r>
      <w:r w:rsidRPr="00D5528B">
        <w:rPr>
          <w:rFonts w:ascii="Times New Roman" w:hAnsi="Times New Roman" w:cs="Times New Roman"/>
        </w:rPr>
        <w:t>. There is no restriction on who may file a protest. The address for mailing or delivering a protest to the Commission is:</w:t>
      </w:r>
    </w:p>
    <w:p w14:paraId="595E967A" w14:textId="77777777" w:rsidR="00626F6D" w:rsidRPr="00D5528B" w:rsidRDefault="00626F6D" w:rsidP="00626F6D">
      <w:pPr>
        <w:contextualSpacing/>
        <w:rPr>
          <w:rFonts w:ascii="Times New Roman" w:hAnsi="Times New Roman" w:cs="Times New Roman"/>
        </w:rPr>
      </w:pPr>
      <w:r w:rsidRPr="00D5528B">
        <w:rPr>
          <w:rFonts w:ascii="Times New Roman" w:hAnsi="Times New Roman" w:cs="Times New Roman"/>
        </w:rPr>
        <w:t>Public Utilities Commission</w:t>
      </w:r>
    </w:p>
    <w:p w14:paraId="1CBFAFE6" w14:textId="77777777" w:rsidR="00626F6D" w:rsidRPr="00D5528B" w:rsidRDefault="00626F6D" w:rsidP="00626F6D">
      <w:pPr>
        <w:contextualSpacing/>
        <w:rPr>
          <w:rFonts w:ascii="Times New Roman" w:hAnsi="Times New Roman" w:cs="Times New Roman"/>
        </w:rPr>
      </w:pPr>
      <w:r w:rsidRPr="00D5528B">
        <w:rPr>
          <w:rFonts w:ascii="Times New Roman" w:hAnsi="Times New Roman" w:cs="Times New Roman"/>
        </w:rPr>
        <w:t>CPUC Energy Division</w:t>
      </w:r>
    </w:p>
    <w:p w14:paraId="00CBBB6A" w14:textId="77777777" w:rsidR="00626F6D" w:rsidRPr="00D5528B" w:rsidRDefault="00626F6D" w:rsidP="00626F6D">
      <w:pPr>
        <w:contextualSpacing/>
        <w:rPr>
          <w:rFonts w:ascii="Times New Roman" w:hAnsi="Times New Roman" w:cs="Times New Roman"/>
        </w:rPr>
      </w:pPr>
      <w:r w:rsidRPr="00D5528B">
        <w:rPr>
          <w:rFonts w:ascii="Times New Roman" w:hAnsi="Times New Roman" w:cs="Times New Roman"/>
        </w:rPr>
        <w:t>Attention: Tariff Unit</w:t>
      </w:r>
    </w:p>
    <w:p w14:paraId="22E16F1B" w14:textId="77777777" w:rsidR="00626F6D" w:rsidRPr="00D5528B" w:rsidRDefault="00626F6D" w:rsidP="00626F6D">
      <w:pPr>
        <w:contextualSpacing/>
        <w:rPr>
          <w:rFonts w:ascii="Times New Roman" w:hAnsi="Times New Roman" w:cs="Times New Roman"/>
        </w:rPr>
      </w:pPr>
      <w:r w:rsidRPr="00D5528B">
        <w:rPr>
          <w:rFonts w:ascii="Times New Roman" w:hAnsi="Times New Roman" w:cs="Times New Roman"/>
        </w:rPr>
        <w:t>505 Van Ness Avenue</w:t>
      </w:r>
    </w:p>
    <w:p w14:paraId="3D702EFC" w14:textId="77777777" w:rsidR="00626F6D" w:rsidRPr="00D5528B" w:rsidRDefault="00626F6D" w:rsidP="00626F6D">
      <w:pPr>
        <w:rPr>
          <w:rFonts w:ascii="Times New Roman" w:hAnsi="Times New Roman" w:cs="Times New Roman"/>
        </w:rPr>
      </w:pPr>
      <w:r w:rsidRPr="00D5528B">
        <w:rPr>
          <w:rFonts w:ascii="Times New Roman" w:hAnsi="Times New Roman" w:cs="Times New Roman"/>
        </w:rPr>
        <w:t>San Francisco, CA  94102</w:t>
      </w:r>
    </w:p>
    <w:p w14:paraId="13C7462A" w14:textId="77777777" w:rsidR="00626F6D" w:rsidRPr="00626F6D" w:rsidRDefault="00626F6D" w:rsidP="00626F6D">
      <w:pPr>
        <w:spacing w:after="240" w:line="240" w:lineRule="auto"/>
        <w:jc w:val="both"/>
        <w:rPr>
          <w:rFonts w:ascii="Times New Roman" w:eastAsia="Times New Roman" w:hAnsi="Times New Roman" w:cs="Times New Roman"/>
          <w:color w:val="222222"/>
        </w:rPr>
      </w:pPr>
      <w:r w:rsidRPr="00626F6D">
        <w:rPr>
          <w:rFonts w:ascii="Times New Roman" w:eastAsia="Times New Roman" w:hAnsi="Times New Roman" w:cs="Times New Roman"/>
          <w:color w:val="222222"/>
        </w:rPr>
        <w:t xml:space="preserve">Copies of the protest should also be sent via e-mail to the attention of the Energy Division at </w:t>
      </w:r>
      <w:hyperlink r:id="rId12" w:history="1">
        <w:r w:rsidRPr="00626F6D">
          <w:rPr>
            <w:rFonts w:ascii="Times New Roman" w:eastAsia="Times New Roman" w:hAnsi="Times New Roman" w:cs="Times New Roman"/>
            <w:u w:val="single"/>
          </w:rPr>
          <w:t>EDTariffUnit@cpuc.ca.gov</w:t>
        </w:r>
      </w:hyperlink>
      <w:r w:rsidRPr="00626F6D">
        <w:rPr>
          <w:rFonts w:ascii="Times New Roman" w:eastAsia="Times New Roman" w:hAnsi="Times New Roman" w:cs="Times New Roman"/>
          <w:color w:val="222222"/>
        </w:rPr>
        <w:t>. It is also requested that a copy of the protest be sent by email to address shown below on the same date it is mailed or delivered to the Commission.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626F6D" w:rsidRPr="003670F0" w14:paraId="5F1EE101" w14:textId="77777777" w:rsidTr="001C399C">
        <w:trPr>
          <w:trHeight w:val="2016"/>
          <w:jc w:val="center"/>
        </w:trPr>
        <w:tc>
          <w:tcPr>
            <w:tcW w:w="4788" w:type="dxa"/>
            <w:tcBorders>
              <w:top w:val="single" w:sz="4" w:space="0" w:color="auto"/>
              <w:left w:val="single" w:sz="4" w:space="0" w:color="auto"/>
              <w:bottom w:val="single" w:sz="4" w:space="0" w:color="auto"/>
              <w:right w:val="single" w:sz="4" w:space="0" w:color="auto"/>
            </w:tcBorders>
            <w:hideMark/>
          </w:tcPr>
          <w:p w14:paraId="5EDB7580" w14:textId="40BD7B16" w:rsidR="00626F6D" w:rsidRPr="00D5528B" w:rsidRDefault="002E29D5" w:rsidP="001C399C">
            <w:pPr>
              <w:contextualSpacing/>
              <w:rPr>
                <w:rFonts w:ascii="Times New Roman" w:hAnsi="Times New Roman" w:cs="Times New Roman"/>
              </w:rPr>
            </w:pPr>
            <w:r>
              <w:rPr>
                <w:rFonts w:ascii="Times New Roman" w:hAnsi="Times New Roman" w:cs="Times New Roman"/>
              </w:rPr>
              <w:t>Jennifer K. Berg</w:t>
            </w:r>
          </w:p>
          <w:p w14:paraId="24378AD7" w14:textId="77777777" w:rsidR="00626F6D" w:rsidRPr="00D5528B" w:rsidRDefault="00626F6D" w:rsidP="001C399C">
            <w:pPr>
              <w:contextualSpacing/>
              <w:rPr>
                <w:rFonts w:ascii="Times New Roman" w:hAnsi="Times New Roman" w:cs="Times New Roman"/>
              </w:rPr>
            </w:pPr>
            <w:r w:rsidRPr="00D5528B">
              <w:rPr>
                <w:rFonts w:ascii="Times New Roman" w:hAnsi="Times New Roman" w:cs="Times New Roman"/>
              </w:rPr>
              <w:t>Assistant Director - Energy Programs</w:t>
            </w:r>
          </w:p>
          <w:p w14:paraId="01D61DB2" w14:textId="77777777" w:rsidR="00626F6D" w:rsidRPr="00D5528B" w:rsidRDefault="00626F6D" w:rsidP="001C399C">
            <w:pPr>
              <w:contextualSpacing/>
              <w:rPr>
                <w:rFonts w:ascii="Times New Roman" w:hAnsi="Times New Roman" w:cs="Times New Roman"/>
              </w:rPr>
            </w:pPr>
            <w:r w:rsidRPr="00D5528B">
              <w:rPr>
                <w:rFonts w:ascii="Times New Roman" w:hAnsi="Times New Roman" w:cs="Times New Roman"/>
              </w:rPr>
              <w:t>Association of Bay Area Governments</w:t>
            </w:r>
          </w:p>
          <w:p w14:paraId="0E3DE300" w14:textId="77777777" w:rsidR="00626F6D" w:rsidRPr="00D5528B" w:rsidRDefault="00626F6D" w:rsidP="001C399C">
            <w:pPr>
              <w:contextualSpacing/>
              <w:rPr>
                <w:rFonts w:ascii="Times New Roman" w:hAnsi="Times New Roman" w:cs="Times New Roman"/>
              </w:rPr>
            </w:pPr>
            <w:r w:rsidRPr="00D5528B">
              <w:rPr>
                <w:rFonts w:ascii="Times New Roman" w:hAnsi="Times New Roman" w:cs="Times New Roman"/>
              </w:rPr>
              <w:t>375 Beale Street</w:t>
            </w:r>
          </w:p>
          <w:p w14:paraId="773A265B" w14:textId="77777777" w:rsidR="00626F6D" w:rsidRPr="00D5528B" w:rsidRDefault="00626F6D" w:rsidP="001C399C">
            <w:pPr>
              <w:contextualSpacing/>
              <w:rPr>
                <w:rFonts w:ascii="Times New Roman" w:hAnsi="Times New Roman" w:cs="Times New Roman"/>
              </w:rPr>
            </w:pPr>
            <w:r w:rsidRPr="00D5528B">
              <w:rPr>
                <w:rFonts w:ascii="Times New Roman" w:hAnsi="Times New Roman" w:cs="Times New Roman"/>
              </w:rPr>
              <w:t>7</w:t>
            </w:r>
            <w:r w:rsidRPr="00D5528B">
              <w:rPr>
                <w:rFonts w:ascii="Times New Roman" w:hAnsi="Times New Roman" w:cs="Times New Roman"/>
                <w:vertAlign w:val="superscript"/>
              </w:rPr>
              <w:t>th</w:t>
            </w:r>
            <w:r w:rsidRPr="00D5528B">
              <w:rPr>
                <w:rFonts w:ascii="Times New Roman" w:hAnsi="Times New Roman" w:cs="Times New Roman"/>
              </w:rPr>
              <w:t xml:space="preserve"> Floor</w:t>
            </w:r>
          </w:p>
          <w:p w14:paraId="0CDE5A1D" w14:textId="77777777" w:rsidR="00626F6D" w:rsidRPr="00D5528B" w:rsidRDefault="00626F6D" w:rsidP="001C399C">
            <w:pPr>
              <w:contextualSpacing/>
              <w:rPr>
                <w:rFonts w:ascii="Times New Roman" w:hAnsi="Times New Roman" w:cs="Times New Roman"/>
              </w:rPr>
            </w:pPr>
            <w:r w:rsidRPr="00D5528B">
              <w:rPr>
                <w:rFonts w:ascii="Times New Roman" w:hAnsi="Times New Roman" w:cs="Times New Roman"/>
              </w:rPr>
              <w:t>San Francisco, CA  94105</w:t>
            </w:r>
          </w:p>
          <w:p w14:paraId="4933B11F" w14:textId="2E6FD3DF" w:rsidR="00626F6D" w:rsidRPr="00D5528B" w:rsidRDefault="00626F6D" w:rsidP="002E29D5">
            <w:pPr>
              <w:rPr>
                <w:rFonts w:ascii="Times New Roman" w:hAnsi="Times New Roman" w:cs="Times New Roman"/>
              </w:rPr>
            </w:pPr>
            <w:r w:rsidRPr="00D5528B">
              <w:rPr>
                <w:rFonts w:ascii="Times New Roman" w:hAnsi="Times New Roman" w:cs="Times New Roman"/>
              </w:rPr>
              <w:t>J</w:t>
            </w:r>
            <w:r w:rsidR="002E29D5">
              <w:rPr>
                <w:rFonts w:ascii="Times New Roman" w:hAnsi="Times New Roman" w:cs="Times New Roman"/>
              </w:rPr>
              <w:t>Berg</w:t>
            </w:r>
            <w:r w:rsidRPr="00D5528B">
              <w:rPr>
                <w:rFonts w:ascii="Times New Roman" w:hAnsi="Times New Roman" w:cs="Times New Roman"/>
              </w:rPr>
              <w:t>@bayareametro.gov</w:t>
            </w:r>
          </w:p>
        </w:tc>
      </w:tr>
    </w:tbl>
    <w:p w14:paraId="3EAACF09" w14:textId="77777777" w:rsidR="00626F6D" w:rsidRPr="00F704C5" w:rsidRDefault="00626F6D" w:rsidP="00F704C5">
      <w:pPr>
        <w:ind w:firstLine="720"/>
        <w:rPr>
          <w:rFonts w:ascii="Times New Roman" w:hAnsi="Times New Roman" w:cs="Times New Roman"/>
          <w:b/>
        </w:rPr>
      </w:pPr>
    </w:p>
    <w:sectPr w:rsidR="00626F6D" w:rsidRPr="00F704C5" w:rsidSect="00043D64">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149DD" w14:textId="77777777" w:rsidR="00A922D3" w:rsidRDefault="00A922D3" w:rsidP="00727464">
      <w:pPr>
        <w:spacing w:after="0" w:line="240" w:lineRule="auto"/>
      </w:pPr>
      <w:r>
        <w:separator/>
      </w:r>
    </w:p>
  </w:endnote>
  <w:endnote w:type="continuationSeparator" w:id="0">
    <w:p w14:paraId="7CC7A6E2" w14:textId="77777777" w:rsidR="00A922D3" w:rsidRDefault="00A922D3" w:rsidP="00727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61138" w14:textId="672D47AF" w:rsidR="002458CA" w:rsidRPr="002458CA" w:rsidRDefault="002458CA" w:rsidP="002458CA">
    <w:pPr>
      <w:pStyle w:val="Footer"/>
      <w:jc w:val="right"/>
      <w:rPr>
        <w:rFonts w:ascii="Times New Roman" w:hAnsi="Times New Roman" w:cs="Times New Roman"/>
      </w:rPr>
    </w:pPr>
    <w:r w:rsidRPr="002458CA">
      <w:rPr>
        <w:rFonts w:ascii="Times New Roman" w:hAnsi="Times New Roman" w:cs="Times New Roman"/>
      </w:rPr>
      <w:fldChar w:fldCharType="begin"/>
    </w:r>
    <w:r w:rsidRPr="002458CA">
      <w:rPr>
        <w:rFonts w:ascii="Times New Roman" w:hAnsi="Times New Roman" w:cs="Times New Roman"/>
      </w:rPr>
      <w:instrText xml:space="preserve"> PAGE   \* MERGEFORMAT </w:instrText>
    </w:r>
    <w:r w:rsidRPr="002458CA">
      <w:rPr>
        <w:rFonts w:ascii="Times New Roman" w:hAnsi="Times New Roman" w:cs="Times New Roman"/>
      </w:rPr>
      <w:fldChar w:fldCharType="separate"/>
    </w:r>
    <w:r w:rsidR="00204057">
      <w:rPr>
        <w:rFonts w:ascii="Times New Roman" w:hAnsi="Times New Roman" w:cs="Times New Roman"/>
        <w:noProof/>
      </w:rPr>
      <w:t>4</w:t>
    </w:r>
    <w:r w:rsidRPr="002458CA">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06DEA" w14:textId="77777777" w:rsidR="00A922D3" w:rsidRDefault="00A922D3" w:rsidP="00727464">
      <w:pPr>
        <w:spacing w:after="0" w:line="240" w:lineRule="auto"/>
      </w:pPr>
      <w:r>
        <w:separator/>
      </w:r>
    </w:p>
  </w:footnote>
  <w:footnote w:type="continuationSeparator" w:id="0">
    <w:p w14:paraId="0977F5C9" w14:textId="77777777" w:rsidR="00A922D3" w:rsidRDefault="00A922D3" w:rsidP="00727464">
      <w:pPr>
        <w:spacing w:after="0" w:line="240" w:lineRule="auto"/>
      </w:pPr>
      <w:r>
        <w:continuationSeparator/>
      </w:r>
    </w:p>
  </w:footnote>
  <w:footnote w:id="1">
    <w:p w14:paraId="547E03AE" w14:textId="77777777" w:rsidR="00695891" w:rsidRPr="00DA1A86" w:rsidRDefault="00695891">
      <w:pPr>
        <w:pStyle w:val="FootnoteText"/>
        <w:rPr>
          <w:rFonts w:ascii="Times New Roman" w:hAnsi="Times New Roman" w:cs="Times New Roman"/>
          <w:sz w:val="18"/>
          <w:szCs w:val="18"/>
        </w:rPr>
      </w:pPr>
      <w:r w:rsidRPr="00DA1A86">
        <w:rPr>
          <w:rStyle w:val="FootnoteReference"/>
          <w:rFonts w:ascii="Times New Roman" w:hAnsi="Times New Roman" w:cs="Times New Roman"/>
          <w:sz w:val="18"/>
          <w:szCs w:val="18"/>
        </w:rPr>
        <w:footnoteRef/>
      </w:r>
      <w:r w:rsidRPr="00DA1A86">
        <w:rPr>
          <w:rFonts w:ascii="Times New Roman" w:hAnsi="Times New Roman" w:cs="Times New Roman"/>
          <w:sz w:val="18"/>
          <w:szCs w:val="18"/>
        </w:rPr>
        <w:t xml:space="preserve"> On July 1, 2017 ABAG underwent a staff consolidation with the Metropolitan Transportation Commission (MTC).  ABAG and its Executive Board continue to exist and to implement programs, such as BayREN.</w:t>
      </w:r>
    </w:p>
  </w:footnote>
  <w:footnote w:id="2">
    <w:p w14:paraId="01600E65" w14:textId="77777777" w:rsidR="00F704C5" w:rsidRPr="00DA1A86" w:rsidRDefault="00F704C5">
      <w:pPr>
        <w:pStyle w:val="FootnoteText"/>
        <w:rPr>
          <w:rFonts w:ascii="Times New Roman" w:hAnsi="Times New Roman" w:cs="Times New Roman"/>
        </w:rPr>
      </w:pPr>
      <w:r w:rsidRPr="00DA1A86">
        <w:rPr>
          <w:rStyle w:val="FootnoteReference"/>
          <w:rFonts w:ascii="Times New Roman" w:hAnsi="Times New Roman" w:cs="Times New Roman"/>
        </w:rPr>
        <w:footnoteRef/>
      </w:r>
      <w:r w:rsidRPr="00DA1A86">
        <w:rPr>
          <w:rFonts w:ascii="Times New Roman" w:hAnsi="Times New Roman" w:cs="Times New Roman"/>
        </w:rPr>
        <w:t xml:space="preserve"> </w:t>
      </w:r>
      <w:r w:rsidRPr="00DA1A86">
        <w:rPr>
          <w:rFonts w:ascii="Times New Roman" w:hAnsi="Times New Roman" w:cs="Times New Roman"/>
          <w:sz w:val="18"/>
        </w:rPr>
        <w:t>D.14-10-046 at page 31.</w:t>
      </w:r>
    </w:p>
  </w:footnote>
  <w:footnote w:id="3">
    <w:p w14:paraId="5D14E68C" w14:textId="77777777" w:rsidR="00F704C5" w:rsidRPr="00DA1A86" w:rsidRDefault="00F704C5">
      <w:pPr>
        <w:pStyle w:val="FootnoteText"/>
        <w:rPr>
          <w:rFonts w:ascii="Times New Roman" w:hAnsi="Times New Roman" w:cs="Times New Roman"/>
        </w:rPr>
      </w:pPr>
      <w:r w:rsidRPr="00DA1A86">
        <w:rPr>
          <w:rStyle w:val="FootnoteReference"/>
          <w:rFonts w:ascii="Times New Roman" w:hAnsi="Times New Roman" w:cs="Times New Roman"/>
        </w:rPr>
        <w:footnoteRef/>
      </w:r>
      <w:r w:rsidRPr="00DA1A86">
        <w:rPr>
          <w:rFonts w:ascii="Times New Roman" w:hAnsi="Times New Roman" w:cs="Times New Roman"/>
        </w:rPr>
        <w:t xml:space="preserve"> </w:t>
      </w:r>
      <w:r w:rsidRPr="00DA1A86">
        <w:rPr>
          <w:rFonts w:ascii="Times New Roman" w:hAnsi="Times New Roman" w:cs="Times New Roman"/>
          <w:sz w:val="18"/>
        </w:rPr>
        <w:t>D.13-09-044, Ordering Paragraph 22.</w:t>
      </w:r>
    </w:p>
  </w:footnote>
  <w:footnote w:id="4">
    <w:p w14:paraId="05DD68FF" w14:textId="77777777" w:rsidR="00F704C5" w:rsidRPr="00DA1A86" w:rsidRDefault="00F704C5">
      <w:pPr>
        <w:pStyle w:val="FootnoteText"/>
        <w:rPr>
          <w:rFonts w:ascii="Times New Roman" w:hAnsi="Times New Roman" w:cs="Times New Roman"/>
        </w:rPr>
      </w:pPr>
      <w:r w:rsidRPr="00DA1A86">
        <w:rPr>
          <w:rStyle w:val="FootnoteReference"/>
          <w:rFonts w:ascii="Times New Roman" w:hAnsi="Times New Roman" w:cs="Times New Roman"/>
        </w:rPr>
        <w:footnoteRef/>
      </w:r>
      <w:r w:rsidRPr="00DA1A86">
        <w:rPr>
          <w:rFonts w:ascii="Times New Roman" w:hAnsi="Times New Roman" w:cs="Times New Roman"/>
        </w:rPr>
        <w:t xml:space="preserve"> </w:t>
      </w:r>
      <w:r w:rsidRPr="00DA1A86">
        <w:rPr>
          <w:rFonts w:ascii="Times New Roman" w:hAnsi="Times New Roman" w:cs="Times New Roman"/>
          <w:sz w:val="18"/>
          <w:szCs w:val="18"/>
        </w:rPr>
        <w:t>D.16-08-019 at page 10.</w:t>
      </w:r>
    </w:p>
  </w:footnote>
  <w:footnote w:id="5">
    <w:p w14:paraId="1A11BF4D" w14:textId="77777777" w:rsidR="00F704C5" w:rsidRPr="00DA1A86" w:rsidRDefault="00F704C5">
      <w:pPr>
        <w:pStyle w:val="FootnoteText"/>
        <w:rPr>
          <w:rFonts w:ascii="Times New Roman" w:hAnsi="Times New Roman" w:cs="Times New Roman"/>
        </w:rPr>
      </w:pPr>
      <w:r w:rsidRPr="00DA1A86">
        <w:rPr>
          <w:rStyle w:val="FootnoteReference"/>
          <w:rFonts w:ascii="Times New Roman" w:hAnsi="Times New Roman" w:cs="Times New Roman"/>
        </w:rPr>
        <w:footnoteRef/>
      </w:r>
      <w:r w:rsidRPr="00DA1A86">
        <w:rPr>
          <w:rFonts w:ascii="Times New Roman" w:hAnsi="Times New Roman" w:cs="Times New Roman"/>
        </w:rPr>
        <w:t xml:space="preserve"> </w:t>
      </w:r>
      <w:r w:rsidRPr="00DA1A86">
        <w:rPr>
          <w:rFonts w:ascii="Times New Roman" w:hAnsi="Times New Roman" w:cs="Times New Roman"/>
          <w:sz w:val="18"/>
          <w:szCs w:val="18"/>
        </w:rPr>
        <w:t>D.15-10-028, at pages 59-60.</w:t>
      </w:r>
    </w:p>
  </w:footnote>
  <w:footnote w:id="6">
    <w:p w14:paraId="2AE08817" w14:textId="778173E9" w:rsidR="00B600B5" w:rsidRDefault="00B600B5">
      <w:pPr>
        <w:pStyle w:val="FootnoteText"/>
      </w:pPr>
      <w:r>
        <w:rPr>
          <w:rStyle w:val="FootnoteReference"/>
        </w:rPr>
        <w:footnoteRef/>
      </w:r>
      <w:r>
        <w:t xml:space="preserve"> Values provided in Table 1 (and all subsequent Tables) are without the 5% market effects. </w:t>
      </w:r>
      <w:bookmarkStart w:id="0" w:name="_GoBack"/>
      <w:bookmarkEnd w:id="0"/>
    </w:p>
  </w:footnote>
  <w:footnote w:id="7">
    <w:p w14:paraId="359CD5C0" w14:textId="1D328FB1" w:rsidR="00902AF4" w:rsidRDefault="00902AF4">
      <w:pPr>
        <w:pStyle w:val="FootnoteText"/>
      </w:pPr>
      <w:r>
        <w:rPr>
          <w:rStyle w:val="FootnoteReference"/>
        </w:rPr>
        <w:footnoteRef/>
      </w:r>
      <w:r>
        <w:t xml:space="preserve"> Budget forecasts for 2018 and 2019 are the same as the approved funding levels submitted in the 2019 ABAL Filing. </w:t>
      </w:r>
    </w:p>
  </w:footnote>
  <w:footnote w:id="8">
    <w:p w14:paraId="3B2DA5FA" w14:textId="5FE6E4AB" w:rsidR="00902AF4" w:rsidRDefault="00902AF4">
      <w:pPr>
        <w:pStyle w:val="FootnoteText"/>
      </w:pPr>
      <w:r>
        <w:rPr>
          <w:rStyle w:val="FootnoteReference"/>
        </w:rPr>
        <w:footnoteRef/>
      </w:r>
      <w:r>
        <w:t xml:space="preserve"> </w:t>
      </w:r>
      <w:r w:rsidR="008237C2">
        <w:t>kWh s</w:t>
      </w:r>
      <w:r>
        <w:t xml:space="preserve">avings forecasts for 2018 and 2019 are the same as what was filed in the 2019 ABAL Filing. </w:t>
      </w:r>
    </w:p>
  </w:footnote>
  <w:footnote w:id="9">
    <w:p w14:paraId="63254589" w14:textId="7AF02DF2" w:rsidR="008237C2" w:rsidRDefault="008237C2">
      <w:pPr>
        <w:pStyle w:val="FootnoteText"/>
      </w:pPr>
      <w:r>
        <w:rPr>
          <w:rStyle w:val="FootnoteReference"/>
        </w:rPr>
        <w:footnoteRef/>
      </w:r>
      <w:r>
        <w:t xml:space="preserve"> kW savings forecasts for 2018 and 2019 are the same as what was filed in the 2019 ABAL Filing.</w:t>
      </w:r>
    </w:p>
  </w:footnote>
  <w:footnote w:id="10">
    <w:p w14:paraId="3E32C15D" w14:textId="74691562" w:rsidR="008237C2" w:rsidRDefault="008237C2">
      <w:pPr>
        <w:pStyle w:val="FootnoteText"/>
      </w:pPr>
      <w:r>
        <w:rPr>
          <w:rStyle w:val="FootnoteReference"/>
        </w:rPr>
        <w:footnoteRef/>
      </w:r>
      <w:r>
        <w:t xml:space="preserve"> </w:t>
      </w:r>
      <w:proofErr w:type="spellStart"/>
      <w:r>
        <w:t>Therm</w:t>
      </w:r>
      <w:proofErr w:type="spellEnd"/>
      <w:r>
        <w:t xml:space="preserve"> savings forecasts for 2018 and 2019 are the same as what was filed in the 2019 ABAL Filing.</w:t>
      </w:r>
    </w:p>
  </w:footnote>
  <w:footnote w:id="11">
    <w:p w14:paraId="6575EAC9" w14:textId="77777777" w:rsidR="00DE1196" w:rsidRPr="00DA1A86" w:rsidRDefault="00DE1196" w:rsidP="00DE1196">
      <w:pPr>
        <w:pStyle w:val="FootnoteText"/>
        <w:rPr>
          <w:rFonts w:ascii="Times New Roman" w:hAnsi="Times New Roman" w:cs="Times New Roman"/>
        </w:rPr>
      </w:pPr>
      <w:r w:rsidRPr="00DA1A86">
        <w:rPr>
          <w:rStyle w:val="FootnoteReference"/>
          <w:rFonts w:ascii="Times New Roman" w:hAnsi="Times New Roman" w:cs="Times New Roman"/>
        </w:rPr>
        <w:t>[1]</w:t>
      </w:r>
      <w:r w:rsidRPr="00DA1A86">
        <w:rPr>
          <w:rFonts w:ascii="Times New Roman" w:hAnsi="Times New Roman" w:cs="Times New Roman"/>
        </w:rPr>
        <w:t xml:space="preserve"> Households with annual income range of $48,000 – 125,000.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588841"/>
      <w:docPartObj>
        <w:docPartGallery w:val="Watermarks"/>
        <w:docPartUnique/>
      </w:docPartObj>
    </w:sdtPr>
    <w:sdtEndPr/>
    <w:sdtContent>
      <w:p w14:paraId="5B5DDC6A" w14:textId="55D282A2" w:rsidR="002458CA" w:rsidRDefault="00A922D3">
        <w:pPr>
          <w:pStyle w:val="Header"/>
        </w:pPr>
        <w:r>
          <w:rPr>
            <w:noProof/>
          </w:rPr>
          <w:pict w14:anchorId="1582E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BAD99" w14:textId="6C1F5440" w:rsidR="002458CA" w:rsidRDefault="002458CA" w:rsidP="002458CA">
    <w:pPr>
      <w:pStyle w:val="Header"/>
    </w:pPr>
    <w:r>
      <w:rPr>
        <w:noProof/>
      </w:rPr>
      <w:drawing>
        <wp:anchor distT="0" distB="0" distL="114300" distR="114300" simplePos="0" relativeHeight="251662336" behindDoc="0" locked="0" layoutInCell="1" allowOverlap="1" wp14:anchorId="085F41B7" wp14:editId="494EC3EC">
          <wp:simplePos x="0" y="0"/>
          <wp:positionH relativeFrom="margin">
            <wp:align>center</wp:align>
          </wp:positionH>
          <wp:positionV relativeFrom="paragraph">
            <wp:posOffset>-188408</wp:posOffset>
          </wp:positionV>
          <wp:extent cx="2313305" cy="12160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yREN letterhead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3305" cy="12160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458CA">
      <w:t xml:space="preserve"> </w:t>
    </w:r>
    <w:sdt>
      <w:sdtPr>
        <w:id w:val="-673263203"/>
        <w:docPartObj>
          <w:docPartGallery w:val="Watermarks"/>
          <w:docPartUnique/>
        </w:docPartObj>
      </w:sdtPr>
      <w:sdtEndPr/>
      <w:sdtContent>
        <w:r w:rsidR="00A922D3">
          <w:rPr>
            <w:noProof/>
          </w:rPr>
          <w:pict w14:anchorId="4684B3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2458CA">
      <w:rPr>
        <w:noProof/>
      </w:rPr>
      <w:t xml:space="preserve"> </w:t>
    </w:r>
  </w:p>
  <w:p w14:paraId="012D5207" w14:textId="07DAC037" w:rsidR="002D6628" w:rsidRDefault="002D6628" w:rsidP="00E1388B">
    <w:pPr>
      <w:pStyle w:val="Header"/>
      <w:jc w:val="center"/>
    </w:pPr>
  </w:p>
  <w:p w14:paraId="5CBAFD92" w14:textId="77777777" w:rsidR="002D6628" w:rsidRDefault="002D6628">
    <w:pPr>
      <w:pStyle w:val="Header"/>
    </w:pPr>
  </w:p>
  <w:p w14:paraId="07A82E50" w14:textId="77777777" w:rsidR="002458CA" w:rsidRDefault="00245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FAE"/>
    <w:multiLevelType w:val="hybridMultilevel"/>
    <w:tmpl w:val="4A343B9C"/>
    <w:lvl w:ilvl="0" w:tplc="F422502A">
      <w:start w:val="1"/>
      <w:numFmt w:val="decimal"/>
      <w:lvlText w:val="%1."/>
      <w:lvlJc w:val="left"/>
      <w:pPr>
        <w:ind w:left="16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667E28"/>
    <w:multiLevelType w:val="hybridMultilevel"/>
    <w:tmpl w:val="1BEC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15B68"/>
    <w:multiLevelType w:val="hybridMultilevel"/>
    <w:tmpl w:val="F5AA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3F42C8"/>
    <w:multiLevelType w:val="hybridMultilevel"/>
    <w:tmpl w:val="74986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EB41028"/>
    <w:multiLevelType w:val="hybridMultilevel"/>
    <w:tmpl w:val="F6384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FFE06E9"/>
    <w:multiLevelType w:val="hybridMultilevel"/>
    <w:tmpl w:val="9FE8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405EC6"/>
    <w:multiLevelType w:val="hybridMultilevel"/>
    <w:tmpl w:val="BBC63D04"/>
    <w:lvl w:ilvl="0" w:tplc="F61064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7939E1"/>
    <w:multiLevelType w:val="hybridMultilevel"/>
    <w:tmpl w:val="0972C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0"/>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464"/>
    <w:rsid w:val="0003129B"/>
    <w:rsid w:val="00043D64"/>
    <w:rsid w:val="00085F27"/>
    <w:rsid w:val="000C03B4"/>
    <w:rsid w:val="000F6752"/>
    <w:rsid w:val="00147F39"/>
    <w:rsid w:val="00170264"/>
    <w:rsid w:val="00172CAA"/>
    <w:rsid w:val="00174E40"/>
    <w:rsid w:val="001B18EF"/>
    <w:rsid w:val="001D6459"/>
    <w:rsid w:val="00204057"/>
    <w:rsid w:val="00205071"/>
    <w:rsid w:val="0022339D"/>
    <w:rsid w:val="00224804"/>
    <w:rsid w:val="002458CA"/>
    <w:rsid w:val="00274EE0"/>
    <w:rsid w:val="002A0BD2"/>
    <w:rsid w:val="002C72F6"/>
    <w:rsid w:val="002D6628"/>
    <w:rsid w:val="002E29D5"/>
    <w:rsid w:val="002F01EB"/>
    <w:rsid w:val="00332522"/>
    <w:rsid w:val="003361B4"/>
    <w:rsid w:val="00393002"/>
    <w:rsid w:val="003A3A0B"/>
    <w:rsid w:val="003D6C88"/>
    <w:rsid w:val="003E0EAB"/>
    <w:rsid w:val="0047791C"/>
    <w:rsid w:val="00485D3E"/>
    <w:rsid w:val="00486F81"/>
    <w:rsid w:val="004C2AA4"/>
    <w:rsid w:val="00501C06"/>
    <w:rsid w:val="00560986"/>
    <w:rsid w:val="00574FB2"/>
    <w:rsid w:val="005F03C5"/>
    <w:rsid w:val="006018A0"/>
    <w:rsid w:val="006236BF"/>
    <w:rsid w:val="00626F6D"/>
    <w:rsid w:val="00695891"/>
    <w:rsid w:val="006E5FFD"/>
    <w:rsid w:val="006F140B"/>
    <w:rsid w:val="00702946"/>
    <w:rsid w:val="00723996"/>
    <w:rsid w:val="00727464"/>
    <w:rsid w:val="00756DD1"/>
    <w:rsid w:val="007730A0"/>
    <w:rsid w:val="007811C6"/>
    <w:rsid w:val="0079340B"/>
    <w:rsid w:val="00810710"/>
    <w:rsid w:val="00810F06"/>
    <w:rsid w:val="008237C2"/>
    <w:rsid w:val="008B138C"/>
    <w:rsid w:val="00902AF4"/>
    <w:rsid w:val="0094058A"/>
    <w:rsid w:val="009770D4"/>
    <w:rsid w:val="009A14C2"/>
    <w:rsid w:val="009B3B2D"/>
    <w:rsid w:val="009D4787"/>
    <w:rsid w:val="009D6271"/>
    <w:rsid w:val="00A45E1F"/>
    <w:rsid w:val="00A50622"/>
    <w:rsid w:val="00A75A32"/>
    <w:rsid w:val="00A802B7"/>
    <w:rsid w:val="00A87C25"/>
    <w:rsid w:val="00A922D3"/>
    <w:rsid w:val="00AC091F"/>
    <w:rsid w:val="00AE0F45"/>
    <w:rsid w:val="00B600B5"/>
    <w:rsid w:val="00BA43EA"/>
    <w:rsid w:val="00BB34C3"/>
    <w:rsid w:val="00BF2F13"/>
    <w:rsid w:val="00C156F2"/>
    <w:rsid w:val="00C27C23"/>
    <w:rsid w:val="00CE21A5"/>
    <w:rsid w:val="00CF4559"/>
    <w:rsid w:val="00D60DE0"/>
    <w:rsid w:val="00DA1A86"/>
    <w:rsid w:val="00DE1196"/>
    <w:rsid w:val="00E1388B"/>
    <w:rsid w:val="00E538CA"/>
    <w:rsid w:val="00EF1501"/>
    <w:rsid w:val="00F12CBE"/>
    <w:rsid w:val="00F42D20"/>
    <w:rsid w:val="00F704C5"/>
    <w:rsid w:val="00F9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3F93818"/>
  <w15:chartTrackingRefBased/>
  <w15:docId w15:val="{7312FD21-3B35-4BCE-8BE8-B9B67046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6F6D"/>
    <w:pPr>
      <w:keepNext/>
      <w:keepLines/>
      <w:spacing w:before="240" w:after="0" w:line="240" w:lineRule="auto"/>
      <w:outlineLvl w:val="0"/>
    </w:pPr>
    <w:rPr>
      <w:rFonts w:ascii="Open Sans" w:eastAsiaTheme="majorEastAsia" w:hAnsi="Open Sans" w:cstheme="majorBidi"/>
      <w:b/>
      <w:bCs/>
      <w:color w:val="335D86"/>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464"/>
  </w:style>
  <w:style w:type="paragraph" w:styleId="Footer">
    <w:name w:val="footer"/>
    <w:basedOn w:val="Normal"/>
    <w:link w:val="FooterChar"/>
    <w:uiPriority w:val="99"/>
    <w:unhideWhenUsed/>
    <w:rsid w:val="00727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464"/>
  </w:style>
  <w:style w:type="paragraph" w:styleId="Title">
    <w:name w:val="Title"/>
    <w:basedOn w:val="Normal"/>
    <w:next w:val="Normal"/>
    <w:link w:val="TitleChar"/>
    <w:uiPriority w:val="10"/>
    <w:qFormat/>
    <w:rsid w:val="00695891"/>
    <w:rPr>
      <w:rFonts w:ascii="Times New Roman" w:hAnsi="Times New Roman" w:cs="Times New Roman"/>
      <w:b/>
      <w:sz w:val="24"/>
    </w:rPr>
  </w:style>
  <w:style w:type="character" w:customStyle="1" w:styleId="TitleChar">
    <w:name w:val="Title Char"/>
    <w:basedOn w:val="DefaultParagraphFont"/>
    <w:link w:val="Title"/>
    <w:uiPriority w:val="10"/>
    <w:rsid w:val="00695891"/>
    <w:rPr>
      <w:rFonts w:ascii="Times New Roman" w:hAnsi="Times New Roman" w:cs="Times New Roman"/>
      <w:b/>
      <w:sz w:val="24"/>
    </w:rPr>
  </w:style>
  <w:style w:type="paragraph" w:styleId="FootnoteText">
    <w:name w:val="footnote text"/>
    <w:basedOn w:val="Normal"/>
    <w:link w:val="FootnoteTextChar"/>
    <w:uiPriority w:val="99"/>
    <w:unhideWhenUsed/>
    <w:rsid w:val="00695891"/>
    <w:pPr>
      <w:spacing w:after="0" w:line="240" w:lineRule="auto"/>
    </w:pPr>
    <w:rPr>
      <w:sz w:val="20"/>
      <w:szCs w:val="20"/>
    </w:rPr>
  </w:style>
  <w:style w:type="character" w:customStyle="1" w:styleId="FootnoteTextChar">
    <w:name w:val="Footnote Text Char"/>
    <w:basedOn w:val="DefaultParagraphFont"/>
    <w:link w:val="FootnoteText"/>
    <w:uiPriority w:val="99"/>
    <w:rsid w:val="00695891"/>
    <w:rPr>
      <w:sz w:val="20"/>
      <w:szCs w:val="20"/>
    </w:rPr>
  </w:style>
  <w:style w:type="character" w:styleId="FootnoteReference">
    <w:name w:val="footnote reference"/>
    <w:basedOn w:val="DefaultParagraphFont"/>
    <w:uiPriority w:val="99"/>
    <w:unhideWhenUsed/>
    <w:rsid w:val="00695891"/>
    <w:rPr>
      <w:vertAlign w:val="superscript"/>
    </w:rPr>
  </w:style>
  <w:style w:type="paragraph" w:styleId="ListParagraph">
    <w:name w:val="List Paragraph"/>
    <w:basedOn w:val="Normal"/>
    <w:uiPriority w:val="34"/>
    <w:qFormat/>
    <w:rsid w:val="00F704C5"/>
    <w:pPr>
      <w:ind w:left="720"/>
      <w:contextualSpacing/>
    </w:pPr>
  </w:style>
  <w:style w:type="character" w:customStyle="1" w:styleId="Heading1Char">
    <w:name w:val="Heading 1 Char"/>
    <w:basedOn w:val="DefaultParagraphFont"/>
    <w:link w:val="Heading1"/>
    <w:uiPriority w:val="9"/>
    <w:rsid w:val="00626F6D"/>
    <w:rPr>
      <w:rFonts w:ascii="Open Sans" w:eastAsiaTheme="majorEastAsia" w:hAnsi="Open Sans" w:cstheme="majorBidi"/>
      <w:b/>
      <w:bCs/>
      <w:color w:val="335D86"/>
      <w:sz w:val="40"/>
      <w:szCs w:val="32"/>
    </w:rPr>
  </w:style>
  <w:style w:type="paragraph" w:customStyle="1" w:styleId="xmsonormal">
    <w:name w:val="x_msonormal"/>
    <w:basedOn w:val="Normal"/>
    <w:rsid w:val="00626F6D"/>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560986"/>
    <w:rPr>
      <w:sz w:val="16"/>
      <w:szCs w:val="16"/>
    </w:rPr>
  </w:style>
  <w:style w:type="paragraph" w:styleId="CommentText">
    <w:name w:val="annotation text"/>
    <w:basedOn w:val="Normal"/>
    <w:link w:val="CommentTextChar"/>
    <w:uiPriority w:val="99"/>
    <w:semiHidden/>
    <w:unhideWhenUsed/>
    <w:rsid w:val="00560986"/>
    <w:pPr>
      <w:spacing w:line="240" w:lineRule="auto"/>
    </w:pPr>
    <w:rPr>
      <w:sz w:val="20"/>
      <w:szCs w:val="20"/>
    </w:rPr>
  </w:style>
  <w:style w:type="character" w:customStyle="1" w:styleId="CommentTextChar">
    <w:name w:val="Comment Text Char"/>
    <w:basedOn w:val="DefaultParagraphFont"/>
    <w:link w:val="CommentText"/>
    <w:uiPriority w:val="99"/>
    <w:semiHidden/>
    <w:rsid w:val="00560986"/>
    <w:rPr>
      <w:sz w:val="20"/>
      <w:szCs w:val="20"/>
    </w:rPr>
  </w:style>
  <w:style w:type="paragraph" w:styleId="CommentSubject">
    <w:name w:val="annotation subject"/>
    <w:basedOn w:val="CommentText"/>
    <w:next w:val="CommentText"/>
    <w:link w:val="CommentSubjectChar"/>
    <w:uiPriority w:val="99"/>
    <w:semiHidden/>
    <w:unhideWhenUsed/>
    <w:rsid w:val="00560986"/>
    <w:rPr>
      <w:b/>
      <w:bCs/>
    </w:rPr>
  </w:style>
  <w:style w:type="character" w:customStyle="1" w:styleId="CommentSubjectChar">
    <w:name w:val="Comment Subject Char"/>
    <w:basedOn w:val="CommentTextChar"/>
    <w:link w:val="CommentSubject"/>
    <w:uiPriority w:val="99"/>
    <w:semiHidden/>
    <w:rsid w:val="00560986"/>
    <w:rPr>
      <w:b/>
      <w:bCs/>
      <w:sz w:val="20"/>
      <w:szCs w:val="20"/>
    </w:rPr>
  </w:style>
  <w:style w:type="paragraph" w:styleId="BalloonText">
    <w:name w:val="Balloon Text"/>
    <w:basedOn w:val="Normal"/>
    <w:link w:val="BalloonTextChar"/>
    <w:uiPriority w:val="99"/>
    <w:semiHidden/>
    <w:unhideWhenUsed/>
    <w:rsid w:val="00560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9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2333">
      <w:bodyDiv w:val="1"/>
      <w:marLeft w:val="0"/>
      <w:marRight w:val="0"/>
      <w:marTop w:val="0"/>
      <w:marBottom w:val="0"/>
      <w:divBdr>
        <w:top w:val="none" w:sz="0" w:space="0" w:color="auto"/>
        <w:left w:val="none" w:sz="0" w:space="0" w:color="auto"/>
        <w:bottom w:val="none" w:sz="0" w:space="0" w:color="auto"/>
        <w:right w:val="none" w:sz="0" w:space="0" w:color="auto"/>
      </w:divBdr>
    </w:div>
    <w:div w:id="300884461">
      <w:bodyDiv w:val="1"/>
      <w:marLeft w:val="0"/>
      <w:marRight w:val="0"/>
      <w:marTop w:val="0"/>
      <w:marBottom w:val="0"/>
      <w:divBdr>
        <w:top w:val="none" w:sz="0" w:space="0" w:color="auto"/>
        <w:left w:val="none" w:sz="0" w:space="0" w:color="auto"/>
        <w:bottom w:val="none" w:sz="0" w:space="0" w:color="auto"/>
        <w:right w:val="none" w:sz="0" w:space="0" w:color="auto"/>
      </w:divBdr>
    </w:div>
    <w:div w:id="897864192">
      <w:bodyDiv w:val="1"/>
      <w:marLeft w:val="0"/>
      <w:marRight w:val="0"/>
      <w:marTop w:val="0"/>
      <w:marBottom w:val="0"/>
      <w:divBdr>
        <w:top w:val="none" w:sz="0" w:space="0" w:color="auto"/>
        <w:left w:val="none" w:sz="0" w:space="0" w:color="auto"/>
        <w:bottom w:val="none" w:sz="0" w:space="0" w:color="auto"/>
        <w:right w:val="none" w:sz="0" w:space="0" w:color="auto"/>
      </w:divBdr>
    </w:div>
    <w:div w:id="1505706301">
      <w:bodyDiv w:val="1"/>
      <w:marLeft w:val="0"/>
      <w:marRight w:val="0"/>
      <w:marTop w:val="0"/>
      <w:marBottom w:val="0"/>
      <w:divBdr>
        <w:top w:val="none" w:sz="0" w:space="0" w:color="auto"/>
        <w:left w:val="none" w:sz="0" w:space="0" w:color="auto"/>
        <w:bottom w:val="none" w:sz="0" w:space="0" w:color="auto"/>
        <w:right w:val="none" w:sz="0" w:space="0" w:color="auto"/>
      </w:divBdr>
    </w:div>
    <w:div w:id="1524826723">
      <w:bodyDiv w:val="1"/>
      <w:marLeft w:val="0"/>
      <w:marRight w:val="0"/>
      <w:marTop w:val="0"/>
      <w:marBottom w:val="0"/>
      <w:divBdr>
        <w:top w:val="none" w:sz="0" w:space="0" w:color="auto"/>
        <w:left w:val="none" w:sz="0" w:space="0" w:color="auto"/>
        <w:bottom w:val="none" w:sz="0" w:space="0" w:color="auto"/>
        <w:right w:val="none" w:sz="0" w:space="0" w:color="auto"/>
      </w:divBdr>
    </w:div>
    <w:div w:id="1563255301">
      <w:bodyDiv w:val="1"/>
      <w:marLeft w:val="0"/>
      <w:marRight w:val="0"/>
      <w:marTop w:val="0"/>
      <w:marBottom w:val="0"/>
      <w:divBdr>
        <w:top w:val="none" w:sz="0" w:space="0" w:color="auto"/>
        <w:left w:val="none" w:sz="0" w:space="0" w:color="auto"/>
        <w:bottom w:val="none" w:sz="0" w:space="0" w:color="auto"/>
        <w:right w:val="none" w:sz="0" w:space="0" w:color="auto"/>
      </w:divBdr>
    </w:div>
    <w:div w:id="1766417205">
      <w:bodyDiv w:val="1"/>
      <w:marLeft w:val="0"/>
      <w:marRight w:val="0"/>
      <w:marTop w:val="0"/>
      <w:marBottom w:val="0"/>
      <w:divBdr>
        <w:top w:val="none" w:sz="0" w:space="0" w:color="auto"/>
        <w:left w:val="none" w:sz="0" w:space="0" w:color="auto"/>
        <w:bottom w:val="none" w:sz="0" w:space="0" w:color="auto"/>
        <w:right w:val="none" w:sz="0" w:space="0" w:color="auto"/>
      </w:divBdr>
    </w:div>
    <w:div w:id="184058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TariffUnit@cpuc.c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7E4D0-F2FA-4F10-A75D-0EA480C7D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3122</Words>
  <Characters>17800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Tan</dc:creator>
  <cp:keywords/>
  <dc:description/>
  <cp:lastModifiedBy>Lacey Tan</cp:lastModifiedBy>
  <cp:revision>4</cp:revision>
  <dcterms:created xsi:type="dcterms:W3CDTF">2019-07-31T21:13:00Z</dcterms:created>
  <dcterms:modified xsi:type="dcterms:W3CDTF">2019-07-31T21:48:00Z</dcterms:modified>
</cp:coreProperties>
</file>