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35"/>
        <w:tblW w:w="11175" w:type="dxa"/>
        <w:tblLayout w:type="fixed"/>
        <w:tblLook w:val="04A0" w:firstRow="1" w:lastRow="0" w:firstColumn="1" w:lastColumn="0" w:noHBand="0" w:noVBand="1"/>
      </w:tblPr>
      <w:tblGrid>
        <w:gridCol w:w="2178"/>
        <w:gridCol w:w="6568"/>
        <w:gridCol w:w="2429"/>
      </w:tblGrid>
      <w:tr w:rsidR="004F2DC4" w:rsidRPr="004F2DC4" w14:paraId="0841F4F2" w14:textId="77777777" w:rsidTr="00F0198D">
        <w:trPr>
          <w:cantSplit/>
          <w:trHeight w:val="900"/>
        </w:trPr>
        <w:tc>
          <w:tcPr>
            <w:tcW w:w="2178" w:type="dxa"/>
            <w:hideMark/>
          </w:tcPr>
          <w:p w14:paraId="38818239" w14:textId="77777777" w:rsidR="004F2DC4" w:rsidRPr="004F2DC4" w:rsidRDefault="004F2DC4" w:rsidP="00F0198D">
            <w:pPr>
              <w:tabs>
                <w:tab w:val="left" w:pos="5580"/>
              </w:tabs>
              <w:spacing w:after="0" w:line="240" w:lineRule="auto"/>
              <w:rPr>
                <w:rFonts w:ascii="Times New Roman" w:eastAsia="Calibri" w:hAnsi="Times New Roman" w:cs="Times New Roman"/>
                <w:sz w:val="24"/>
                <w:szCs w:val="24"/>
              </w:rPr>
            </w:pPr>
            <w:r w:rsidRPr="004F2DC4">
              <w:rPr>
                <w:rFonts w:ascii="Times New Roman" w:eastAsia="Calibri" w:hAnsi="Times New Roman" w:cs="Times New Roman"/>
                <w:sz w:val="24"/>
                <w:szCs w:val="24"/>
              </w:rPr>
              <w:t xml:space="preserve">  </w:t>
            </w:r>
          </w:p>
          <w:p w14:paraId="5B6DA391" w14:textId="77777777" w:rsidR="004F2DC4" w:rsidRPr="004F2DC4" w:rsidRDefault="004F2DC4" w:rsidP="00F0198D">
            <w:pPr>
              <w:tabs>
                <w:tab w:val="left" w:pos="5580"/>
              </w:tabs>
              <w:spacing w:after="0" w:line="240" w:lineRule="auto"/>
              <w:jc w:val="center"/>
              <w:rPr>
                <w:rFonts w:ascii="Times New Roman" w:eastAsia="Calibri" w:hAnsi="Times New Roman" w:cs="Arial"/>
                <w:sz w:val="24"/>
                <w:szCs w:val="24"/>
              </w:rPr>
            </w:pPr>
            <w:r w:rsidRPr="004F2DC4">
              <w:rPr>
                <w:rFonts w:ascii="Times New Roman" w:eastAsia="Calibri" w:hAnsi="Times New Roman" w:cs="Times New Roman"/>
                <w:noProof/>
                <w:sz w:val="24"/>
                <w:szCs w:val="24"/>
              </w:rPr>
              <w:drawing>
                <wp:inline distT="0" distB="0" distL="0" distR="0" wp14:anchorId="30D3ADE3" wp14:editId="43C2B549">
                  <wp:extent cx="971550" cy="895350"/>
                  <wp:effectExtent l="0" t="0" r="0" b="0"/>
                  <wp:docPr id="2" name="Picture 1" descr="1LACo_SEAL_K2in0904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Co_SEAL_K2in0904P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6568" w:type="dxa"/>
          </w:tcPr>
          <w:p w14:paraId="1828C9DE" w14:textId="77777777" w:rsidR="004F2DC4" w:rsidRPr="004F2DC4" w:rsidRDefault="004F2DC4" w:rsidP="00F0198D">
            <w:pPr>
              <w:keepNext/>
              <w:tabs>
                <w:tab w:val="left" w:pos="5580"/>
              </w:tabs>
              <w:spacing w:after="0" w:line="240" w:lineRule="auto"/>
              <w:jc w:val="center"/>
              <w:rPr>
                <w:rFonts w:ascii="Arial" w:eastAsia="Times New Roman" w:hAnsi="Arial" w:cs="Arial"/>
                <w:bCs/>
                <w:sz w:val="36"/>
                <w:szCs w:val="36"/>
              </w:rPr>
            </w:pPr>
          </w:p>
          <w:p w14:paraId="6FD51B78" w14:textId="77777777" w:rsidR="004F2DC4" w:rsidRPr="004F2DC4" w:rsidRDefault="004F2DC4" w:rsidP="00F0198D">
            <w:pPr>
              <w:keepNext/>
              <w:tabs>
                <w:tab w:val="left" w:pos="5580"/>
              </w:tabs>
              <w:spacing w:after="0" w:line="240" w:lineRule="auto"/>
              <w:jc w:val="center"/>
              <w:rPr>
                <w:rFonts w:ascii="Arial" w:eastAsia="Times New Roman" w:hAnsi="Arial" w:cs="Arial"/>
                <w:bCs/>
                <w:sz w:val="34"/>
                <w:szCs w:val="34"/>
              </w:rPr>
            </w:pPr>
            <w:r w:rsidRPr="004F2DC4">
              <w:rPr>
                <w:rFonts w:ascii="Arial" w:eastAsia="Times New Roman" w:hAnsi="Arial" w:cs="Arial"/>
                <w:bCs/>
                <w:sz w:val="34"/>
                <w:szCs w:val="34"/>
              </w:rPr>
              <w:t>County of Los Angeles</w:t>
            </w:r>
          </w:p>
          <w:p w14:paraId="5D8BB1EB" w14:textId="77777777" w:rsidR="004F2DC4" w:rsidRPr="004F2DC4" w:rsidRDefault="004F2DC4" w:rsidP="00F0198D">
            <w:pPr>
              <w:keepNext/>
              <w:tabs>
                <w:tab w:val="left" w:pos="5580"/>
              </w:tabs>
              <w:spacing w:after="0" w:line="240" w:lineRule="auto"/>
              <w:jc w:val="center"/>
              <w:outlineLvl w:val="0"/>
              <w:rPr>
                <w:rFonts w:ascii="Arial" w:eastAsia="Times New Roman" w:hAnsi="Arial" w:cs="Times New Roman"/>
                <w:b/>
                <w:bCs/>
                <w:kern w:val="32"/>
                <w:sz w:val="30"/>
                <w:szCs w:val="30"/>
              </w:rPr>
            </w:pPr>
            <w:r w:rsidRPr="004F2DC4">
              <w:rPr>
                <w:rFonts w:ascii="Arial" w:eastAsia="Times New Roman" w:hAnsi="Arial" w:cs="Times New Roman"/>
                <w:b/>
                <w:bCs/>
                <w:kern w:val="32"/>
                <w:sz w:val="30"/>
                <w:szCs w:val="30"/>
              </w:rPr>
              <w:t>INTERNAL SERVICES DEPARTMENT</w:t>
            </w:r>
          </w:p>
          <w:p w14:paraId="533570CB" w14:textId="77777777" w:rsidR="004F2DC4" w:rsidRPr="004F2DC4" w:rsidRDefault="004F2DC4" w:rsidP="00F0198D">
            <w:pPr>
              <w:tabs>
                <w:tab w:val="left" w:pos="5580"/>
              </w:tabs>
              <w:spacing w:after="0" w:line="240" w:lineRule="auto"/>
              <w:jc w:val="center"/>
              <w:rPr>
                <w:rFonts w:ascii="Times New Roman" w:eastAsia="Calibri" w:hAnsi="Times New Roman" w:cs="Times New Roman"/>
                <w:sz w:val="20"/>
                <w:szCs w:val="24"/>
              </w:rPr>
            </w:pPr>
            <w:r w:rsidRPr="004F2DC4">
              <w:rPr>
                <w:rFonts w:ascii="Times New Roman" w:eastAsia="Calibri" w:hAnsi="Times New Roman" w:cs="Times New Roman"/>
                <w:sz w:val="20"/>
                <w:szCs w:val="24"/>
              </w:rPr>
              <w:t>1100 North Eastern Avenue</w:t>
            </w:r>
          </w:p>
          <w:p w14:paraId="4434EF37" w14:textId="77777777" w:rsidR="004F2DC4" w:rsidRPr="004F2DC4" w:rsidRDefault="004F2DC4" w:rsidP="00F0198D">
            <w:pPr>
              <w:spacing w:after="0" w:line="240" w:lineRule="auto"/>
              <w:jc w:val="center"/>
              <w:outlineLvl w:val="8"/>
              <w:rPr>
                <w:rFonts w:ascii="Times New Roman" w:eastAsia="Calibri" w:hAnsi="Times New Roman" w:cs="Times New Roman"/>
                <w:b/>
                <w:bCs/>
              </w:rPr>
            </w:pPr>
            <w:r w:rsidRPr="004F2DC4">
              <w:rPr>
                <w:rFonts w:ascii="Times New Roman" w:eastAsia="Calibri" w:hAnsi="Times New Roman" w:cs="Times New Roman"/>
                <w:iCs/>
                <w:sz w:val="20"/>
              </w:rPr>
              <w:t>Los Angeles, California 90063</w:t>
            </w:r>
          </w:p>
        </w:tc>
        <w:tc>
          <w:tcPr>
            <w:tcW w:w="2429" w:type="dxa"/>
          </w:tcPr>
          <w:p w14:paraId="3DC9F828" w14:textId="77777777" w:rsidR="004F2DC4" w:rsidRPr="004F2DC4" w:rsidRDefault="004F2DC4" w:rsidP="00F0198D">
            <w:pPr>
              <w:tabs>
                <w:tab w:val="left" w:pos="5580"/>
              </w:tabs>
              <w:spacing w:after="0" w:line="240" w:lineRule="auto"/>
              <w:ind w:right="187"/>
              <w:jc w:val="center"/>
              <w:rPr>
                <w:rFonts w:ascii="Times New Roman" w:eastAsia="Calibri" w:hAnsi="Times New Roman" w:cs="Times New Roman"/>
                <w:sz w:val="24"/>
                <w:szCs w:val="24"/>
              </w:rPr>
            </w:pPr>
          </w:p>
        </w:tc>
      </w:tr>
      <w:tr w:rsidR="004F2DC4" w:rsidRPr="004F2DC4" w14:paraId="2D0EBAB6" w14:textId="77777777" w:rsidTr="00F0198D">
        <w:trPr>
          <w:cantSplit/>
          <w:trHeight w:val="567"/>
        </w:trPr>
        <w:tc>
          <w:tcPr>
            <w:tcW w:w="2178" w:type="dxa"/>
          </w:tcPr>
          <w:p w14:paraId="655E964B" w14:textId="77777777" w:rsidR="004F2DC4" w:rsidRPr="004F2DC4" w:rsidRDefault="004F2DC4" w:rsidP="00F0198D">
            <w:pPr>
              <w:spacing w:after="0" w:line="240" w:lineRule="auto"/>
              <w:jc w:val="center"/>
              <w:outlineLvl w:val="5"/>
              <w:rPr>
                <w:rFonts w:ascii="Times New Roman" w:eastAsia="Calibri" w:hAnsi="Times New Roman" w:cs="Times New Roman"/>
                <w:bCs/>
                <w:sz w:val="4"/>
                <w:szCs w:val="4"/>
              </w:rPr>
            </w:pPr>
          </w:p>
          <w:p w14:paraId="78B8A5CA" w14:textId="77777777" w:rsidR="00CF6859" w:rsidRPr="004F2DC4" w:rsidRDefault="00CF6859" w:rsidP="00A25AB8">
            <w:pPr>
              <w:spacing w:after="0" w:line="240" w:lineRule="auto"/>
              <w:jc w:val="center"/>
              <w:outlineLvl w:val="5"/>
              <w:rPr>
                <w:rFonts w:ascii="Times New Roman" w:eastAsia="Calibri" w:hAnsi="Times New Roman" w:cs="Times New Roman"/>
                <w:bCs/>
                <w:sz w:val="16"/>
                <w:szCs w:val="16"/>
              </w:rPr>
            </w:pPr>
          </w:p>
        </w:tc>
        <w:tc>
          <w:tcPr>
            <w:tcW w:w="6568" w:type="dxa"/>
            <w:vAlign w:val="bottom"/>
            <w:hideMark/>
          </w:tcPr>
          <w:p w14:paraId="5EBD41D3" w14:textId="77777777" w:rsidR="004F2DC4" w:rsidRPr="004F2DC4" w:rsidRDefault="004F2DC4" w:rsidP="00F0198D">
            <w:pPr>
              <w:keepNext/>
              <w:tabs>
                <w:tab w:val="left" w:pos="5580"/>
              </w:tabs>
              <w:spacing w:after="0" w:line="240" w:lineRule="auto"/>
              <w:jc w:val="center"/>
              <w:rPr>
                <w:rFonts w:ascii="Garamond" w:eastAsia="Times New Roman" w:hAnsi="Garamond" w:cs="Times New Roman"/>
                <w:bCs/>
                <w:szCs w:val="24"/>
              </w:rPr>
            </w:pPr>
            <w:r w:rsidRPr="004F2DC4">
              <w:rPr>
                <w:rFonts w:ascii="Times New Roman" w:eastAsia="Times New Roman" w:hAnsi="Times New Roman" w:cs="Times New Roman"/>
                <w:bCs/>
                <w:i/>
                <w:iCs/>
                <w:szCs w:val="24"/>
              </w:rPr>
              <w:t>“To enrich lives through effective and caring service”</w:t>
            </w:r>
          </w:p>
        </w:tc>
        <w:tc>
          <w:tcPr>
            <w:tcW w:w="2429" w:type="dxa"/>
            <w:vAlign w:val="center"/>
          </w:tcPr>
          <w:p w14:paraId="1D9316D8" w14:textId="77777777" w:rsidR="004F2DC4" w:rsidRPr="004F2DC4" w:rsidRDefault="004F2DC4" w:rsidP="00F0198D">
            <w:pPr>
              <w:tabs>
                <w:tab w:val="left" w:pos="972"/>
                <w:tab w:val="left" w:pos="5580"/>
              </w:tabs>
              <w:spacing w:after="0" w:line="240" w:lineRule="auto"/>
              <w:ind w:right="72"/>
              <w:rPr>
                <w:rFonts w:ascii="Times New Roman" w:eastAsia="Calibri" w:hAnsi="Times New Roman" w:cs="Times New Roman"/>
                <w:sz w:val="16"/>
                <w:szCs w:val="24"/>
              </w:rPr>
            </w:pPr>
            <w:r w:rsidRPr="004F2DC4">
              <w:rPr>
                <w:rFonts w:ascii="Times New Roman" w:eastAsia="Calibri" w:hAnsi="Times New Roman" w:cs="Times New Roman"/>
                <w:sz w:val="16"/>
                <w:szCs w:val="24"/>
              </w:rPr>
              <w:t xml:space="preserve">Telephone:  </w:t>
            </w:r>
            <w:r w:rsidRPr="004F2DC4">
              <w:rPr>
                <w:rFonts w:ascii="Times New Roman" w:eastAsia="Calibri" w:hAnsi="Times New Roman" w:cs="Times New Roman"/>
                <w:sz w:val="16"/>
                <w:szCs w:val="24"/>
              </w:rPr>
              <w:tab/>
              <w:t>(323) 267-2101</w:t>
            </w:r>
          </w:p>
          <w:p w14:paraId="2EE0121E" w14:textId="77777777" w:rsidR="004F2DC4" w:rsidRPr="004F2DC4" w:rsidRDefault="004F2DC4" w:rsidP="00F0198D">
            <w:pPr>
              <w:tabs>
                <w:tab w:val="left" w:pos="972"/>
                <w:tab w:val="left" w:pos="5580"/>
              </w:tabs>
              <w:spacing w:after="0" w:line="240" w:lineRule="auto"/>
              <w:ind w:right="72"/>
              <w:rPr>
                <w:rFonts w:ascii="Times New Roman" w:eastAsia="Calibri" w:hAnsi="Times New Roman" w:cs="Times New Roman"/>
                <w:sz w:val="16"/>
                <w:szCs w:val="24"/>
              </w:rPr>
            </w:pPr>
            <w:r w:rsidRPr="004F2DC4">
              <w:rPr>
                <w:rFonts w:ascii="Times New Roman" w:eastAsia="Calibri" w:hAnsi="Times New Roman" w:cs="Times New Roman"/>
                <w:sz w:val="16"/>
                <w:szCs w:val="24"/>
              </w:rPr>
              <w:t>FAX:</w:t>
            </w:r>
            <w:r w:rsidRPr="004F2DC4">
              <w:rPr>
                <w:rFonts w:ascii="Times New Roman" w:eastAsia="Calibri" w:hAnsi="Times New Roman" w:cs="Times New Roman"/>
                <w:sz w:val="16"/>
                <w:szCs w:val="24"/>
              </w:rPr>
              <w:tab/>
              <w:t>(323) 264-7135</w:t>
            </w:r>
          </w:p>
          <w:p w14:paraId="6523E4D5" w14:textId="77777777" w:rsidR="004F2DC4" w:rsidRPr="004F2DC4" w:rsidRDefault="004F2DC4" w:rsidP="00F0198D">
            <w:pPr>
              <w:tabs>
                <w:tab w:val="left" w:pos="972"/>
                <w:tab w:val="left" w:pos="5580"/>
              </w:tabs>
              <w:spacing w:after="0" w:line="240" w:lineRule="auto"/>
              <w:ind w:right="72"/>
              <w:rPr>
                <w:rFonts w:ascii="Times New Roman" w:eastAsia="Calibri" w:hAnsi="Times New Roman" w:cs="Times New Roman"/>
                <w:sz w:val="16"/>
                <w:szCs w:val="24"/>
              </w:rPr>
            </w:pPr>
          </w:p>
        </w:tc>
      </w:tr>
    </w:tbl>
    <w:p w14:paraId="291DB135" w14:textId="77777777" w:rsidR="00F0198D" w:rsidRDefault="00F0198D" w:rsidP="00F6323D">
      <w:pPr>
        <w:spacing w:line="240" w:lineRule="auto"/>
        <w:rPr>
          <w:rFonts w:ascii="Times New Roman" w:hAnsi="Times New Roman" w:cs="Times New Roman"/>
          <w:sz w:val="24"/>
          <w:szCs w:val="24"/>
        </w:rPr>
      </w:pPr>
    </w:p>
    <w:p w14:paraId="732416F7" w14:textId="43FE157E" w:rsidR="00652EC1" w:rsidRPr="00642BC0" w:rsidRDefault="004C56F8" w:rsidP="00F6323D">
      <w:pPr>
        <w:spacing w:line="240" w:lineRule="auto"/>
        <w:rPr>
          <w:rFonts w:ascii="Arial" w:hAnsi="Arial" w:cs="Arial"/>
          <w:szCs w:val="24"/>
        </w:rPr>
      </w:pPr>
      <w:r>
        <w:rPr>
          <w:rFonts w:ascii="Arial" w:hAnsi="Arial" w:cs="Arial"/>
          <w:szCs w:val="24"/>
        </w:rPr>
        <w:t>September 04</w:t>
      </w:r>
      <w:r w:rsidR="00652EC1" w:rsidRPr="00642BC0">
        <w:rPr>
          <w:rFonts w:ascii="Arial" w:hAnsi="Arial" w:cs="Arial"/>
          <w:szCs w:val="24"/>
        </w:rPr>
        <w:t>, 201</w:t>
      </w:r>
      <w:r>
        <w:rPr>
          <w:rFonts w:ascii="Arial" w:hAnsi="Arial" w:cs="Arial"/>
          <w:szCs w:val="24"/>
        </w:rPr>
        <w:t>8</w:t>
      </w:r>
    </w:p>
    <w:p w14:paraId="4A920455" w14:textId="77777777" w:rsidR="004F2DC4" w:rsidRPr="004F2DC4" w:rsidRDefault="004F2DC4" w:rsidP="00F6323D">
      <w:pPr>
        <w:spacing w:line="240" w:lineRule="auto"/>
        <w:rPr>
          <w:rFonts w:ascii="Times New Roman" w:hAnsi="Times New Roman" w:cs="Times New Roman"/>
          <w:sz w:val="24"/>
          <w:szCs w:val="24"/>
        </w:rPr>
      </w:pPr>
    </w:p>
    <w:p w14:paraId="5EBCFB6E" w14:textId="4CC357D9" w:rsidR="008005CC" w:rsidRPr="00C27D51" w:rsidRDefault="008005CC" w:rsidP="00C27D51">
      <w:pPr>
        <w:spacing w:after="0" w:line="240" w:lineRule="auto"/>
        <w:rPr>
          <w:rFonts w:ascii="Arial" w:hAnsi="Arial" w:cs="Arial"/>
          <w:sz w:val="24"/>
          <w:szCs w:val="24"/>
        </w:rPr>
      </w:pPr>
      <w:r w:rsidRPr="00C27D51">
        <w:rPr>
          <w:rFonts w:ascii="Arial" w:hAnsi="Arial" w:cs="Arial"/>
          <w:b/>
          <w:sz w:val="24"/>
          <w:szCs w:val="24"/>
        </w:rPr>
        <w:t xml:space="preserve">Advice No. </w:t>
      </w:r>
      <w:r w:rsidR="00C45164" w:rsidRPr="00C27D51">
        <w:rPr>
          <w:rFonts w:ascii="Arial" w:hAnsi="Arial" w:cs="Arial"/>
          <w:b/>
          <w:sz w:val="24"/>
          <w:szCs w:val="24"/>
        </w:rPr>
        <w:t>#</w:t>
      </w:r>
      <w:r w:rsidR="004C56F8">
        <w:rPr>
          <w:rFonts w:ascii="Arial" w:hAnsi="Arial" w:cs="Arial"/>
          <w:b/>
          <w:sz w:val="24"/>
          <w:szCs w:val="24"/>
        </w:rPr>
        <w:t>8</w:t>
      </w:r>
      <w:r w:rsidR="0060366C">
        <w:rPr>
          <w:rFonts w:ascii="Arial" w:hAnsi="Arial" w:cs="Arial"/>
          <w:b/>
          <w:sz w:val="24"/>
          <w:szCs w:val="24"/>
        </w:rPr>
        <w:t>-</w:t>
      </w:r>
      <w:r w:rsidR="00642BC0">
        <w:rPr>
          <w:rFonts w:ascii="Arial" w:hAnsi="Arial" w:cs="Arial"/>
          <w:b/>
          <w:sz w:val="24"/>
          <w:szCs w:val="24"/>
        </w:rPr>
        <w:t>E-G</w:t>
      </w:r>
    </w:p>
    <w:p w14:paraId="1306A0E7" w14:textId="77777777" w:rsidR="00F6323D" w:rsidRPr="00C27D51" w:rsidRDefault="008005CC" w:rsidP="00C27D51">
      <w:pPr>
        <w:spacing w:after="0" w:line="240" w:lineRule="auto"/>
        <w:rPr>
          <w:rFonts w:ascii="Arial" w:hAnsi="Arial" w:cs="Arial"/>
          <w:sz w:val="24"/>
          <w:szCs w:val="24"/>
        </w:rPr>
      </w:pPr>
      <w:r w:rsidRPr="00C27D51">
        <w:rPr>
          <w:rFonts w:ascii="Arial" w:hAnsi="Arial" w:cs="Arial"/>
          <w:sz w:val="24"/>
          <w:szCs w:val="24"/>
        </w:rPr>
        <w:t>(</w:t>
      </w:r>
      <w:r w:rsidR="00F6323D" w:rsidRPr="00C27D51">
        <w:rPr>
          <w:rFonts w:ascii="Arial" w:hAnsi="Arial" w:cs="Arial"/>
          <w:sz w:val="24"/>
          <w:szCs w:val="24"/>
        </w:rPr>
        <w:t>CPUC Identification #</w:t>
      </w:r>
      <w:r w:rsidR="005F0005" w:rsidRPr="00C27D51">
        <w:rPr>
          <w:rFonts w:ascii="Arial" w:hAnsi="Arial" w:cs="Arial"/>
          <w:sz w:val="24"/>
          <w:szCs w:val="24"/>
        </w:rPr>
        <w:t>940</w:t>
      </w:r>
      <w:r w:rsidR="00F6323D" w:rsidRPr="00C27D51">
        <w:rPr>
          <w:rFonts w:ascii="Arial" w:hAnsi="Arial" w:cs="Arial"/>
          <w:sz w:val="24"/>
          <w:szCs w:val="24"/>
        </w:rPr>
        <w:t>)</w:t>
      </w:r>
    </w:p>
    <w:p w14:paraId="00576DA7" w14:textId="77777777" w:rsidR="008005CC" w:rsidRDefault="008005CC" w:rsidP="00C27D51">
      <w:pPr>
        <w:spacing w:after="0" w:line="240" w:lineRule="auto"/>
        <w:rPr>
          <w:rFonts w:ascii="Times New Roman" w:hAnsi="Times New Roman" w:cs="Times New Roman"/>
          <w:sz w:val="24"/>
          <w:szCs w:val="24"/>
        </w:rPr>
      </w:pPr>
    </w:p>
    <w:p w14:paraId="351647D5" w14:textId="77777777" w:rsidR="008005CC" w:rsidRPr="00C27D51" w:rsidRDefault="008005CC" w:rsidP="00C27D51">
      <w:pPr>
        <w:spacing w:line="240" w:lineRule="auto"/>
        <w:ind w:left="1440" w:hanging="1440"/>
        <w:rPr>
          <w:rFonts w:ascii="Arial" w:hAnsi="Arial" w:cs="Arial"/>
          <w:sz w:val="24"/>
          <w:szCs w:val="24"/>
        </w:rPr>
      </w:pPr>
      <w:r w:rsidRPr="00C27D51">
        <w:rPr>
          <w:rFonts w:ascii="Arial" w:hAnsi="Arial" w:cs="Arial"/>
          <w:sz w:val="24"/>
          <w:szCs w:val="24"/>
        </w:rPr>
        <w:t>Public Utilities Commission of the State of California</w:t>
      </w:r>
    </w:p>
    <w:p w14:paraId="32CE77A5" w14:textId="77777777" w:rsidR="008005CC" w:rsidRPr="004F2DC4" w:rsidRDefault="008005CC" w:rsidP="00C27D51">
      <w:pPr>
        <w:spacing w:after="0" w:line="240" w:lineRule="auto"/>
        <w:rPr>
          <w:rFonts w:ascii="Times New Roman" w:hAnsi="Times New Roman" w:cs="Times New Roman"/>
          <w:b/>
          <w:sz w:val="24"/>
          <w:szCs w:val="24"/>
        </w:rPr>
      </w:pPr>
    </w:p>
    <w:p w14:paraId="35D0BED2" w14:textId="1B8954A9" w:rsidR="00F6323D" w:rsidRPr="005500E7" w:rsidRDefault="00F6323D" w:rsidP="00F6323D">
      <w:pPr>
        <w:spacing w:line="240" w:lineRule="auto"/>
        <w:ind w:left="1440" w:hanging="1440"/>
        <w:rPr>
          <w:rFonts w:ascii="Arial" w:hAnsi="Arial" w:cs="Arial"/>
          <w:b/>
          <w:sz w:val="24"/>
          <w:szCs w:val="24"/>
        </w:rPr>
      </w:pPr>
      <w:r w:rsidRPr="00C27D51">
        <w:rPr>
          <w:rFonts w:ascii="Arial" w:hAnsi="Arial" w:cs="Arial"/>
          <w:b/>
          <w:sz w:val="24"/>
          <w:szCs w:val="24"/>
        </w:rPr>
        <w:t>SUBJECT:</w:t>
      </w:r>
      <w:r w:rsidRPr="00C27D51">
        <w:rPr>
          <w:rFonts w:ascii="Arial" w:hAnsi="Arial" w:cs="Arial"/>
          <w:b/>
          <w:sz w:val="24"/>
          <w:szCs w:val="24"/>
        </w:rPr>
        <w:tab/>
      </w:r>
      <w:r w:rsidR="00C45164" w:rsidRPr="00C27D51">
        <w:rPr>
          <w:rFonts w:ascii="Arial" w:hAnsi="Arial" w:cs="Arial"/>
          <w:b/>
          <w:sz w:val="24"/>
          <w:szCs w:val="24"/>
        </w:rPr>
        <w:t>COMPLIANCE FILING REGARDING</w:t>
      </w:r>
      <w:r w:rsidR="00AC3ED5" w:rsidRPr="00C27D51">
        <w:rPr>
          <w:rFonts w:ascii="Arial" w:hAnsi="Arial" w:cs="Arial"/>
          <w:b/>
          <w:sz w:val="24"/>
          <w:szCs w:val="24"/>
        </w:rPr>
        <w:t xml:space="preserve"> SOUTHERN CALIFOR</w:t>
      </w:r>
      <w:r w:rsidR="00762B71" w:rsidRPr="00C27D51">
        <w:rPr>
          <w:rFonts w:ascii="Arial" w:hAnsi="Arial" w:cs="Arial"/>
          <w:b/>
          <w:sz w:val="24"/>
          <w:szCs w:val="24"/>
        </w:rPr>
        <w:t xml:space="preserve">NIA REGIONAL ENERGY </w:t>
      </w:r>
      <w:r w:rsidR="00762B71" w:rsidRPr="005500E7">
        <w:rPr>
          <w:rFonts w:ascii="Arial" w:hAnsi="Arial" w:cs="Arial"/>
          <w:b/>
          <w:sz w:val="24"/>
          <w:szCs w:val="24"/>
        </w:rPr>
        <w:t xml:space="preserve">NETWORK </w:t>
      </w:r>
      <w:r w:rsidR="00762B71" w:rsidRPr="00CF6859">
        <w:rPr>
          <w:rFonts w:ascii="Arial" w:hAnsi="Arial" w:cs="Arial"/>
          <w:b/>
          <w:sz w:val="24"/>
          <w:szCs w:val="24"/>
        </w:rPr>
        <w:t>201</w:t>
      </w:r>
      <w:r w:rsidR="004C56F8">
        <w:rPr>
          <w:rFonts w:ascii="Arial" w:hAnsi="Arial" w:cs="Arial"/>
          <w:b/>
          <w:sz w:val="24"/>
          <w:szCs w:val="24"/>
        </w:rPr>
        <w:t>9</w:t>
      </w:r>
      <w:r w:rsidR="00AC3ED5" w:rsidRPr="005500E7">
        <w:rPr>
          <w:rFonts w:ascii="Arial" w:hAnsi="Arial" w:cs="Arial"/>
          <w:b/>
          <w:sz w:val="24"/>
          <w:szCs w:val="24"/>
        </w:rPr>
        <w:t xml:space="preserve"> ENERGY EFFICIENCY PROGRAM PORTFOLIO CHANGES AND FUNDING REQUEST </w:t>
      </w:r>
    </w:p>
    <w:p w14:paraId="24355BE0" w14:textId="77777777" w:rsidR="00EA463A" w:rsidRPr="005500E7" w:rsidRDefault="00EA463A" w:rsidP="00F6323D">
      <w:pPr>
        <w:spacing w:line="240" w:lineRule="auto"/>
        <w:ind w:left="1440" w:hanging="1440"/>
        <w:rPr>
          <w:rFonts w:ascii="Times New Roman" w:hAnsi="Times New Roman" w:cs="Times New Roman"/>
          <w:b/>
          <w:sz w:val="24"/>
          <w:szCs w:val="24"/>
        </w:rPr>
      </w:pPr>
    </w:p>
    <w:p w14:paraId="2E127532" w14:textId="77777777" w:rsidR="00F6323D" w:rsidRPr="005500E7" w:rsidRDefault="002E44C2" w:rsidP="00C27D51">
      <w:pPr>
        <w:pStyle w:val="Heading1"/>
        <w:keepNext w:val="0"/>
        <w:keepLines w:val="0"/>
        <w:spacing w:before="0" w:after="60" w:line="240" w:lineRule="auto"/>
        <w:rPr>
          <w:rFonts w:ascii="Arial" w:hAnsi="Arial" w:cs="Arial"/>
          <w:color w:val="auto"/>
          <w:sz w:val="24"/>
          <w:szCs w:val="24"/>
          <w:u w:val="single"/>
        </w:rPr>
      </w:pPr>
      <w:r w:rsidRPr="005500E7">
        <w:rPr>
          <w:rFonts w:ascii="Arial" w:hAnsi="Arial" w:cs="Arial"/>
          <w:color w:val="auto"/>
          <w:sz w:val="24"/>
          <w:szCs w:val="24"/>
          <w:u w:val="single"/>
        </w:rPr>
        <w:t>Purpose</w:t>
      </w:r>
    </w:p>
    <w:p w14:paraId="1526CA52" w14:textId="6488AE7A" w:rsidR="00F22AAA" w:rsidRDefault="00EE4899" w:rsidP="008A442C">
      <w:pPr>
        <w:spacing w:line="360" w:lineRule="auto"/>
        <w:rPr>
          <w:rFonts w:ascii="Arial" w:hAnsi="Arial" w:cs="Arial"/>
          <w:szCs w:val="24"/>
        </w:rPr>
      </w:pPr>
      <w:r w:rsidRPr="005500E7">
        <w:rPr>
          <w:rFonts w:ascii="Arial" w:hAnsi="Arial" w:cs="Arial"/>
          <w:szCs w:val="24"/>
        </w:rPr>
        <w:t xml:space="preserve">The Southern California Regional Energy Network (SoCalREN) </w:t>
      </w:r>
      <w:r w:rsidR="00A14F29" w:rsidRPr="005500E7">
        <w:rPr>
          <w:rFonts w:ascii="Arial" w:hAnsi="Arial" w:cs="Arial"/>
          <w:szCs w:val="24"/>
        </w:rPr>
        <w:t xml:space="preserve">submits </w:t>
      </w:r>
      <w:r w:rsidR="00095996">
        <w:rPr>
          <w:rFonts w:ascii="Arial" w:hAnsi="Arial" w:cs="Arial"/>
          <w:szCs w:val="24"/>
        </w:rPr>
        <w:t xml:space="preserve">this Advice Letter </w:t>
      </w:r>
      <w:r w:rsidR="00A14F29" w:rsidRPr="005500E7">
        <w:rPr>
          <w:rFonts w:ascii="Arial" w:hAnsi="Arial" w:cs="Arial"/>
          <w:szCs w:val="24"/>
        </w:rPr>
        <w:t>to the</w:t>
      </w:r>
      <w:r w:rsidRPr="005500E7">
        <w:rPr>
          <w:rFonts w:ascii="Arial" w:hAnsi="Arial" w:cs="Arial"/>
          <w:szCs w:val="24"/>
        </w:rPr>
        <w:t xml:space="preserve"> California Public Utilities Commission (</w:t>
      </w:r>
      <w:r w:rsidR="00CE4E99" w:rsidRPr="005500E7">
        <w:rPr>
          <w:rFonts w:ascii="Arial" w:hAnsi="Arial" w:cs="Arial"/>
          <w:szCs w:val="24"/>
        </w:rPr>
        <w:t>Commission</w:t>
      </w:r>
      <w:r w:rsidRPr="005500E7">
        <w:rPr>
          <w:rFonts w:ascii="Arial" w:hAnsi="Arial" w:cs="Arial"/>
          <w:szCs w:val="24"/>
        </w:rPr>
        <w:t>)</w:t>
      </w:r>
      <w:r w:rsidR="00095996">
        <w:rPr>
          <w:rFonts w:ascii="Arial" w:hAnsi="Arial" w:cs="Arial"/>
          <w:szCs w:val="24"/>
        </w:rPr>
        <w:t xml:space="preserve">, </w:t>
      </w:r>
      <w:r w:rsidR="00C45164" w:rsidRPr="005500E7">
        <w:rPr>
          <w:rFonts w:ascii="Arial" w:hAnsi="Arial" w:cs="Arial"/>
          <w:szCs w:val="24"/>
        </w:rPr>
        <w:t xml:space="preserve">in compliance with </w:t>
      </w:r>
      <w:r w:rsidR="00847AAD" w:rsidRPr="005500E7">
        <w:rPr>
          <w:rFonts w:ascii="Arial" w:hAnsi="Arial" w:cs="Arial"/>
          <w:szCs w:val="24"/>
        </w:rPr>
        <w:t>Ordering Paragraph</w:t>
      </w:r>
      <w:r w:rsidR="004C56F8">
        <w:rPr>
          <w:rFonts w:ascii="Arial" w:hAnsi="Arial" w:cs="Arial"/>
          <w:szCs w:val="24"/>
        </w:rPr>
        <w:t xml:space="preserve"> [x]</w:t>
      </w:r>
      <w:r w:rsidR="00C763BF" w:rsidRPr="005500E7">
        <w:rPr>
          <w:rFonts w:ascii="Arial" w:hAnsi="Arial" w:cs="Arial"/>
          <w:szCs w:val="24"/>
        </w:rPr>
        <w:t xml:space="preserve"> </w:t>
      </w:r>
      <w:r w:rsidR="00847AAD" w:rsidRPr="005500E7">
        <w:rPr>
          <w:rFonts w:ascii="Arial" w:hAnsi="Arial" w:cs="Arial"/>
          <w:szCs w:val="24"/>
        </w:rPr>
        <w:t xml:space="preserve">of </w:t>
      </w:r>
      <w:r w:rsidR="00C11D7D" w:rsidRPr="005500E7">
        <w:rPr>
          <w:rFonts w:ascii="Arial" w:hAnsi="Arial" w:cs="Arial"/>
          <w:szCs w:val="24"/>
        </w:rPr>
        <w:t>Decision</w:t>
      </w:r>
      <w:r w:rsidR="00A14F29" w:rsidRPr="005500E7">
        <w:rPr>
          <w:rFonts w:ascii="Arial" w:hAnsi="Arial" w:cs="Arial"/>
          <w:szCs w:val="24"/>
        </w:rPr>
        <w:t xml:space="preserve"> (D.)</w:t>
      </w:r>
      <w:r w:rsidR="00C11D7D" w:rsidRPr="005500E7">
        <w:rPr>
          <w:rFonts w:ascii="Arial" w:hAnsi="Arial" w:cs="Arial"/>
          <w:szCs w:val="24"/>
        </w:rPr>
        <w:t xml:space="preserve"> 1</w:t>
      </w:r>
      <w:r w:rsidR="004C56F8">
        <w:rPr>
          <w:rFonts w:ascii="Arial" w:hAnsi="Arial" w:cs="Arial"/>
          <w:szCs w:val="24"/>
        </w:rPr>
        <w:t xml:space="preserve">8-15-041. </w:t>
      </w:r>
      <w:r w:rsidR="00C45164" w:rsidRPr="005500E7">
        <w:rPr>
          <w:rFonts w:ascii="Arial" w:hAnsi="Arial" w:cs="Arial"/>
          <w:szCs w:val="24"/>
        </w:rPr>
        <w:t xml:space="preserve">This </w:t>
      </w:r>
      <w:r w:rsidR="008005CC" w:rsidRPr="005500E7">
        <w:rPr>
          <w:rFonts w:ascii="Arial" w:hAnsi="Arial" w:cs="Arial"/>
          <w:szCs w:val="24"/>
        </w:rPr>
        <w:t>A</w:t>
      </w:r>
      <w:r w:rsidR="00CE4E99" w:rsidRPr="005500E7">
        <w:rPr>
          <w:rFonts w:ascii="Arial" w:hAnsi="Arial" w:cs="Arial"/>
          <w:szCs w:val="24"/>
        </w:rPr>
        <w:t xml:space="preserve">dvice </w:t>
      </w:r>
      <w:r w:rsidR="008005CC" w:rsidRPr="005500E7">
        <w:rPr>
          <w:rFonts w:ascii="Arial" w:hAnsi="Arial" w:cs="Arial"/>
          <w:szCs w:val="24"/>
        </w:rPr>
        <w:t>L</w:t>
      </w:r>
      <w:r w:rsidR="00CE4E99" w:rsidRPr="005500E7">
        <w:rPr>
          <w:rFonts w:ascii="Arial" w:hAnsi="Arial" w:cs="Arial"/>
          <w:szCs w:val="24"/>
        </w:rPr>
        <w:t>etter</w:t>
      </w:r>
      <w:r w:rsidR="00B74084">
        <w:rPr>
          <w:rFonts w:ascii="Arial" w:hAnsi="Arial" w:cs="Arial"/>
          <w:szCs w:val="24"/>
        </w:rPr>
        <w:t xml:space="preserve"> </w:t>
      </w:r>
      <w:r w:rsidR="00C45164" w:rsidRPr="005500E7">
        <w:rPr>
          <w:rFonts w:ascii="Arial" w:hAnsi="Arial" w:cs="Arial"/>
          <w:szCs w:val="24"/>
        </w:rPr>
        <w:t>provides budget</w:t>
      </w:r>
      <w:r w:rsidR="00A14F29" w:rsidRPr="005500E7">
        <w:rPr>
          <w:rFonts w:ascii="Arial" w:hAnsi="Arial" w:cs="Arial"/>
          <w:szCs w:val="24"/>
        </w:rPr>
        <w:t>,</w:t>
      </w:r>
      <w:r w:rsidR="00F577E8" w:rsidRPr="005500E7">
        <w:rPr>
          <w:rFonts w:ascii="Arial" w:hAnsi="Arial" w:cs="Arial"/>
          <w:szCs w:val="24"/>
        </w:rPr>
        <w:t xml:space="preserve"> </w:t>
      </w:r>
      <w:r w:rsidR="009440AA" w:rsidRPr="005500E7">
        <w:rPr>
          <w:rFonts w:ascii="Arial" w:hAnsi="Arial" w:cs="Arial"/>
          <w:szCs w:val="24"/>
        </w:rPr>
        <w:t xml:space="preserve">programmatic adjustments </w:t>
      </w:r>
      <w:r w:rsidR="006348A8" w:rsidRPr="005500E7">
        <w:rPr>
          <w:rFonts w:ascii="Arial" w:hAnsi="Arial" w:cs="Arial"/>
          <w:szCs w:val="24"/>
        </w:rPr>
        <w:t>and</w:t>
      </w:r>
      <w:r w:rsidR="00C45164" w:rsidRPr="005500E7">
        <w:rPr>
          <w:rFonts w:ascii="Arial" w:hAnsi="Arial" w:cs="Arial"/>
          <w:szCs w:val="24"/>
        </w:rPr>
        <w:t xml:space="preserve"> </w:t>
      </w:r>
      <w:r w:rsidR="009440AA" w:rsidRPr="005500E7">
        <w:rPr>
          <w:rFonts w:ascii="Arial" w:hAnsi="Arial" w:cs="Arial"/>
          <w:szCs w:val="24"/>
        </w:rPr>
        <w:t xml:space="preserve">updated </w:t>
      </w:r>
      <w:r w:rsidR="00C45164" w:rsidRPr="005500E7">
        <w:rPr>
          <w:rFonts w:ascii="Arial" w:hAnsi="Arial" w:cs="Arial"/>
          <w:szCs w:val="24"/>
        </w:rPr>
        <w:t>supporting documentation for energy efficiency programs</w:t>
      </w:r>
      <w:r w:rsidR="00762B71" w:rsidRPr="005500E7">
        <w:rPr>
          <w:rFonts w:ascii="Arial" w:hAnsi="Arial" w:cs="Arial"/>
          <w:szCs w:val="24"/>
        </w:rPr>
        <w:t xml:space="preserve"> the SoCalREN will offer in </w:t>
      </w:r>
      <w:r w:rsidR="00762B71" w:rsidRPr="00CF6859">
        <w:rPr>
          <w:rFonts w:ascii="Arial" w:hAnsi="Arial" w:cs="Arial"/>
          <w:szCs w:val="24"/>
        </w:rPr>
        <w:t>201</w:t>
      </w:r>
      <w:r w:rsidR="004C56F8">
        <w:rPr>
          <w:rFonts w:ascii="Arial" w:hAnsi="Arial" w:cs="Arial"/>
          <w:szCs w:val="24"/>
        </w:rPr>
        <w:t>9</w:t>
      </w:r>
      <w:r w:rsidR="00C45164" w:rsidRPr="005500E7">
        <w:rPr>
          <w:rFonts w:ascii="Arial" w:hAnsi="Arial" w:cs="Arial"/>
          <w:szCs w:val="24"/>
        </w:rPr>
        <w:t>.</w:t>
      </w:r>
    </w:p>
    <w:p w14:paraId="38025BD8" w14:textId="77777777" w:rsidR="00EF29BB" w:rsidRPr="00EF29BB" w:rsidRDefault="00EF29BB" w:rsidP="00EF29BB">
      <w:pPr>
        <w:pStyle w:val="NoSpacing"/>
        <w:rPr>
          <w:rFonts w:ascii="Arial" w:hAnsi="Arial" w:cs="Arial"/>
          <w:b/>
          <w:iCs/>
          <w:szCs w:val="24"/>
        </w:rPr>
      </w:pPr>
      <w:r>
        <w:rPr>
          <w:rFonts w:ascii="Arial" w:hAnsi="Arial" w:cs="Arial"/>
          <w:b/>
          <w:iCs/>
          <w:szCs w:val="24"/>
        </w:rPr>
        <w:t>[To</w:t>
      </w:r>
      <w:r w:rsidRPr="00EF29BB">
        <w:rPr>
          <w:rFonts w:ascii="Arial" w:hAnsi="Arial" w:cs="Arial"/>
          <w:b/>
          <w:iCs/>
          <w:szCs w:val="24"/>
        </w:rPr>
        <w:t xml:space="preserve"> be updated</w:t>
      </w:r>
      <w:r>
        <w:rPr>
          <w:rFonts w:ascii="Arial" w:hAnsi="Arial" w:cs="Arial"/>
          <w:b/>
          <w:iCs/>
          <w:szCs w:val="24"/>
        </w:rPr>
        <w:t xml:space="preserve"> by the 9/21 CAEECC Meeting</w:t>
      </w:r>
      <w:r w:rsidRPr="00EF29BB">
        <w:rPr>
          <w:rFonts w:ascii="Arial" w:hAnsi="Arial" w:cs="Arial"/>
          <w:b/>
          <w:iCs/>
          <w:szCs w:val="24"/>
        </w:rPr>
        <w:t>]</w:t>
      </w:r>
    </w:p>
    <w:p w14:paraId="4690B1D0" w14:textId="77777777" w:rsidR="00EF29BB" w:rsidRPr="005500E7" w:rsidRDefault="00EF29BB" w:rsidP="008A442C">
      <w:pPr>
        <w:spacing w:line="360" w:lineRule="auto"/>
        <w:rPr>
          <w:rFonts w:ascii="Arial" w:hAnsi="Arial" w:cs="Arial"/>
          <w:szCs w:val="24"/>
        </w:rPr>
      </w:pPr>
    </w:p>
    <w:p w14:paraId="0C2C6663" w14:textId="77777777" w:rsidR="00B10483" w:rsidRPr="005500E7" w:rsidRDefault="00B10483" w:rsidP="00C27D51">
      <w:pPr>
        <w:pStyle w:val="Heading1"/>
        <w:keepNext w:val="0"/>
        <w:keepLines w:val="0"/>
        <w:spacing w:before="0" w:after="60" w:line="240" w:lineRule="auto"/>
        <w:rPr>
          <w:rFonts w:ascii="Arial" w:hAnsi="Arial" w:cs="Arial"/>
          <w:color w:val="auto"/>
          <w:sz w:val="24"/>
          <w:szCs w:val="24"/>
          <w:u w:val="single"/>
        </w:rPr>
      </w:pPr>
      <w:r w:rsidRPr="005500E7">
        <w:rPr>
          <w:rFonts w:ascii="Arial" w:hAnsi="Arial" w:cs="Arial"/>
          <w:color w:val="auto"/>
          <w:sz w:val="24"/>
          <w:szCs w:val="24"/>
          <w:u w:val="single"/>
        </w:rPr>
        <w:t>Background</w:t>
      </w:r>
    </w:p>
    <w:p w14:paraId="1E609917" w14:textId="5F57E9F3" w:rsidR="00B10483" w:rsidRDefault="00C11D7D" w:rsidP="00C763BF">
      <w:pPr>
        <w:spacing w:line="360" w:lineRule="auto"/>
        <w:rPr>
          <w:rFonts w:ascii="Arial" w:hAnsi="Arial" w:cs="Arial"/>
          <w:szCs w:val="24"/>
        </w:rPr>
      </w:pPr>
      <w:r w:rsidRPr="005500E7">
        <w:rPr>
          <w:rFonts w:ascii="Arial" w:hAnsi="Arial" w:cs="Arial"/>
          <w:szCs w:val="24"/>
        </w:rPr>
        <w:t xml:space="preserve">The SoCalREN was authorized in 2012 by the Commission to harness the resources and unique capabilities of public agencies to deliver innovative and effective energy efficiency solutions. Programs successfully underway align with the recommended local government actions detailed in the Energy Efficiency Strategic Plan and are on track to achieve deep energy savings. The SoCalREN is building the capacity and expertise essential for public agencies to meet California’s energy goals. This Advice Letter details the SoCalREN program offerings </w:t>
      </w:r>
      <w:r w:rsidR="0005777E" w:rsidRPr="005500E7">
        <w:rPr>
          <w:rFonts w:ascii="Arial" w:hAnsi="Arial" w:cs="Arial"/>
          <w:szCs w:val="24"/>
        </w:rPr>
        <w:t xml:space="preserve">for </w:t>
      </w:r>
      <w:r w:rsidR="004C56F8">
        <w:rPr>
          <w:rFonts w:ascii="Arial" w:hAnsi="Arial" w:cs="Arial"/>
          <w:szCs w:val="24"/>
        </w:rPr>
        <w:t>2019</w:t>
      </w:r>
      <w:r w:rsidR="00761F0F">
        <w:rPr>
          <w:rFonts w:ascii="Arial" w:hAnsi="Arial" w:cs="Arial"/>
          <w:szCs w:val="24"/>
        </w:rPr>
        <w:t xml:space="preserve"> based</w:t>
      </w:r>
      <w:r w:rsidR="008A442C">
        <w:rPr>
          <w:rFonts w:ascii="Arial" w:hAnsi="Arial" w:cs="Arial"/>
          <w:szCs w:val="24"/>
        </w:rPr>
        <w:t xml:space="preserve">. </w:t>
      </w:r>
    </w:p>
    <w:p w14:paraId="1D0DC92A" w14:textId="77777777" w:rsidR="00EF29BB" w:rsidRPr="00EF29BB" w:rsidRDefault="00EF29BB" w:rsidP="00EF29BB">
      <w:pPr>
        <w:pStyle w:val="NoSpacing"/>
        <w:rPr>
          <w:rFonts w:ascii="Arial" w:hAnsi="Arial" w:cs="Arial"/>
          <w:b/>
          <w:iCs/>
          <w:szCs w:val="24"/>
        </w:rPr>
      </w:pPr>
      <w:r>
        <w:rPr>
          <w:rFonts w:ascii="Arial" w:hAnsi="Arial" w:cs="Arial"/>
          <w:b/>
          <w:iCs/>
          <w:szCs w:val="24"/>
        </w:rPr>
        <w:t>[To</w:t>
      </w:r>
      <w:r w:rsidRPr="00EF29BB">
        <w:rPr>
          <w:rFonts w:ascii="Arial" w:hAnsi="Arial" w:cs="Arial"/>
          <w:b/>
          <w:iCs/>
          <w:szCs w:val="24"/>
        </w:rPr>
        <w:t xml:space="preserve"> be updated</w:t>
      </w:r>
      <w:r>
        <w:rPr>
          <w:rFonts w:ascii="Arial" w:hAnsi="Arial" w:cs="Arial"/>
          <w:b/>
          <w:iCs/>
          <w:szCs w:val="24"/>
        </w:rPr>
        <w:t xml:space="preserve"> by the 9/21 CAEECC Meeting</w:t>
      </w:r>
      <w:r w:rsidRPr="00EF29BB">
        <w:rPr>
          <w:rFonts w:ascii="Arial" w:hAnsi="Arial" w:cs="Arial"/>
          <w:b/>
          <w:iCs/>
          <w:szCs w:val="24"/>
        </w:rPr>
        <w:t>]</w:t>
      </w:r>
    </w:p>
    <w:p w14:paraId="4AFE68F8" w14:textId="77777777" w:rsidR="00EF29BB" w:rsidRDefault="00EF29BB" w:rsidP="00C763BF">
      <w:pPr>
        <w:spacing w:line="360" w:lineRule="auto"/>
        <w:rPr>
          <w:rFonts w:ascii="Arial" w:hAnsi="Arial" w:cs="Arial"/>
          <w:szCs w:val="24"/>
        </w:rPr>
      </w:pPr>
    </w:p>
    <w:p w14:paraId="13792E1C" w14:textId="77777777" w:rsidR="004230E5" w:rsidRDefault="004230E5" w:rsidP="00C763BF">
      <w:pPr>
        <w:spacing w:line="360" w:lineRule="auto"/>
        <w:rPr>
          <w:rFonts w:ascii="Arial" w:hAnsi="Arial" w:cs="Arial"/>
          <w:szCs w:val="24"/>
        </w:rPr>
      </w:pPr>
    </w:p>
    <w:p w14:paraId="2AEA96DB" w14:textId="77777777" w:rsidR="004230E5" w:rsidRDefault="004230E5" w:rsidP="00C763BF">
      <w:pPr>
        <w:spacing w:line="360" w:lineRule="auto"/>
        <w:rPr>
          <w:rFonts w:ascii="Arial" w:hAnsi="Arial" w:cs="Arial"/>
          <w:szCs w:val="24"/>
        </w:rPr>
      </w:pPr>
    </w:p>
    <w:p w14:paraId="7ADDD8E0" w14:textId="77777777" w:rsidR="00B10483" w:rsidRPr="005500E7" w:rsidRDefault="002E44C2" w:rsidP="00C27D51">
      <w:pPr>
        <w:pStyle w:val="Heading1"/>
        <w:keepNext w:val="0"/>
        <w:keepLines w:val="0"/>
        <w:spacing w:before="0" w:after="60" w:line="240" w:lineRule="auto"/>
        <w:rPr>
          <w:rFonts w:ascii="Arial" w:hAnsi="Arial" w:cs="Arial"/>
          <w:color w:val="auto"/>
          <w:sz w:val="24"/>
          <w:szCs w:val="24"/>
          <w:u w:val="single"/>
        </w:rPr>
      </w:pPr>
      <w:r w:rsidRPr="00CF6859">
        <w:rPr>
          <w:rFonts w:ascii="Arial" w:hAnsi="Arial" w:cs="Arial"/>
          <w:color w:val="auto"/>
          <w:sz w:val="24"/>
          <w:szCs w:val="24"/>
          <w:u w:val="single"/>
        </w:rPr>
        <w:t>Discussion</w:t>
      </w:r>
    </w:p>
    <w:p w14:paraId="271832E4" w14:textId="7801B35E" w:rsidR="004230E5" w:rsidRDefault="00EF29BB" w:rsidP="00EF29BB">
      <w:pPr>
        <w:pStyle w:val="NoSpacing"/>
        <w:rPr>
          <w:rFonts w:ascii="Arial" w:hAnsi="Arial" w:cs="Arial"/>
          <w:b/>
          <w:iCs/>
          <w:szCs w:val="24"/>
        </w:rPr>
      </w:pPr>
      <w:r>
        <w:rPr>
          <w:rFonts w:ascii="Arial" w:hAnsi="Arial" w:cs="Arial"/>
          <w:b/>
          <w:iCs/>
          <w:szCs w:val="24"/>
        </w:rPr>
        <w:t>[To</w:t>
      </w:r>
      <w:r w:rsidRPr="00EF29BB">
        <w:rPr>
          <w:rFonts w:ascii="Arial" w:hAnsi="Arial" w:cs="Arial"/>
          <w:b/>
          <w:iCs/>
          <w:szCs w:val="24"/>
        </w:rPr>
        <w:t xml:space="preserve"> be updated</w:t>
      </w:r>
      <w:r>
        <w:rPr>
          <w:rFonts w:ascii="Arial" w:hAnsi="Arial" w:cs="Arial"/>
          <w:b/>
          <w:iCs/>
          <w:szCs w:val="24"/>
        </w:rPr>
        <w:t xml:space="preserve"> by the 9/21 CAEECC Meeting</w:t>
      </w:r>
      <w:r w:rsidRPr="00EF29BB">
        <w:rPr>
          <w:rFonts w:ascii="Arial" w:hAnsi="Arial" w:cs="Arial"/>
          <w:b/>
          <w:iCs/>
          <w:szCs w:val="24"/>
        </w:rPr>
        <w:t>]</w:t>
      </w:r>
    </w:p>
    <w:p w14:paraId="744B243E" w14:textId="77777777" w:rsidR="00EF29BB" w:rsidRPr="00EF29BB" w:rsidRDefault="00EF29BB" w:rsidP="00EF29BB">
      <w:pPr>
        <w:pStyle w:val="NoSpacing"/>
        <w:rPr>
          <w:rFonts w:ascii="Arial" w:hAnsi="Arial" w:cs="Arial"/>
          <w:b/>
          <w:iCs/>
          <w:szCs w:val="24"/>
        </w:rPr>
      </w:pPr>
    </w:p>
    <w:p w14:paraId="2BA6C214" w14:textId="0A31D736" w:rsidR="004230E5" w:rsidRPr="004230E5" w:rsidRDefault="004230E5" w:rsidP="004230E5">
      <w:pPr>
        <w:pStyle w:val="Heading1"/>
        <w:keepNext w:val="0"/>
        <w:keepLines w:val="0"/>
        <w:spacing w:before="0" w:after="60" w:line="240" w:lineRule="auto"/>
        <w:rPr>
          <w:rFonts w:ascii="Arial" w:hAnsi="Arial" w:cs="Arial"/>
          <w:color w:val="auto"/>
          <w:sz w:val="24"/>
          <w:szCs w:val="24"/>
          <w:u w:val="single"/>
        </w:rPr>
      </w:pPr>
      <w:r w:rsidRPr="00CF6859">
        <w:rPr>
          <w:rFonts w:ascii="Arial" w:hAnsi="Arial" w:cs="Arial"/>
          <w:color w:val="auto"/>
          <w:sz w:val="24"/>
          <w:szCs w:val="24"/>
          <w:u w:val="single"/>
        </w:rPr>
        <w:t>Funds Requested</w:t>
      </w:r>
    </w:p>
    <w:p w14:paraId="6D372052" w14:textId="77777777" w:rsidR="00EF29BB" w:rsidRPr="00EF29BB" w:rsidRDefault="00EF29BB" w:rsidP="00EF29BB">
      <w:pPr>
        <w:pStyle w:val="NoSpacing"/>
        <w:rPr>
          <w:rFonts w:ascii="Arial" w:hAnsi="Arial" w:cs="Arial"/>
          <w:i/>
          <w:iCs/>
          <w:szCs w:val="24"/>
        </w:rPr>
      </w:pPr>
      <w:r w:rsidRPr="00EF29BB">
        <w:rPr>
          <w:rFonts w:ascii="Arial" w:hAnsi="Arial" w:cs="Arial"/>
          <w:i/>
          <w:iCs/>
          <w:szCs w:val="24"/>
        </w:rPr>
        <w:t>[Values included table 4 reflect estimates as of 9/2, results may be updated by the 9/21 CAEECC Meeting]</w:t>
      </w:r>
    </w:p>
    <w:p w14:paraId="666525AC" w14:textId="77777777" w:rsidR="004230E5" w:rsidRDefault="004230E5" w:rsidP="005275A3">
      <w:pPr>
        <w:pStyle w:val="ListParagraph"/>
        <w:spacing w:line="360" w:lineRule="auto"/>
        <w:ind w:left="0"/>
        <w:rPr>
          <w:rFonts w:ascii="Arial" w:hAnsi="Arial" w:cs="Arial"/>
        </w:rPr>
      </w:pPr>
    </w:p>
    <w:p w14:paraId="51633750" w14:textId="06314107" w:rsidR="004230E5" w:rsidRPr="00797254" w:rsidRDefault="004230E5" w:rsidP="001B5865">
      <w:pPr>
        <w:pStyle w:val="ListParagraph"/>
        <w:numPr>
          <w:ilvl w:val="0"/>
          <w:numId w:val="1"/>
        </w:numPr>
        <w:spacing w:after="0" w:line="240" w:lineRule="auto"/>
        <w:jc w:val="both"/>
        <w:rPr>
          <w:rFonts w:ascii="Arial" w:hAnsi="Arial" w:cs="Arial"/>
          <w:szCs w:val="24"/>
          <w:u w:val="single"/>
        </w:rPr>
      </w:pPr>
      <w:r w:rsidRPr="00797254">
        <w:rPr>
          <w:rFonts w:ascii="Arial" w:hAnsi="Arial" w:cs="Arial"/>
          <w:b/>
          <w:szCs w:val="24"/>
          <w:u w:val="single"/>
        </w:rPr>
        <w:t xml:space="preserve">SoCalREN 2019 Budget Request </w:t>
      </w:r>
    </w:p>
    <w:p w14:paraId="3E3C5D06" w14:textId="65C4F00D" w:rsidR="005275A3" w:rsidRPr="00EF29BB" w:rsidRDefault="004230E5" w:rsidP="004230E5">
      <w:pPr>
        <w:jc w:val="both"/>
        <w:rPr>
          <w:rFonts w:ascii="Arial" w:hAnsi="Arial" w:cs="Arial"/>
          <w:szCs w:val="24"/>
        </w:rPr>
      </w:pPr>
      <w:r w:rsidRPr="00EF29BB">
        <w:rPr>
          <w:rFonts w:ascii="Arial" w:hAnsi="Arial" w:cs="Arial"/>
          <w:szCs w:val="24"/>
        </w:rPr>
        <w:t xml:space="preserve">SoCalREN requests a total portfolio and Evaluation, Measurement and Verification (“EM&amp;V”) budget of $20,740,920.  The budget breakdown is reflected in Table 1. </w:t>
      </w:r>
    </w:p>
    <w:p w14:paraId="4F3A00D5" w14:textId="7440E0EC" w:rsidR="004230E5" w:rsidRPr="00EF29BB" w:rsidRDefault="00EF29BB" w:rsidP="004230E5">
      <w:pPr>
        <w:jc w:val="both"/>
        <w:rPr>
          <w:rFonts w:ascii="Arial" w:hAnsi="Arial" w:cs="Arial"/>
          <w:b/>
          <w:sz w:val="24"/>
          <w:szCs w:val="24"/>
        </w:rPr>
      </w:pPr>
      <w:r w:rsidRPr="00EF29BB">
        <w:rPr>
          <w:rFonts w:ascii="Arial" w:hAnsi="Arial" w:cs="Arial"/>
          <w:b/>
          <w:sz w:val="24"/>
          <w:szCs w:val="24"/>
        </w:rPr>
        <w:t xml:space="preserve">Table 1. </w:t>
      </w:r>
      <w:r w:rsidR="004230E5" w:rsidRPr="00EF29BB">
        <w:rPr>
          <w:rFonts w:ascii="Arial" w:hAnsi="Arial" w:cs="Arial"/>
          <w:b/>
          <w:sz w:val="24"/>
          <w:szCs w:val="24"/>
        </w:rPr>
        <w:t>Proposed 2019 Annual Budget</w:t>
      </w:r>
    </w:p>
    <w:tbl>
      <w:tblPr>
        <w:tblStyle w:val="ListTable3-Accent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2340"/>
        <w:gridCol w:w="2430"/>
      </w:tblGrid>
      <w:tr w:rsidR="004230E5" w:rsidRPr="004230E5" w14:paraId="487C681B" w14:textId="77777777" w:rsidTr="004230E5">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405" w:type="dxa"/>
          </w:tcPr>
          <w:p w14:paraId="2CC9916A" w14:textId="79E61E3C" w:rsidR="004230E5" w:rsidRPr="004230E5" w:rsidRDefault="004230E5" w:rsidP="00265038">
            <w:pPr>
              <w:rPr>
                <w:rFonts w:ascii="Times New Roman" w:hAnsi="Times New Roman" w:cs="Times New Roman"/>
                <w:sz w:val="24"/>
                <w:szCs w:val="24"/>
              </w:rPr>
            </w:pPr>
            <w:r w:rsidRPr="004230E5">
              <w:rPr>
                <w:rFonts w:ascii="Times New Roman" w:hAnsi="Times New Roman" w:cs="Times New Roman"/>
                <w:sz w:val="24"/>
                <w:szCs w:val="24"/>
              </w:rPr>
              <w:t>Sector</w:t>
            </w:r>
          </w:p>
        </w:tc>
        <w:tc>
          <w:tcPr>
            <w:tcW w:w="2340" w:type="dxa"/>
          </w:tcPr>
          <w:p w14:paraId="4BDC4801" w14:textId="46C55B25" w:rsidR="004230E5" w:rsidRPr="004230E5" w:rsidRDefault="004230E5" w:rsidP="002650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2019 Authorized Budget</w:t>
            </w:r>
            <w:r w:rsidR="00797254">
              <w:rPr>
                <w:rStyle w:val="FootnoteReference"/>
                <w:rFonts w:ascii="Times New Roman" w:hAnsi="Times New Roman" w:cs="Times New Roman"/>
                <w:sz w:val="24"/>
                <w:szCs w:val="24"/>
              </w:rPr>
              <w:footnoteReference w:id="1"/>
            </w:r>
          </w:p>
        </w:tc>
        <w:tc>
          <w:tcPr>
            <w:tcW w:w="2430" w:type="dxa"/>
          </w:tcPr>
          <w:p w14:paraId="76A7A448" w14:textId="77777777" w:rsidR="004230E5" w:rsidRPr="004230E5" w:rsidRDefault="004230E5" w:rsidP="002650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2019</w:t>
            </w:r>
          </w:p>
          <w:p w14:paraId="5CC3268D" w14:textId="18564CE7" w:rsidR="004230E5" w:rsidRPr="004230E5" w:rsidRDefault="004230E5" w:rsidP="002650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Proposed Budget</w:t>
            </w:r>
          </w:p>
        </w:tc>
      </w:tr>
      <w:tr w:rsidR="004230E5" w:rsidRPr="004230E5" w14:paraId="2A01A95D" w14:textId="77777777" w:rsidTr="004230E5">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405" w:type="dxa"/>
          </w:tcPr>
          <w:p w14:paraId="67B2C027" w14:textId="0C22ED4B" w:rsidR="004230E5" w:rsidRPr="004230E5" w:rsidRDefault="004230E5" w:rsidP="004230E5">
            <w:pPr>
              <w:rPr>
                <w:rFonts w:ascii="Times New Roman" w:hAnsi="Times New Roman" w:cs="Times New Roman"/>
                <w:sz w:val="24"/>
                <w:szCs w:val="24"/>
              </w:rPr>
            </w:pPr>
            <w:r w:rsidRPr="004230E5">
              <w:rPr>
                <w:rFonts w:ascii="Times New Roman" w:hAnsi="Times New Roman" w:cs="Times New Roman"/>
                <w:sz w:val="24"/>
                <w:szCs w:val="24"/>
              </w:rPr>
              <w:t xml:space="preserve">A: Residential </w:t>
            </w:r>
          </w:p>
        </w:tc>
        <w:tc>
          <w:tcPr>
            <w:tcW w:w="2340" w:type="dxa"/>
          </w:tcPr>
          <w:p w14:paraId="4F828B08" w14:textId="473D7761" w:rsidR="004230E5" w:rsidRPr="004230E5" w:rsidRDefault="006C2BF6" w:rsidP="004230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$6,671,000</w:t>
            </w:r>
          </w:p>
        </w:tc>
        <w:tc>
          <w:tcPr>
            <w:tcW w:w="2430" w:type="dxa"/>
          </w:tcPr>
          <w:p w14:paraId="5E1C9D34" w14:textId="4F638A90" w:rsidR="004230E5" w:rsidRPr="004230E5" w:rsidRDefault="004230E5" w:rsidP="004230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w:t>
            </w:r>
            <w:r>
              <w:rPr>
                <w:rFonts w:ascii="Times New Roman" w:hAnsi="Times New Roman" w:cs="Times New Roman"/>
                <w:sz w:val="24"/>
                <w:szCs w:val="24"/>
              </w:rPr>
              <w:t>6,719,920</w:t>
            </w:r>
          </w:p>
        </w:tc>
      </w:tr>
      <w:tr w:rsidR="004230E5" w:rsidRPr="004230E5" w14:paraId="292BF829" w14:textId="77777777" w:rsidTr="004230E5">
        <w:trPr>
          <w:trHeight w:val="285"/>
        </w:trPr>
        <w:tc>
          <w:tcPr>
            <w:cnfStyle w:val="001000000000" w:firstRow="0" w:lastRow="0" w:firstColumn="1" w:lastColumn="0" w:oddVBand="0" w:evenVBand="0" w:oddHBand="0" w:evenHBand="0" w:firstRowFirstColumn="0" w:firstRowLastColumn="0" w:lastRowFirstColumn="0" w:lastRowLastColumn="0"/>
            <w:tcW w:w="4405" w:type="dxa"/>
          </w:tcPr>
          <w:p w14:paraId="1CCB2D94" w14:textId="3FADAFA6" w:rsidR="004230E5" w:rsidRPr="004230E5" w:rsidRDefault="004230E5" w:rsidP="004230E5">
            <w:pPr>
              <w:rPr>
                <w:rFonts w:ascii="Times New Roman" w:hAnsi="Times New Roman" w:cs="Times New Roman"/>
                <w:sz w:val="24"/>
                <w:szCs w:val="24"/>
              </w:rPr>
            </w:pPr>
            <w:r w:rsidRPr="004230E5">
              <w:rPr>
                <w:rFonts w:ascii="Times New Roman" w:hAnsi="Times New Roman" w:cs="Times New Roman"/>
                <w:sz w:val="24"/>
                <w:szCs w:val="24"/>
              </w:rPr>
              <w:t>B: Public Sector</w:t>
            </w:r>
          </w:p>
        </w:tc>
        <w:tc>
          <w:tcPr>
            <w:tcW w:w="2340" w:type="dxa"/>
          </w:tcPr>
          <w:p w14:paraId="39A0439C" w14:textId="1C19AC64" w:rsidR="004230E5" w:rsidRPr="004230E5" w:rsidRDefault="006C2BF6" w:rsidP="004230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$11,563,000</w:t>
            </w:r>
          </w:p>
        </w:tc>
        <w:tc>
          <w:tcPr>
            <w:tcW w:w="2430" w:type="dxa"/>
          </w:tcPr>
          <w:p w14:paraId="544E7E07" w14:textId="7D323278" w:rsidR="004230E5" w:rsidRPr="004230E5" w:rsidRDefault="004230E5" w:rsidP="004230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w:t>
            </w:r>
            <w:r>
              <w:rPr>
                <w:rFonts w:ascii="Times New Roman" w:hAnsi="Times New Roman" w:cs="Times New Roman"/>
                <w:sz w:val="24"/>
                <w:szCs w:val="24"/>
              </w:rPr>
              <w:t>11,500,000</w:t>
            </w:r>
            <w:r w:rsidRPr="004230E5">
              <w:rPr>
                <w:rFonts w:ascii="Times New Roman" w:hAnsi="Times New Roman" w:cs="Times New Roman"/>
                <w:sz w:val="24"/>
                <w:szCs w:val="24"/>
              </w:rPr>
              <w:t xml:space="preserve"> </w:t>
            </w:r>
          </w:p>
        </w:tc>
      </w:tr>
      <w:tr w:rsidR="004230E5" w:rsidRPr="004230E5" w14:paraId="03DDEA26" w14:textId="77777777" w:rsidTr="004230E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05" w:type="dxa"/>
          </w:tcPr>
          <w:p w14:paraId="16DBF671" w14:textId="053840DC" w:rsidR="004230E5" w:rsidRPr="004230E5" w:rsidRDefault="004230E5" w:rsidP="004230E5">
            <w:pPr>
              <w:rPr>
                <w:rFonts w:ascii="Times New Roman" w:hAnsi="Times New Roman" w:cs="Times New Roman"/>
                <w:sz w:val="24"/>
                <w:szCs w:val="24"/>
              </w:rPr>
            </w:pPr>
            <w:r w:rsidRPr="004230E5">
              <w:rPr>
                <w:rFonts w:ascii="Times New Roman" w:hAnsi="Times New Roman" w:cs="Times New Roman"/>
                <w:sz w:val="24"/>
                <w:szCs w:val="24"/>
              </w:rPr>
              <w:t>C: Financing</w:t>
            </w:r>
          </w:p>
        </w:tc>
        <w:tc>
          <w:tcPr>
            <w:tcW w:w="2340" w:type="dxa"/>
          </w:tcPr>
          <w:p w14:paraId="0F8A13B6" w14:textId="1FF73E3D" w:rsidR="004230E5" w:rsidRPr="004230E5" w:rsidRDefault="006C2BF6" w:rsidP="004230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$2,224,000</w:t>
            </w:r>
          </w:p>
        </w:tc>
        <w:tc>
          <w:tcPr>
            <w:tcW w:w="2430" w:type="dxa"/>
          </w:tcPr>
          <w:p w14:paraId="3F22EB9C" w14:textId="351396B0" w:rsidR="004230E5" w:rsidRPr="004230E5" w:rsidRDefault="004230E5" w:rsidP="004230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w:t>
            </w:r>
            <w:r>
              <w:rPr>
                <w:rFonts w:ascii="Times New Roman" w:hAnsi="Times New Roman" w:cs="Times New Roman"/>
                <w:sz w:val="24"/>
                <w:szCs w:val="24"/>
              </w:rPr>
              <w:t>2,237,000</w:t>
            </w:r>
          </w:p>
        </w:tc>
      </w:tr>
      <w:tr w:rsidR="004230E5" w:rsidRPr="004230E5" w14:paraId="65A8A15A" w14:textId="77777777" w:rsidTr="004230E5">
        <w:trPr>
          <w:trHeight w:val="269"/>
        </w:trPr>
        <w:tc>
          <w:tcPr>
            <w:cnfStyle w:val="001000000000" w:firstRow="0" w:lastRow="0" w:firstColumn="1" w:lastColumn="0" w:oddVBand="0" w:evenVBand="0" w:oddHBand="0" w:evenHBand="0" w:firstRowFirstColumn="0" w:firstRowLastColumn="0" w:lastRowFirstColumn="0" w:lastRowLastColumn="0"/>
            <w:tcW w:w="4405" w:type="dxa"/>
          </w:tcPr>
          <w:p w14:paraId="736C6C5F" w14:textId="7BADBE55" w:rsidR="004230E5" w:rsidRPr="004230E5" w:rsidRDefault="004230E5" w:rsidP="00F40F85">
            <w:pPr>
              <w:rPr>
                <w:rFonts w:ascii="Times New Roman" w:hAnsi="Times New Roman" w:cs="Times New Roman"/>
                <w:sz w:val="24"/>
                <w:szCs w:val="24"/>
              </w:rPr>
            </w:pPr>
            <w:r>
              <w:rPr>
                <w:rFonts w:ascii="Times New Roman" w:hAnsi="Times New Roman" w:cs="Times New Roman"/>
                <w:sz w:val="24"/>
                <w:szCs w:val="24"/>
              </w:rPr>
              <w:t>D: WE&amp;T</w:t>
            </w:r>
          </w:p>
        </w:tc>
        <w:tc>
          <w:tcPr>
            <w:tcW w:w="2340" w:type="dxa"/>
          </w:tcPr>
          <w:p w14:paraId="21867E09" w14:textId="537B6771" w:rsidR="004230E5" w:rsidRPr="004230E5" w:rsidRDefault="004230E5" w:rsidP="00F40F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w:t>
            </w:r>
            <w:r>
              <w:rPr>
                <w:rFonts w:ascii="Times New Roman" w:hAnsi="Times New Roman" w:cs="Times New Roman"/>
                <w:sz w:val="24"/>
                <w:szCs w:val="24"/>
              </w:rPr>
              <w:t>284,000</w:t>
            </w:r>
          </w:p>
        </w:tc>
        <w:tc>
          <w:tcPr>
            <w:tcW w:w="2430" w:type="dxa"/>
          </w:tcPr>
          <w:p w14:paraId="3F9DED1F" w14:textId="64233B05" w:rsidR="004230E5" w:rsidRPr="004230E5" w:rsidRDefault="004230E5" w:rsidP="00F40F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30E5">
              <w:rPr>
                <w:rFonts w:ascii="Times New Roman" w:hAnsi="Times New Roman" w:cs="Times New Roman"/>
                <w:sz w:val="24"/>
                <w:szCs w:val="24"/>
              </w:rPr>
              <w:t>$</w:t>
            </w:r>
            <w:r>
              <w:rPr>
                <w:rFonts w:ascii="Times New Roman" w:hAnsi="Times New Roman" w:cs="Times New Roman"/>
                <w:sz w:val="24"/>
                <w:szCs w:val="24"/>
              </w:rPr>
              <w:t>284,000</w:t>
            </w:r>
          </w:p>
        </w:tc>
      </w:tr>
      <w:tr w:rsidR="004230E5" w:rsidRPr="004230E5" w14:paraId="53B783B2" w14:textId="77777777" w:rsidTr="004230E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405" w:type="dxa"/>
          </w:tcPr>
          <w:p w14:paraId="73D56406" w14:textId="227C99DC" w:rsidR="004230E5" w:rsidRPr="004230E5" w:rsidRDefault="004230E5" w:rsidP="004230E5">
            <w:pPr>
              <w:jc w:val="right"/>
              <w:rPr>
                <w:rFonts w:ascii="Times New Roman" w:hAnsi="Times New Roman" w:cs="Times New Roman"/>
                <w:sz w:val="24"/>
                <w:szCs w:val="24"/>
              </w:rPr>
            </w:pPr>
            <w:r>
              <w:rPr>
                <w:rFonts w:ascii="Times New Roman" w:hAnsi="Times New Roman" w:cs="Times New Roman"/>
                <w:sz w:val="24"/>
                <w:szCs w:val="24"/>
              </w:rPr>
              <w:t>Sub Total</w:t>
            </w:r>
          </w:p>
        </w:tc>
        <w:tc>
          <w:tcPr>
            <w:tcW w:w="2340" w:type="dxa"/>
          </w:tcPr>
          <w:p w14:paraId="5C6B2447" w14:textId="7E591893" w:rsidR="004230E5" w:rsidRPr="004230E5" w:rsidRDefault="006C2BF6" w:rsidP="00F40F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20,742,000</w:t>
            </w:r>
          </w:p>
        </w:tc>
        <w:tc>
          <w:tcPr>
            <w:tcW w:w="2430" w:type="dxa"/>
          </w:tcPr>
          <w:p w14:paraId="155B996D" w14:textId="6F0E380A" w:rsidR="004230E5" w:rsidRPr="004230E5" w:rsidRDefault="004230E5" w:rsidP="00F40F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$20,740,920</w:t>
            </w:r>
          </w:p>
        </w:tc>
      </w:tr>
      <w:tr w:rsidR="004230E5" w:rsidRPr="004230E5" w14:paraId="4CBC04C3" w14:textId="77777777" w:rsidTr="00797254">
        <w:trPr>
          <w:trHeight w:val="269"/>
        </w:trPr>
        <w:tc>
          <w:tcPr>
            <w:cnfStyle w:val="001000000000" w:firstRow="0" w:lastRow="0" w:firstColumn="1" w:lastColumn="0" w:oddVBand="0" w:evenVBand="0" w:oddHBand="0" w:evenHBand="0" w:firstRowFirstColumn="0" w:firstRowLastColumn="0" w:lastRowFirstColumn="0" w:lastRowLastColumn="0"/>
            <w:tcW w:w="4405" w:type="dxa"/>
            <w:tcBorders>
              <w:bottom w:val="single" w:sz="4" w:space="0" w:color="auto"/>
            </w:tcBorders>
          </w:tcPr>
          <w:p w14:paraId="24633512" w14:textId="4F1BAAE8" w:rsidR="004230E5" w:rsidRPr="004230E5" w:rsidRDefault="004230E5" w:rsidP="00F40F85">
            <w:pPr>
              <w:rPr>
                <w:rFonts w:ascii="Times New Roman" w:hAnsi="Times New Roman" w:cs="Times New Roman"/>
                <w:sz w:val="24"/>
                <w:szCs w:val="24"/>
              </w:rPr>
            </w:pPr>
            <w:r>
              <w:rPr>
                <w:rFonts w:ascii="Times New Roman" w:hAnsi="Times New Roman" w:cs="Times New Roman"/>
                <w:sz w:val="24"/>
                <w:szCs w:val="24"/>
              </w:rPr>
              <w:t>EM&amp;V</w:t>
            </w:r>
            <w:r w:rsidR="00797254">
              <w:rPr>
                <w:rStyle w:val="FootnoteReference"/>
                <w:rFonts w:ascii="Times New Roman" w:hAnsi="Times New Roman" w:cs="Times New Roman"/>
                <w:sz w:val="24"/>
                <w:szCs w:val="24"/>
              </w:rPr>
              <w:footnoteReference w:id="2"/>
            </w:r>
          </w:p>
        </w:tc>
        <w:tc>
          <w:tcPr>
            <w:tcW w:w="2340" w:type="dxa"/>
            <w:tcBorders>
              <w:bottom w:val="single" w:sz="4" w:space="0" w:color="auto"/>
            </w:tcBorders>
          </w:tcPr>
          <w:p w14:paraId="0CF7A944" w14:textId="512337AC" w:rsidR="004230E5" w:rsidRPr="004230E5" w:rsidRDefault="00797254" w:rsidP="00F40F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2430" w:type="dxa"/>
            <w:tcBorders>
              <w:bottom w:val="single" w:sz="4" w:space="0" w:color="auto"/>
            </w:tcBorders>
          </w:tcPr>
          <w:p w14:paraId="14255240" w14:textId="7DB049DA" w:rsidR="004230E5" w:rsidRPr="004230E5" w:rsidRDefault="004230E5" w:rsidP="00F40F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$327,606</w:t>
            </w:r>
          </w:p>
        </w:tc>
      </w:tr>
      <w:tr w:rsidR="004230E5" w:rsidRPr="004230E5" w14:paraId="269607F3" w14:textId="77777777" w:rsidTr="0079725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auto"/>
              <w:bottom w:val="single" w:sz="4" w:space="0" w:color="auto"/>
            </w:tcBorders>
          </w:tcPr>
          <w:p w14:paraId="10D7E4DF" w14:textId="64BBADD9" w:rsidR="004230E5" w:rsidRDefault="004230E5" w:rsidP="004230E5">
            <w:pPr>
              <w:jc w:val="right"/>
              <w:rPr>
                <w:rFonts w:ascii="Times New Roman" w:hAnsi="Times New Roman" w:cs="Times New Roman"/>
                <w:sz w:val="24"/>
                <w:szCs w:val="24"/>
              </w:rPr>
            </w:pPr>
            <w:r>
              <w:rPr>
                <w:rFonts w:ascii="Times New Roman" w:hAnsi="Times New Roman" w:cs="Times New Roman"/>
                <w:sz w:val="24"/>
                <w:szCs w:val="24"/>
              </w:rPr>
              <w:t>Total</w:t>
            </w:r>
          </w:p>
        </w:tc>
        <w:tc>
          <w:tcPr>
            <w:tcW w:w="2340" w:type="dxa"/>
            <w:tcBorders>
              <w:top w:val="single" w:sz="4" w:space="0" w:color="auto"/>
              <w:bottom w:val="single" w:sz="4" w:space="0" w:color="auto"/>
            </w:tcBorders>
          </w:tcPr>
          <w:p w14:paraId="4573FD80" w14:textId="0DE97FBE" w:rsidR="004230E5" w:rsidRPr="004230E5" w:rsidRDefault="006C2BF6" w:rsidP="00F40F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20,742,000</w:t>
            </w:r>
          </w:p>
        </w:tc>
        <w:tc>
          <w:tcPr>
            <w:tcW w:w="2430" w:type="dxa"/>
            <w:tcBorders>
              <w:top w:val="single" w:sz="4" w:space="0" w:color="auto"/>
              <w:bottom w:val="single" w:sz="4" w:space="0" w:color="auto"/>
            </w:tcBorders>
          </w:tcPr>
          <w:p w14:paraId="0DD10413" w14:textId="39333CCD" w:rsidR="004230E5" w:rsidRPr="004230E5" w:rsidRDefault="004230E5" w:rsidP="00F40F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$21,068,526</w:t>
            </w:r>
          </w:p>
        </w:tc>
      </w:tr>
    </w:tbl>
    <w:p w14:paraId="1F4AD451" w14:textId="77777777" w:rsidR="00797254" w:rsidRDefault="00797254" w:rsidP="00797254">
      <w:pPr>
        <w:spacing w:after="0"/>
        <w:rPr>
          <w:rFonts w:ascii="Arial" w:hAnsi="Arial" w:cs="Arial"/>
          <w:sz w:val="24"/>
          <w:szCs w:val="24"/>
        </w:rPr>
      </w:pPr>
    </w:p>
    <w:p w14:paraId="14BFE76B" w14:textId="77777777" w:rsidR="00797254" w:rsidRPr="00C27D51" w:rsidRDefault="00797254" w:rsidP="00797254">
      <w:pPr>
        <w:pStyle w:val="Heading1"/>
        <w:keepNext w:val="0"/>
        <w:keepLines w:val="0"/>
        <w:spacing w:before="0" w:after="60" w:line="360" w:lineRule="auto"/>
        <w:rPr>
          <w:rFonts w:ascii="Arial" w:hAnsi="Arial" w:cs="Arial"/>
          <w:color w:val="auto"/>
          <w:sz w:val="24"/>
          <w:szCs w:val="24"/>
          <w:u w:val="single"/>
        </w:rPr>
      </w:pPr>
      <w:r>
        <w:rPr>
          <w:rFonts w:ascii="Arial" w:hAnsi="Arial" w:cs="Arial"/>
          <w:color w:val="auto"/>
          <w:sz w:val="24"/>
          <w:szCs w:val="24"/>
          <w:u w:val="single"/>
        </w:rPr>
        <w:t>Cost-Effectiveness</w:t>
      </w:r>
    </w:p>
    <w:p w14:paraId="211DABFF" w14:textId="7E5401B8" w:rsidR="00797254" w:rsidRPr="00EF29BB" w:rsidRDefault="00797254" w:rsidP="00797254">
      <w:pPr>
        <w:spacing w:after="0"/>
        <w:rPr>
          <w:rFonts w:ascii="Arial" w:hAnsi="Arial" w:cs="Arial"/>
          <w:szCs w:val="24"/>
        </w:rPr>
      </w:pPr>
      <w:r w:rsidRPr="00EF29BB">
        <w:rPr>
          <w:rFonts w:ascii="Arial" w:hAnsi="Arial" w:cs="Arial"/>
          <w:szCs w:val="24"/>
        </w:rPr>
        <w:t xml:space="preserve">[brief discussion on the cost effectiveness values provided. This section </w:t>
      </w:r>
      <w:r w:rsidR="00DF1F24" w:rsidRPr="00EF29BB">
        <w:rPr>
          <w:rFonts w:ascii="Arial" w:hAnsi="Arial" w:cs="Arial"/>
          <w:szCs w:val="24"/>
        </w:rPr>
        <w:t>will</w:t>
      </w:r>
      <w:r w:rsidRPr="00EF29BB">
        <w:rPr>
          <w:rFonts w:ascii="Arial" w:hAnsi="Arial" w:cs="Arial"/>
          <w:szCs w:val="24"/>
        </w:rPr>
        <w:t xml:space="preserve"> provide explanation for assumptions regarding the TRC (i.e. below the required threshold) and if applicable plans to increase.]</w:t>
      </w:r>
    </w:p>
    <w:p w14:paraId="0A5C0AFD" w14:textId="77777777" w:rsidR="00797254" w:rsidRDefault="00797254" w:rsidP="00797254">
      <w:pPr>
        <w:spacing w:after="0"/>
        <w:rPr>
          <w:rFonts w:ascii="Arial" w:hAnsi="Arial" w:cs="Arial"/>
          <w:sz w:val="24"/>
          <w:szCs w:val="24"/>
        </w:rPr>
      </w:pPr>
    </w:p>
    <w:p w14:paraId="081E4BFA" w14:textId="763A8505" w:rsidR="00797254" w:rsidRPr="00560C5A" w:rsidRDefault="00EF29BB" w:rsidP="00797254">
      <w:pPr>
        <w:spacing w:after="0"/>
        <w:rPr>
          <w:rFonts w:ascii="Arial" w:hAnsi="Arial" w:cs="Arial"/>
          <w:b/>
          <w:sz w:val="24"/>
          <w:szCs w:val="24"/>
        </w:rPr>
      </w:pPr>
      <w:r>
        <w:rPr>
          <w:rFonts w:ascii="Arial" w:hAnsi="Arial" w:cs="Arial"/>
          <w:b/>
          <w:sz w:val="24"/>
          <w:szCs w:val="24"/>
        </w:rPr>
        <w:t>Table 2</w:t>
      </w:r>
      <w:r w:rsidR="00797254" w:rsidRPr="00560C5A">
        <w:rPr>
          <w:rFonts w:ascii="Arial" w:hAnsi="Arial" w:cs="Arial"/>
          <w:b/>
          <w:sz w:val="24"/>
          <w:szCs w:val="24"/>
        </w:rPr>
        <w:t>. Cost-Effectiveness</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tblGrid>
      <w:tr w:rsidR="000104F8" w:rsidRPr="00797254" w14:paraId="2BF43984" w14:textId="77777777" w:rsidTr="005D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7DA22292" w14:textId="1B21DE12" w:rsidR="000104F8" w:rsidRPr="000104F8" w:rsidRDefault="000104F8" w:rsidP="004701E4">
            <w:pPr>
              <w:jc w:val="center"/>
              <w:rPr>
                <w:rFonts w:ascii="Times New Roman" w:hAnsi="Times New Roman" w:cs="Times New Roman"/>
                <w:sz w:val="24"/>
                <w:szCs w:val="24"/>
              </w:rPr>
            </w:pPr>
            <w:r w:rsidRPr="000104F8">
              <w:rPr>
                <w:rFonts w:ascii="Times New Roman" w:hAnsi="Times New Roman" w:cs="Times New Roman"/>
                <w:sz w:val="24"/>
                <w:szCs w:val="24"/>
              </w:rPr>
              <w:t>Sector/Program</w:t>
            </w:r>
          </w:p>
        </w:tc>
        <w:tc>
          <w:tcPr>
            <w:tcW w:w="3116" w:type="dxa"/>
            <w:gridSpan w:val="2"/>
          </w:tcPr>
          <w:p w14:paraId="0D5574EA" w14:textId="348F6F00" w:rsidR="000104F8" w:rsidRPr="00797254" w:rsidRDefault="000104F8" w:rsidP="004701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97254">
              <w:rPr>
                <w:rFonts w:ascii="Times New Roman" w:hAnsi="Times New Roman" w:cs="Times New Roman"/>
                <w:sz w:val="24"/>
                <w:szCs w:val="24"/>
              </w:rPr>
              <w:t xml:space="preserve">Forecast </w:t>
            </w:r>
            <w:r w:rsidRPr="00DF1F24">
              <w:rPr>
                <w:rFonts w:ascii="Times New Roman" w:hAnsi="Times New Roman" w:cs="Times New Roman"/>
                <w:sz w:val="24"/>
                <w:szCs w:val="24"/>
              </w:rPr>
              <w:t>2019</w:t>
            </w:r>
          </w:p>
        </w:tc>
      </w:tr>
      <w:tr w:rsidR="000104F8" w:rsidRPr="00797254" w14:paraId="7CD58308" w14:textId="77777777" w:rsidTr="005D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FED1BC" w14:textId="77777777" w:rsidR="000104F8" w:rsidRPr="00797254" w:rsidRDefault="000104F8" w:rsidP="004701E4">
            <w:pPr>
              <w:jc w:val="center"/>
              <w:rPr>
                <w:rFonts w:ascii="Times New Roman" w:hAnsi="Times New Roman" w:cs="Times New Roman"/>
                <w:b w:val="0"/>
                <w:sz w:val="24"/>
                <w:szCs w:val="24"/>
              </w:rPr>
            </w:pPr>
          </w:p>
        </w:tc>
        <w:tc>
          <w:tcPr>
            <w:tcW w:w="1558" w:type="dxa"/>
          </w:tcPr>
          <w:p w14:paraId="534F3FF0" w14:textId="5015377F" w:rsidR="000104F8" w:rsidRPr="00797254" w:rsidRDefault="000104F8" w:rsidP="004701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7254">
              <w:rPr>
                <w:rFonts w:ascii="Times New Roman" w:hAnsi="Times New Roman" w:cs="Times New Roman"/>
                <w:b/>
                <w:sz w:val="24"/>
                <w:szCs w:val="24"/>
              </w:rPr>
              <w:t>TRC</w:t>
            </w:r>
          </w:p>
        </w:tc>
        <w:tc>
          <w:tcPr>
            <w:tcW w:w="1558" w:type="dxa"/>
          </w:tcPr>
          <w:p w14:paraId="2254C2DD" w14:textId="77777777" w:rsidR="000104F8" w:rsidRPr="00797254" w:rsidRDefault="000104F8" w:rsidP="004701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7254">
              <w:rPr>
                <w:rFonts w:ascii="Times New Roman" w:hAnsi="Times New Roman" w:cs="Times New Roman"/>
                <w:b/>
                <w:sz w:val="24"/>
                <w:szCs w:val="24"/>
              </w:rPr>
              <w:t>PAC</w:t>
            </w:r>
          </w:p>
        </w:tc>
      </w:tr>
      <w:tr w:rsidR="000104F8" w:rsidRPr="00797254" w14:paraId="1DAC7BB0" w14:textId="77777777" w:rsidTr="005D0F53">
        <w:tc>
          <w:tcPr>
            <w:cnfStyle w:val="001000000000" w:firstRow="0" w:lastRow="0" w:firstColumn="1" w:lastColumn="0" w:oddVBand="0" w:evenVBand="0" w:oddHBand="0" w:evenHBand="0" w:firstRowFirstColumn="0" w:firstRowLastColumn="0" w:lastRowFirstColumn="0" w:lastRowLastColumn="0"/>
            <w:tcW w:w="3116" w:type="dxa"/>
          </w:tcPr>
          <w:p w14:paraId="53EDBF7E" w14:textId="7D11D1B2" w:rsidR="000104F8" w:rsidRDefault="000104F8" w:rsidP="000104F8">
            <w:pPr>
              <w:rPr>
                <w:rFonts w:ascii="Times New Roman" w:hAnsi="Times New Roman" w:cs="Times New Roman"/>
                <w:sz w:val="24"/>
                <w:szCs w:val="24"/>
              </w:rPr>
            </w:pPr>
            <w:r>
              <w:rPr>
                <w:rFonts w:ascii="Times New Roman" w:hAnsi="Times New Roman" w:cs="Times New Roman"/>
                <w:sz w:val="24"/>
                <w:szCs w:val="24"/>
              </w:rPr>
              <w:t>Residential</w:t>
            </w:r>
          </w:p>
        </w:tc>
        <w:tc>
          <w:tcPr>
            <w:tcW w:w="1558" w:type="dxa"/>
          </w:tcPr>
          <w:p w14:paraId="62D814A5" w14:textId="47B6BAFA" w:rsidR="000104F8" w:rsidRDefault="000104F8" w:rsidP="00DF1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[TBA]</w:t>
            </w:r>
          </w:p>
        </w:tc>
        <w:tc>
          <w:tcPr>
            <w:tcW w:w="1558" w:type="dxa"/>
          </w:tcPr>
          <w:p w14:paraId="169CEFE9" w14:textId="710E73F1" w:rsidR="000104F8" w:rsidRPr="00DF1F24" w:rsidRDefault="000104F8" w:rsidP="00DF1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[TBA]</w:t>
            </w:r>
          </w:p>
        </w:tc>
      </w:tr>
      <w:tr w:rsidR="000104F8" w:rsidRPr="00797254" w14:paraId="148A281B" w14:textId="77777777" w:rsidTr="005D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74DFDC1" w14:textId="2FA693CC" w:rsidR="000104F8" w:rsidRDefault="000104F8" w:rsidP="000104F8">
            <w:pPr>
              <w:rPr>
                <w:rFonts w:ascii="Times New Roman" w:hAnsi="Times New Roman" w:cs="Times New Roman"/>
                <w:sz w:val="24"/>
                <w:szCs w:val="24"/>
              </w:rPr>
            </w:pPr>
            <w:r>
              <w:rPr>
                <w:rFonts w:ascii="Times New Roman" w:hAnsi="Times New Roman" w:cs="Times New Roman"/>
                <w:sz w:val="24"/>
                <w:szCs w:val="24"/>
              </w:rPr>
              <w:t>Public</w:t>
            </w:r>
          </w:p>
        </w:tc>
        <w:tc>
          <w:tcPr>
            <w:tcW w:w="1558" w:type="dxa"/>
          </w:tcPr>
          <w:p w14:paraId="260CA01E" w14:textId="6B64D2CA" w:rsidR="000104F8" w:rsidRDefault="000104F8" w:rsidP="00DF1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[TBA]</w:t>
            </w:r>
          </w:p>
        </w:tc>
        <w:tc>
          <w:tcPr>
            <w:tcW w:w="1558" w:type="dxa"/>
          </w:tcPr>
          <w:p w14:paraId="4D6771EB" w14:textId="30C3EE99" w:rsidR="000104F8" w:rsidRPr="00DF1F24" w:rsidRDefault="000104F8" w:rsidP="00DF1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[TBA]</w:t>
            </w:r>
          </w:p>
        </w:tc>
      </w:tr>
      <w:tr w:rsidR="000104F8" w:rsidRPr="00797254" w14:paraId="0B32E804" w14:textId="77777777" w:rsidTr="005D0F53">
        <w:tc>
          <w:tcPr>
            <w:cnfStyle w:val="001000000000" w:firstRow="0" w:lastRow="0" w:firstColumn="1" w:lastColumn="0" w:oddVBand="0" w:evenVBand="0" w:oddHBand="0" w:evenHBand="0" w:firstRowFirstColumn="0" w:firstRowLastColumn="0" w:lastRowFirstColumn="0" w:lastRowLastColumn="0"/>
            <w:tcW w:w="3116" w:type="dxa"/>
          </w:tcPr>
          <w:p w14:paraId="02589391" w14:textId="2480D5F3" w:rsidR="000104F8" w:rsidRDefault="000104F8" w:rsidP="000104F8">
            <w:pPr>
              <w:rPr>
                <w:rFonts w:ascii="Times New Roman" w:hAnsi="Times New Roman" w:cs="Times New Roman"/>
                <w:sz w:val="24"/>
                <w:szCs w:val="24"/>
              </w:rPr>
            </w:pPr>
            <w:r>
              <w:rPr>
                <w:rFonts w:ascii="Times New Roman" w:hAnsi="Times New Roman" w:cs="Times New Roman"/>
                <w:sz w:val="24"/>
                <w:szCs w:val="24"/>
              </w:rPr>
              <w:t>Portfolio</w:t>
            </w:r>
          </w:p>
        </w:tc>
        <w:tc>
          <w:tcPr>
            <w:tcW w:w="1558" w:type="dxa"/>
          </w:tcPr>
          <w:p w14:paraId="2610CB62" w14:textId="42C107E4" w:rsidR="000104F8" w:rsidRPr="00797254" w:rsidRDefault="000104F8" w:rsidP="00DF1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0.27</w:t>
            </w:r>
          </w:p>
        </w:tc>
        <w:tc>
          <w:tcPr>
            <w:tcW w:w="1558" w:type="dxa"/>
          </w:tcPr>
          <w:p w14:paraId="6D5743A5" w14:textId="44895F0C" w:rsidR="000104F8" w:rsidRPr="00DF1F24" w:rsidRDefault="000104F8" w:rsidP="00DF1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F1F24">
              <w:rPr>
                <w:rFonts w:ascii="Times New Roman" w:hAnsi="Times New Roman" w:cs="Times New Roman"/>
                <w:b/>
                <w:sz w:val="24"/>
                <w:szCs w:val="24"/>
              </w:rPr>
              <w:t>0.28</w:t>
            </w:r>
          </w:p>
        </w:tc>
      </w:tr>
    </w:tbl>
    <w:p w14:paraId="3AFB9022" w14:textId="77777777" w:rsidR="00797254" w:rsidRDefault="00797254" w:rsidP="00797254">
      <w:pPr>
        <w:spacing w:after="0"/>
        <w:rPr>
          <w:rFonts w:ascii="Arial" w:hAnsi="Arial" w:cs="Arial"/>
          <w:sz w:val="24"/>
          <w:szCs w:val="24"/>
        </w:rPr>
      </w:pPr>
    </w:p>
    <w:p w14:paraId="5FD54868" w14:textId="77777777" w:rsidR="00797254" w:rsidRDefault="00797254" w:rsidP="00797254">
      <w:pPr>
        <w:spacing w:after="0"/>
        <w:rPr>
          <w:rFonts w:ascii="Arial" w:hAnsi="Arial" w:cs="Arial"/>
          <w:sz w:val="24"/>
          <w:szCs w:val="24"/>
        </w:rPr>
      </w:pPr>
    </w:p>
    <w:p w14:paraId="1447B8BE" w14:textId="77777777" w:rsidR="00797254" w:rsidRPr="00C27D51" w:rsidRDefault="00797254" w:rsidP="00797254">
      <w:pPr>
        <w:pStyle w:val="Heading1"/>
        <w:keepNext w:val="0"/>
        <w:keepLines w:val="0"/>
        <w:spacing w:before="0" w:after="60" w:line="360" w:lineRule="auto"/>
        <w:rPr>
          <w:rFonts w:ascii="Arial" w:hAnsi="Arial" w:cs="Arial"/>
          <w:color w:val="auto"/>
          <w:sz w:val="24"/>
          <w:szCs w:val="24"/>
          <w:u w:val="single"/>
        </w:rPr>
      </w:pPr>
      <w:r>
        <w:rPr>
          <w:rFonts w:ascii="Arial" w:hAnsi="Arial" w:cs="Arial"/>
          <w:color w:val="auto"/>
          <w:sz w:val="24"/>
          <w:szCs w:val="24"/>
          <w:u w:val="single"/>
        </w:rPr>
        <w:lastRenderedPageBreak/>
        <w:t>Energy Savings</w:t>
      </w:r>
    </w:p>
    <w:p w14:paraId="1E870746" w14:textId="4922B9D5" w:rsidR="00797254" w:rsidRDefault="00797254" w:rsidP="00797254">
      <w:pPr>
        <w:spacing w:after="0"/>
        <w:rPr>
          <w:rFonts w:ascii="Arial" w:hAnsi="Arial" w:cs="Arial"/>
          <w:sz w:val="24"/>
          <w:szCs w:val="24"/>
        </w:rPr>
      </w:pPr>
      <w:r>
        <w:rPr>
          <w:rFonts w:ascii="Arial" w:hAnsi="Arial" w:cs="Arial"/>
          <w:sz w:val="24"/>
          <w:szCs w:val="24"/>
        </w:rPr>
        <w:t xml:space="preserve">[this section would provide a brief succinct description of assumptions around the forecasted savings.  </w:t>
      </w:r>
      <w:r w:rsidR="00EF29BB">
        <w:rPr>
          <w:rFonts w:ascii="Arial" w:hAnsi="Arial" w:cs="Arial"/>
          <w:sz w:val="24"/>
          <w:szCs w:val="24"/>
        </w:rPr>
        <w:t>Also,</w:t>
      </w:r>
      <w:r>
        <w:rPr>
          <w:rFonts w:ascii="Arial" w:hAnsi="Arial" w:cs="Arial"/>
          <w:sz w:val="24"/>
          <w:szCs w:val="24"/>
        </w:rPr>
        <w:t xml:space="preserve"> any relevant information regarding the claimed and relevant data provided]</w:t>
      </w:r>
    </w:p>
    <w:p w14:paraId="7161A85A" w14:textId="6C26301D" w:rsidR="00EF29BB" w:rsidRPr="00EF29BB" w:rsidRDefault="00EF29BB" w:rsidP="00EF29BB">
      <w:pPr>
        <w:pStyle w:val="NoSpacing"/>
        <w:rPr>
          <w:rFonts w:ascii="Arial" w:hAnsi="Arial" w:cs="Arial"/>
          <w:i/>
          <w:iCs/>
          <w:szCs w:val="24"/>
        </w:rPr>
      </w:pPr>
      <w:r w:rsidRPr="00EF29BB">
        <w:rPr>
          <w:rFonts w:ascii="Arial" w:hAnsi="Arial" w:cs="Arial"/>
          <w:i/>
          <w:iCs/>
          <w:szCs w:val="24"/>
        </w:rPr>
        <w:t>[Values included table 4 reflect estimates as of 9/2, results may be updated by the 9/21 CAEECC Meeting]</w:t>
      </w:r>
    </w:p>
    <w:p w14:paraId="3D2ECF63" w14:textId="77777777" w:rsidR="00797254" w:rsidRDefault="00797254" w:rsidP="00797254">
      <w:pPr>
        <w:spacing w:after="0"/>
        <w:rPr>
          <w:rFonts w:ascii="Arial" w:hAnsi="Arial" w:cs="Arial"/>
          <w:sz w:val="24"/>
          <w:szCs w:val="24"/>
        </w:rPr>
      </w:pPr>
    </w:p>
    <w:p w14:paraId="19DBE99B" w14:textId="77777777" w:rsidR="00797254" w:rsidRDefault="00797254" w:rsidP="00797254">
      <w:pPr>
        <w:spacing w:after="0"/>
        <w:rPr>
          <w:rFonts w:ascii="Arial" w:hAnsi="Arial" w:cs="Arial"/>
          <w:sz w:val="24"/>
          <w:szCs w:val="24"/>
        </w:rPr>
      </w:pPr>
    </w:p>
    <w:p w14:paraId="249D9BDA" w14:textId="36F036B0" w:rsidR="00797254" w:rsidRPr="00087AE2" w:rsidRDefault="00797254" w:rsidP="00797254">
      <w:pPr>
        <w:spacing w:after="0"/>
        <w:rPr>
          <w:rFonts w:ascii="Arial" w:hAnsi="Arial" w:cs="Arial"/>
          <w:b/>
          <w:sz w:val="24"/>
          <w:szCs w:val="24"/>
        </w:rPr>
      </w:pPr>
      <w:r w:rsidRPr="00087AE2">
        <w:rPr>
          <w:rFonts w:ascii="Arial" w:hAnsi="Arial" w:cs="Arial"/>
          <w:b/>
          <w:sz w:val="24"/>
          <w:szCs w:val="24"/>
        </w:rPr>
        <w:t xml:space="preserve">Table 4. </w:t>
      </w:r>
      <w:r w:rsidR="000104F8">
        <w:rPr>
          <w:rFonts w:ascii="Arial" w:hAnsi="Arial" w:cs="Arial"/>
          <w:b/>
          <w:sz w:val="24"/>
          <w:szCs w:val="24"/>
        </w:rPr>
        <w:t xml:space="preserve">SoCalREN 2019 </w:t>
      </w:r>
      <w:r w:rsidRPr="00087AE2">
        <w:rPr>
          <w:rFonts w:ascii="Arial" w:hAnsi="Arial" w:cs="Arial"/>
          <w:b/>
          <w:sz w:val="24"/>
          <w:szCs w:val="24"/>
        </w:rPr>
        <w:t>Forecast</w:t>
      </w:r>
      <w:r w:rsidR="000104F8">
        <w:rPr>
          <w:rFonts w:ascii="Arial" w:hAnsi="Arial" w:cs="Arial"/>
          <w:b/>
          <w:sz w:val="24"/>
          <w:szCs w:val="24"/>
        </w:rPr>
        <w:t>ed Energy Savings</w:t>
      </w:r>
      <w:r w:rsidR="00EF29BB">
        <w:rPr>
          <w:rFonts w:ascii="Arial" w:hAnsi="Arial" w:cs="Arial"/>
          <w:b/>
          <w:sz w:val="24"/>
          <w:szCs w:val="24"/>
        </w:rPr>
        <w:t xml:space="preserve"> (Net)</w:t>
      </w:r>
    </w:p>
    <w:tbl>
      <w:tblPr>
        <w:tblStyle w:val="ListTable3-Accent1"/>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693"/>
        <w:gridCol w:w="1693"/>
        <w:gridCol w:w="1693"/>
      </w:tblGrid>
      <w:tr w:rsidR="00EF29BB" w14:paraId="34606573" w14:textId="77777777" w:rsidTr="00EF29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Borders>
              <w:bottom w:val="none" w:sz="0" w:space="0" w:color="auto"/>
              <w:right w:val="none" w:sz="0" w:space="0" w:color="auto"/>
            </w:tcBorders>
          </w:tcPr>
          <w:p w14:paraId="4D70CB0B" w14:textId="0A550911" w:rsidR="00EF29BB" w:rsidRPr="00560C5A" w:rsidRDefault="00EF29BB" w:rsidP="004701E4">
            <w:pPr>
              <w:jc w:val="center"/>
              <w:rPr>
                <w:rFonts w:ascii="Arial" w:hAnsi="Arial" w:cs="Arial"/>
                <w:b w:val="0"/>
                <w:sz w:val="24"/>
                <w:szCs w:val="24"/>
              </w:rPr>
            </w:pPr>
            <w:r>
              <w:rPr>
                <w:rFonts w:ascii="Arial" w:hAnsi="Arial" w:cs="Arial"/>
                <w:sz w:val="24"/>
                <w:szCs w:val="24"/>
              </w:rPr>
              <w:t>Sector</w:t>
            </w:r>
            <w:r>
              <w:rPr>
                <w:rFonts w:ascii="Arial" w:hAnsi="Arial" w:cs="Arial"/>
                <w:b w:val="0"/>
                <w:sz w:val="24"/>
                <w:szCs w:val="24"/>
              </w:rPr>
              <w:t>/Program</w:t>
            </w:r>
          </w:p>
        </w:tc>
        <w:tc>
          <w:tcPr>
            <w:tcW w:w="1693" w:type="dxa"/>
          </w:tcPr>
          <w:p w14:paraId="75678977" w14:textId="6325F437" w:rsidR="00EF29BB" w:rsidRDefault="00EF29BB" w:rsidP="004701E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kWh</w:t>
            </w:r>
          </w:p>
        </w:tc>
        <w:tc>
          <w:tcPr>
            <w:tcW w:w="1693" w:type="dxa"/>
          </w:tcPr>
          <w:p w14:paraId="63A4937F" w14:textId="4216CC3B" w:rsidR="00EF29BB" w:rsidRDefault="00EF29BB" w:rsidP="004701E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kW</w:t>
            </w:r>
          </w:p>
        </w:tc>
        <w:tc>
          <w:tcPr>
            <w:tcW w:w="1693" w:type="dxa"/>
          </w:tcPr>
          <w:p w14:paraId="7B2A3E75" w14:textId="1442A4D1" w:rsidR="00EF29BB" w:rsidRDefault="00EF29BB" w:rsidP="004701E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Therms</w:t>
            </w:r>
          </w:p>
          <w:p w14:paraId="1EAB0A10" w14:textId="7A46514B" w:rsidR="00EF29BB" w:rsidRDefault="00EF29BB" w:rsidP="004701E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F29BB" w14:paraId="6E66D7D6" w14:textId="77777777" w:rsidTr="00EF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bottom w:val="none" w:sz="0" w:space="0" w:color="auto"/>
              <w:right w:val="none" w:sz="0" w:space="0" w:color="auto"/>
            </w:tcBorders>
          </w:tcPr>
          <w:p w14:paraId="7120B0BC" w14:textId="21A23D3F" w:rsidR="00EF29BB" w:rsidRDefault="00EF29BB" w:rsidP="00EF29BB">
            <w:pPr>
              <w:rPr>
                <w:rFonts w:ascii="Arial" w:hAnsi="Arial" w:cs="Arial"/>
                <w:sz w:val="24"/>
                <w:szCs w:val="24"/>
              </w:rPr>
            </w:pPr>
            <w:r>
              <w:rPr>
                <w:rFonts w:ascii="Arial" w:hAnsi="Arial" w:cs="Arial"/>
                <w:sz w:val="24"/>
                <w:szCs w:val="24"/>
              </w:rPr>
              <w:t>Residential</w:t>
            </w:r>
          </w:p>
        </w:tc>
        <w:tc>
          <w:tcPr>
            <w:tcW w:w="1693" w:type="dxa"/>
            <w:tcBorders>
              <w:top w:val="none" w:sz="0" w:space="0" w:color="auto"/>
              <w:bottom w:val="none" w:sz="0" w:space="0" w:color="auto"/>
            </w:tcBorders>
          </w:tcPr>
          <w:p w14:paraId="5A31162E" w14:textId="7C542995"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6,192,171</w:t>
            </w:r>
          </w:p>
        </w:tc>
        <w:tc>
          <w:tcPr>
            <w:tcW w:w="1693" w:type="dxa"/>
            <w:tcBorders>
              <w:top w:val="none" w:sz="0" w:space="0" w:color="auto"/>
              <w:bottom w:val="none" w:sz="0" w:space="0" w:color="auto"/>
            </w:tcBorders>
          </w:tcPr>
          <w:p w14:paraId="1E160C06" w14:textId="35C576E3"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831</w:t>
            </w:r>
          </w:p>
        </w:tc>
        <w:tc>
          <w:tcPr>
            <w:tcW w:w="1693" w:type="dxa"/>
            <w:tcBorders>
              <w:top w:val="none" w:sz="0" w:space="0" w:color="auto"/>
              <w:bottom w:val="none" w:sz="0" w:space="0" w:color="auto"/>
            </w:tcBorders>
          </w:tcPr>
          <w:p w14:paraId="0E291E57" w14:textId="736EBD46"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175,043</w:t>
            </w:r>
          </w:p>
        </w:tc>
      </w:tr>
      <w:tr w:rsidR="00EF29BB" w14:paraId="0A5FA1AB" w14:textId="77777777" w:rsidTr="00EF29BB">
        <w:trPr>
          <w:trHeight w:val="350"/>
        </w:trPr>
        <w:tc>
          <w:tcPr>
            <w:cnfStyle w:val="001000000000" w:firstRow="0" w:lastRow="0" w:firstColumn="1" w:lastColumn="0" w:oddVBand="0" w:evenVBand="0" w:oddHBand="0" w:evenHBand="0" w:firstRowFirstColumn="0" w:firstRowLastColumn="0" w:lastRowFirstColumn="0" w:lastRowLastColumn="0"/>
            <w:tcW w:w="2017" w:type="dxa"/>
            <w:tcBorders>
              <w:right w:val="none" w:sz="0" w:space="0" w:color="auto"/>
            </w:tcBorders>
          </w:tcPr>
          <w:p w14:paraId="29C1B6B6" w14:textId="68145694" w:rsidR="00EF29BB" w:rsidRDefault="00EF29BB" w:rsidP="004701E4">
            <w:pPr>
              <w:rPr>
                <w:rFonts w:ascii="Arial" w:hAnsi="Arial" w:cs="Arial"/>
                <w:sz w:val="24"/>
                <w:szCs w:val="24"/>
              </w:rPr>
            </w:pPr>
            <w:r>
              <w:rPr>
                <w:rFonts w:ascii="Arial" w:hAnsi="Arial" w:cs="Arial"/>
                <w:sz w:val="24"/>
                <w:szCs w:val="24"/>
              </w:rPr>
              <w:t>Public</w:t>
            </w:r>
          </w:p>
        </w:tc>
        <w:tc>
          <w:tcPr>
            <w:tcW w:w="1693" w:type="dxa"/>
          </w:tcPr>
          <w:p w14:paraId="580AD63B" w14:textId="30B3A5F0" w:rsidR="00EF29BB" w:rsidRDefault="00EF29BB" w:rsidP="00EF2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3" w:type="dxa"/>
          </w:tcPr>
          <w:p w14:paraId="51F751AA" w14:textId="76F1B117" w:rsidR="00EF29BB" w:rsidRDefault="00EF29BB" w:rsidP="00EF2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3" w:type="dxa"/>
          </w:tcPr>
          <w:p w14:paraId="078B36D7" w14:textId="3123B572" w:rsidR="00EF29BB" w:rsidRDefault="00EF29BB" w:rsidP="00EF29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F29BB" w14:paraId="6A76A2D3" w14:textId="77777777" w:rsidTr="00EF2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bottom w:val="none" w:sz="0" w:space="0" w:color="auto"/>
              <w:right w:val="none" w:sz="0" w:space="0" w:color="auto"/>
            </w:tcBorders>
          </w:tcPr>
          <w:p w14:paraId="1ADBAB2A" w14:textId="64516526" w:rsidR="00EF29BB" w:rsidRDefault="00EF29BB" w:rsidP="00EF29BB">
            <w:pPr>
              <w:rPr>
                <w:rFonts w:ascii="Arial" w:hAnsi="Arial" w:cs="Arial"/>
                <w:sz w:val="24"/>
                <w:szCs w:val="24"/>
              </w:rPr>
            </w:pPr>
            <w:r>
              <w:rPr>
                <w:rFonts w:ascii="Arial" w:hAnsi="Arial" w:cs="Arial"/>
                <w:sz w:val="24"/>
                <w:szCs w:val="24"/>
              </w:rPr>
              <w:t>Portfolio</w:t>
            </w:r>
          </w:p>
        </w:tc>
        <w:tc>
          <w:tcPr>
            <w:tcW w:w="1693" w:type="dxa"/>
            <w:tcBorders>
              <w:top w:val="none" w:sz="0" w:space="0" w:color="auto"/>
              <w:bottom w:val="none" w:sz="0" w:space="0" w:color="auto"/>
            </w:tcBorders>
          </w:tcPr>
          <w:p w14:paraId="738B0FF0" w14:textId="0B41D2FC"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6,192,171</w:t>
            </w:r>
          </w:p>
        </w:tc>
        <w:tc>
          <w:tcPr>
            <w:tcW w:w="1693" w:type="dxa"/>
            <w:tcBorders>
              <w:top w:val="none" w:sz="0" w:space="0" w:color="auto"/>
              <w:bottom w:val="none" w:sz="0" w:space="0" w:color="auto"/>
            </w:tcBorders>
          </w:tcPr>
          <w:p w14:paraId="07E7D012" w14:textId="6F43CE64"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831</w:t>
            </w:r>
          </w:p>
        </w:tc>
        <w:tc>
          <w:tcPr>
            <w:tcW w:w="1693" w:type="dxa"/>
            <w:tcBorders>
              <w:top w:val="none" w:sz="0" w:space="0" w:color="auto"/>
              <w:bottom w:val="none" w:sz="0" w:space="0" w:color="auto"/>
            </w:tcBorders>
          </w:tcPr>
          <w:p w14:paraId="78421903" w14:textId="1751CC64" w:rsidR="00EF29BB" w:rsidRDefault="00EF29BB" w:rsidP="00EF29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color w:val="000000"/>
              </w:rPr>
              <w:t>175,043</w:t>
            </w:r>
          </w:p>
        </w:tc>
      </w:tr>
    </w:tbl>
    <w:p w14:paraId="7A732A65" w14:textId="77777777" w:rsidR="00797254" w:rsidRPr="00BF3248" w:rsidRDefault="00797254" w:rsidP="00797254">
      <w:pPr>
        <w:spacing w:after="0"/>
        <w:rPr>
          <w:rFonts w:ascii="Arial" w:hAnsi="Arial" w:cs="Arial"/>
          <w:sz w:val="24"/>
          <w:szCs w:val="24"/>
        </w:rPr>
      </w:pPr>
    </w:p>
    <w:p w14:paraId="4F846113" w14:textId="77777777" w:rsidR="00797254" w:rsidRPr="00087AE2" w:rsidRDefault="00797254" w:rsidP="00797254">
      <w:pPr>
        <w:spacing w:after="0"/>
        <w:rPr>
          <w:rFonts w:ascii="Arial" w:hAnsi="Arial" w:cs="Arial"/>
          <w:b/>
          <w:sz w:val="24"/>
          <w:szCs w:val="24"/>
        </w:rPr>
      </w:pPr>
    </w:p>
    <w:p w14:paraId="569AA82F" w14:textId="77777777" w:rsidR="00EF29BB" w:rsidRPr="00EF29BB" w:rsidRDefault="00EF29BB" w:rsidP="00EF29BB">
      <w:pPr>
        <w:pStyle w:val="NoSpacing"/>
        <w:rPr>
          <w:rFonts w:ascii="Arial" w:eastAsiaTheme="majorEastAsia" w:hAnsi="Arial" w:cs="Arial"/>
          <w:b/>
          <w:bCs/>
          <w:sz w:val="24"/>
          <w:szCs w:val="24"/>
          <w:u w:val="single"/>
        </w:rPr>
      </w:pPr>
      <w:r w:rsidRPr="00EF29BB">
        <w:rPr>
          <w:rFonts w:ascii="Arial" w:eastAsiaTheme="majorEastAsia" w:hAnsi="Arial" w:cs="Arial"/>
          <w:b/>
          <w:bCs/>
          <w:sz w:val="24"/>
          <w:szCs w:val="24"/>
          <w:u w:val="single"/>
        </w:rPr>
        <w:t>Discussion of Proposed Program and Portfolio Changes</w:t>
      </w:r>
    </w:p>
    <w:p w14:paraId="4A6ACD46" w14:textId="77777777" w:rsidR="00E7514E" w:rsidRPr="00EF29BB" w:rsidRDefault="00E7514E" w:rsidP="00E7514E">
      <w:pPr>
        <w:pStyle w:val="NoSpacing"/>
        <w:rPr>
          <w:rFonts w:ascii="Arial" w:hAnsi="Arial" w:cs="Arial"/>
          <w:iCs/>
          <w:sz w:val="24"/>
          <w:szCs w:val="24"/>
        </w:rPr>
      </w:pPr>
    </w:p>
    <w:p w14:paraId="033025BE" w14:textId="16B7DFF2" w:rsidR="00EF29BB" w:rsidRPr="00EF29BB" w:rsidRDefault="00EF29BB" w:rsidP="00E7514E">
      <w:pPr>
        <w:pStyle w:val="NoSpacing"/>
        <w:rPr>
          <w:rFonts w:ascii="Arial" w:hAnsi="Arial" w:cs="Arial"/>
          <w:b/>
          <w:iCs/>
          <w:szCs w:val="24"/>
        </w:rPr>
      </w:pPr>
      <w:r>
        <w:rPr>
          <w:rFonts w:ascii="Arial" w:hAnsi="Arial" w:cs="Arial"/>
          <w:b/>
          <w:iCs/>
          <w:szCs w:val="24"/>
        </w:rPr>
        <w:t>[To</w:t>
      </w:r>
      <w:r w:rsidRPr="00EF29BB">
        <w:rPr>
          <w:rFonts w:ascii="Arial" w:hAnsi="Arial" w:cs="Arial"/>
          <w:b/>
          <w:iCs/>
          <w:szCs w:val="24"/>
        </w:rPr>
        <w:t xml:space="preserve"> be updated</w:t>
      </w:r>
      <w:r>
        <w:rPr>
          <w:rFonts w:ascii="Arial" w:hAnsi="Arial" w:cs="Arial"/>
          <w:b/>
          <w:iCs/>
          <w:szCs w:val="24"/>
        </w:rPr>
        <w:t xml:space="preserve"> by the 9/21 CAEECC Meeting</w:t>
      </w:r>
      <w:r w:rsidRPr="00EF29BB">
        <w:rPr>
          <w:rFonts w:ascii="Arial" w:hAnsi="Arial" w:cs="Arial"/>
          <w:b/>
          <w:iCs/>
          <w:szCs w:val="24"/>
        </w:rPr>
        <w:t>]</w:t>
      </w:r>
    </w:p>
    <w:p w14:paraId="17DAFCC7" w14:textId="77777777" w:rsidR="00EF29BB" w:rsidRDefault="00EF29BB" w:rsidP="00E7514E">
      <w:pPr>
        <w:pStyle w:val="NoSpacing"/>
        <w:rPr>
          <w:rFonts w:ascii="Arial" w:hAnsi="Arial" w:cs="Arial"/>
          <w:iCs/>
          <w:szCs w:val="24"/>
        </w:rPr>
      </w:pPr>
    </w:p>
    <w:p w14:paraId="6AA6B47F" w14:textId="5FF5B682" w:rsidR="00EF29BB" w:rsidRPr="00797254" w:rsidRDefault="00EF29BB" w:rsidP="001B5865">
      <w:pPr>
        <w:pStyle w:val="ListParagraph"/>
        <w:numPr>
          <w:ilvl w:val="0"/>
          <w:numId w:val="3"/>
        </w:numPr>
        <w:spacing w:after="0" w:line="240" w:lineRule="auto"/>
        <w:jc w:val="both"/>
        <w:rPr>
          <w:rFonts w:ascii="Arial" w:hAnsi="Arial" w:cs="Arial"/>
          <w:szCs w:val="24"/>
          <w:u w:val="single"/>
        </w:rPr>
      </w:pPr>
      <w:r w:rsidRPr="00797254">
        <w:rPr>
          <w:rFonts w:ascii="Arial" w:hAnsi="Arial" w:cs="Arial"/>
          <w:b/>
          <w:szCs w:val="24"/>
          <w:u w:val="single"/>
        </w:rPr>
        <w:t xml:space="preserve">SoCalREN 2019 </w:t>
      </w:r>
      <w:r>
        <w:rPr>
          <w:rFonts w:ascii="Arial" w:hAnsi="Arial" w:cs="Arial"/>
          <w:b/>
          <w:szCs w:val="24"/>
          <w:u w:val="single"/>
        </w:rPr>
        <w:t>Portfolio Level Changes</w:t>
      </w:r>
      <w:r w:rsidRPr="00797254">
        <w:rPr>
          <w:rFonts w:ascii="Arial" w:hAnsi="Arial" w:cs="Arial"/>
          <w:b/>
          <w:szCs w:val="24"/>
          <w:u w:val="single"/>
        </w:rPr>
        <w:t xml:space="preserve"> </w:t>
      </w:r>
    </w:p>
    <w:p w14:paraId="1F6B18E4" w14:textId="77777777" w:rsidR="00EF29BB" w:rsidRPr="00EF29BB" w:rsidRDefault="00EF29BB" w:rsidP="00E7514E">
      <w:pPr>
        <w:pStyle w:val="NoSpacing"/>
        <w:rPr>
          <w:rFonts w:ascii="Arial" w:hAnsi="Arial" w:cs="Arial"/>
          <w:iCs/>
          <w:szCs w:val="24"/>
        </w:rPr>
      </w:pPr>
    </w:p>
    <w:p w14:paraId="65AF03CA" w14:textId="77777777" w:rsidR="00EF29BB" w:rsidRPr="00EF29BB" w:rsidRDefault="00EF29BB" w:rsidP="001B5865">
      <w:pPr>
        <w:pStyle w:val="NoSpacing"/>
        <w:numPr>
          <w:ilvl w:val="0"/>
          <w:numId w:val="2"/>
        </w:numPr>
        <w:rPr>
          <w:rFonts w:ascii="Arial" w:hAnsi="Arial" w:cs="Arial"/>
          <w:iCs/>
          <w:szCs w:val="24"/>
        </w:rPr>
      </w:pPr>
      <w:r w:rsidRPr="00EF29BB">
        <w:rPr>
          <w:rFonts w:ascii="Arial" w:hAnsi="Arial" w:cs="Arial"/>
          <w:iCs/>
          <w:szCs w:val="24"/>
        </w:rPr>
        <w:t>SoCalREN’s 2019 proposed portfolio reflects it’s commitment to optimize program budgets and to increase the overall cost effectiveness of the portfolio over time</w:t>
      </w:r>
    </w:p>
    <w:p w14:paraId="06315685" w14:textId="77777777" w:rsidR="00EF29BB" w:rsidRPr="00EF29BB" w:rsidRDefault="00EF29BB" w:rsidP="001B5865">
      <w:pPr>
        <w:pStyle w:val="NoSpacing"/>
        <w:numPr>
          <w:ilvl w:val="0"/>
          <w:numId w:val="2"/>
        </w:numPr>
        <w:rPr>
          <w:rFonts w:ascii="Arial" w:hAnsi="Arial" w:cs="Arial"/>
          <w:iCs/>
          <w:szCs w:val="24"/>
        </w:rPr>
      </w:pPr>
      <w:r w:rsidRPr="00EF29BB">
        <w:rPr>
          <w:rFonts w:ascii="Arial" w:hAnsi="Arial" w:cs="Arial"/>
          <w:iCs/>
          <w:szCs w:val="24"/>
        </w:rPr>
        <w:t xml:space="preserve">SoCalREN will continue to adopt a “long-term” path towards administrative efficiency and strive to find areas that maximize outcomes, customer benefits, and program performance, while minimizing costs. This path will include practices such as:  </w:t>
      </w:r>
    </w:p>
    <w:p w14:paraId="2DD0E2A4" w14:textId="77777777" w:rsidR="00EF29BB" w:rsidRPr="00EF29BB" w:rsidRDefault="00EF29BB" w:rsidP="001B5865">
      <w:pPr>
        <w:pStyle w:val="NoSpacing"/>
        <w:numPr>
          <w:ilvl w:val="1"/>
          <w:numId w:val="2"/>
        </w:numPr>
        <w:rPr>
          <w:rFonts w:ascii="Arial" w:hAnsi="Arial" w:cs="Arial"/>
          <w:iCs/>
          <w:szCs w:val="24"/>
        </w:rPr>
      </w:pPr>
      <w:r w:rsidRPr="00EF29BB">
        <w:rPr>
          <w:rFonts w:ascii="Arial" w:hAnsi="Arial" w:cs="Arial"/>
          <w:iCs/>
          <w:szCs w:val="24"/>
        </w:rPr>
        <w:t xml:space="preserve">streamlining reporting processes, instituting more internal detailed budgetary tracking reports, standardizing infographics and other data-sharing and marketing collateral, maximizing web-based tools, </w:t>
      </w:r>
    </w:p>
    <w:p w14:paraId="41937B81" w14:textId="77777777" w:rsidR="00EF29BB" w:rsidRPr="00EF29BB" w:rsidRDefault="00EF29BB" w:rsidP="001B5865">
      <w:pPr>
        <w:pStyle w:val="NoSpacing"/>
        <w:numPr>
          <w:ilvl w:val="1"/>
          <w:numId w:val="2"/>
        </w:numPr>
        <w:rPr>
          <w:rFonts w:ascii="Arial" w:hAnsi="Arial" w:cs="Arial"/>
          <w:iCs/>
          <w:szCs w:val="24"/>
        </w:rPr>
      </w:pPr>
      <w:r w:rsidRPr="00EF29BB">
        <w:rPr>
          <w:rFonts w:ascii="Arial" w:hAnsi="Arial" w:cs="Arial"/>
          <w:iCs/>
          <w:szCs w:val="24"/>
        </w:rPr>
        <w:t>identify administrative tasks that can be automated or eliminated so long as regulatory compliance or customer support is not compromised</w:t>
      </w:r>
    </w:p>
    <w:p w14:paraId="51F5DA1B" w14:textId="77777777" w:rsidR="00EF29BB" w:rsidRPr="00EF29BB" w:rsidRDefault="00EF29BB" w:rsidP="001B5865">
      <w:pPr>
        <w:pStyle w:val="NoSpacing"/>
        <w:numPr>
          <w:ilvl w:val="0"/>
          <w:numId w:val="2"/>
        </w:numPr>
        <w:rPr>
          <w:rFonts w:ascii="Arial" w:hAnsi="Arial" w:cs="Arial"/>
          <w:iCs/>
          <w:szCs w:val="24"/>
        </w:rPr>
      </w:pPr>
      <w:r w:rsidRPr="00EF29BB">
        <w:rPr>
          <w:rFonts w:ascii="Arial" w:hAnsi="Arial" w:cs="Arial"/>
          <w:iCs/>
          <w:szCs w:val="24"/>
        </w:rPr>
        <w:t>SoCalREN will continue to utilize its successful “peer driven” approach to leverage public agency programs with a focus on serving hard-to-reach communities and disadvantaged communities in both its public and residential sectors</w:t>
      </w:r>
    </w:p>
    <w:p w14:paraId="3337112C" w14:textId="5FBD1A45" w:rsidR="00EF29BB" w:rsidRPr="00EF29BB" w:rsidRDefault="00EF29BB" w:rsidP="001B5865">
      <w:pPr>
        <w:pStyle w:val="NoSpacing"/>
        <w:numPr>
          <w:ilvl w:val="0"/>
          <w:numId w:val="2"/>
        </w:numPr>
        <w:rPr>
          <w:rFonts w:ascii="Arial" w:hAnsi="Arial" w:cs="Arial"/>
          <w:iCs/>
          <w:szCs w:val="24"/>
        </w:rPr>
      </w:pPr>
      <w:r w:rsidRPr="00EF29BB">
        <w:rPr>
          <w:rFonts w:ascii="Arial" w:hAnsi="Arial" w:cs="Arial"/>
          <w:iCs/>
          <w:szCs w:val="24"/>
        </w:rPr>
        <w:t>Continue to complement and supplement IOU programs, by filling gaps and finding synergies among approaches to maximize opportunities for customers and other market actors</w:t>
      </w:r>
    </w:p>
    <w:p w14:paraId="4C248E65" w14:textId="77777777" w:rsidR="00EF29BB" w:rsidRDefault="00EF29BB" w:rsidP="00EF29BB">
      <w:pPr>
        <w:spacing w:after="0" w:line="240" w:lineRule="auto"/>
        <w:jc w:val="both"/>
        <w:rPr>
          <w:rFonts w:ascii="Arial" w:hAnsi="Arial" w:cs="Arial"/>
          <w:b/>
          <w:szCs w:val="24"/>
          <w:u w:val="single"/>
        </w:rPr>
      </w:pPr>
    </w:p>
    <w:p w14:paraId="27A589B0" w14:textId="79A8BD40" w:rsidR="00EF29BB" w:rsidRPr="00EF29BB" w:rsidRDefault="00EF29BB" w:rsidP="001B5865">
      <w:pPr>
        <w:pStyle w:val="ListParagraph"/>
        <w:numPr>
          <w:ilvl w:val="0"/>
          <w:numId w:val="3"/>
        </w:numPr>
        <w:spacing w:after="0" w:line="240" w:lineRule="auto"/>
        <w:jc w:val="both"/>
        <w:rPr>
          <w:rFonts w:ascii="Arial" w:hAnsi="Arial" w:cs="Arial"/>
          <w:b/>
          <w:szCs w:val="24"/>
          <w:u w:val="single"/>
        </w:rPr>
      </w:pPr>
      <w:r w:rsidRPr="00EF29BB">
        <w:rPr>
          <w:rFonts w:ascii="Arial" w:hAnsi="Arial" w:cs="Arial"/>
          <w:b/>
          <w:szCs w:val="24"/>
          <w:u w:val="single"/>
        </w:rPr>
        <w:t xml:space="preserve">SoCalREN 2019 </w:t>
      </w:r>
      <w:r>
        <w:rPr>
          <w:rFonts w:ascii="Arial" w:hAnsi="Arial" w:cs="Arial"/>
          <w:b/>
          <w:szCs w:val="24"/>
          <w:u w:val="single"/>
        </w:rPr>
        <w:t xml:space="preserve">Program </w:t>
      </w:r>
      <w:r w:rsidRPr="00EF29BB">
        <w:rPr>
          <w:rFonts w:ascii="Arial" w:hAnsi="Arial" w:cs="Arial"/>
          <w:b/>
          <w:szCs w:val="24"/>
          <w:u w:val="single"/>
        </w:rPr>
        <w:t xml:space="preserve">Level Changes </w:t>
      </w:r>
    </w:p>
    <w:p w14:paraId="70660805" w14:textId="77777777" w:rsidR="00EF29BB" w:rsidRDefault="00EF29BB" w:rsidP="00E7514E">
      <w:pPr>
        <w:pStyle w:val="NoSpacing"/>
        <w:rPr>
          <w:iCs/>
          <w:sz w:val="24"/>
          <w:szCs w:val="24"/>
        </w:rPr>
      </w:pPr>
    </w:p>
    <w:p w14:paraId="104EAAA6" w14:textId="77777777" w:rsidR="005E6B85" w:rsidRPr="00EF29BB" w:rsidRDefault="001B5865" w:rsidP="001B5865">
      <w:pPr>
        <w:pStyle w:val="NoSpacing"/>
        <w:numPr>
          <w:ilvl w:val="0"/>
          <w:numId w:val="2"/>
        </w:numPr>
        <w:rPr>
          <w:rFonts w:ascii="Arial" w:hAnsi="Arial" w:cs="Arial"/>
          <w:iCs/>
          <w:szCs w:val="24"/>
        </w:rPr>
      </w:pPr>
      <w:r w:rsidRPr="00EF29BB">
        <w:rPr>
          <w:rFonts w:ascii="Arial" w:hAnsi="Arial" w:cs="Arial"/>
          <w:iCs/>
          <w:szCs w:val="24"/>
        </w:rPr>
        <w:t>Significant program budget reductions for programs which have been deemed either (1) unsuccessful in achieving cost-effective savings, or (2) attained all objectives over successive bridge years</w:t>
      </w:r>
    </w:p>
    <w:p w14:paraId="59713776" w14:textId="035FA95F" w:rsidR="00EF29BB" w:rsidRPr="00EF29BB" w:rsidRDefault="001B5865" w:rsidP="001B5865">
      <w:pPr>
        <w:pStyle w:val="NoSpacing"/>
        <w:numPr>
          <w:ilvl w:val="0"/>
          <w:numId w:val="2"/>
        </w:numPr>
        <w:rPr>
          <w:rFonts w:ascii="Arial" w:hAnsi="Arial" w:cs="Arial"/>
          <w:iCs/>
          <w:szCs w:val="24"/>
        </w:rPr>
      </w:pPr>
      <w:r w:rsidRPr="00EF29BB">
        <w:rPr>
          <w:rFonts w:ascii="Arial" w:hAnsi="Arial" w:cs="Arial"/>
          <w:iCs/>
          <w:szCs w:val="24"/>
        </w:rPr>
        <w:t>Residential sub program budgets have been adjusted to move funding to cost effective programs such as Multifamily.</w:t>
      </w:r>
    </w:p>
    <w:p w14:paraId="38071B81" w14:textId="77777777" w:rsidR="00EF29BB" w:rsidRPr="00EF29BB" w:rsidRDefault="00EF29BB" w:rsidP="001B5865">
      <w:pPr>
        <w:pStyle w:val="NoSpacing"/>
        <w:numPr>
          <w:ilvl w:val="0"/>
          <w:numId w:val="2"/>
        </w:numPr>
        <w:rPr>
          <w:rFonts w:ascii="Arial" w:hAnsi="Arial" w:cs="Arial"/>
          <w:b/>
          <w:iCs/>
          <w:szCs w:val="24"/>
        </w:rPr>
      </w:pPr>
      <w:r w:rsidRPr="00EF29BB">
        <w:rPr>
          <w:rFonts w:ascii="Arial" w:hAnsi="Arial" w:cs="Arial"/>
          <w:b/>
          <w:iCs/>
          <w:szCs w:val="24"/>
        </w:rPr>
        <w:lastRenderedPageBreak/>
        <w:t>Proposed Programs to be closed:</w:t>
      </w:r>
    </w:p>
    <w:p w14:paraId="03B6FF81"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Single Family Home Upgrade California</w:t>
      </w:r>
    </w:p>
    <w:p w14:paraId="1E74B0F6" w14:textId="0FBFE497" w:rsidR="005E6B85" w:rsidRPr="00EF29BB" w:rsidRDefault="001B5865" w:rsidP="001B5865">
      <w:pPr>
        <w:pStyle w:val="NoSpacing"/>
        <w:numPr>
          <w:ilvl w:val="2"/>
          <w:numId w:val="2"/>
        </w:numPr>
        <w:rPr>
          <w:rFonts w:ascii="Arial" w:hAnsi="Arial" w:cs="Arial"/>
          <w:iCs/>
          <w:szCs w:val="24"/>
        </w:rPr>
      </w:pPr>
      <w:r w:rsidRPr="00EF29BB">
        <w:rPr>
          <w:rFonts w:ascii="Arial" w:hAnsi="Arial" w:cs="Arial"/>
          <w:iCs/>
          <w:szCs w:val="24"/>
        </w:rPr>
        <w:t xml:space="preserve">Including all associated sub-programs: Greenbuilding Labeling, EUC Local </w:t>
      </w:r>
      <w:r w:rsidR="00EF29BB">
        <w:rPr>
          <w:rFonts w:ascii="Arial" w:hAnsi="Arial" w:cs="Arial"/>
          <w:iCs/>
          <w:szCs w:val="24"/>
        </w:rPr>
        <w:t>Marketing and Outreach, and Low-i</w:t>
      </w:r>
      <w:r w:rsidRPr="00EF29BB">
        <w:rPr>
          <w:rFonts w:ascii="Arial" w:hAnsi="Arial" w:cs="Arial"/>
          <w:iCs/>
          <w:szCs w:val="24"/>
        </w:rPr>
        <w:t>ncome single family HUP</w:t>
      </w:r>
    </w:p>
    <w:p w14:paraId="7DB59093"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Public Building Loan Loss Reserve</w:t>
      </w:r>
    </w:p>
    <w:p w14:paraId="397854FC"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Non-Residential PACE</w:t>
      </w:r>
    </w:p>
    <w:p w14:paraId="58610B81"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EUC HUP Loan Loss Reserve</w:t>
      </w:r>
    </w:p>
    <w:p w14:paraId="67698368" w14:textId="77777777" w:rsidR="00EF29BB" w:rsidRDefault="00EF29BB" w:rsidP="00E7514E">
      <w:pPr>
        <w:pStyle w:val="NoSpacing"/>
        <w:rPr>
          <w:iCs/>
          <w:sz w:val="24"/>
          <w:szCs w:val="24"/>
        </w:rPr>
      </w:pPr>
    </w:p>
    <w:p w14:paraId="154E985D" w14:textId="05777A42" w:rsidR="00EF29BB" w:rsidRPr="005500E7" w:rsidRDefault="00EF29BB" w:rsidP="00E7514E">
      <w:pPr>
        <w:pStyle w:val="NoSpacing"/>
        <w:rPr>
          <w:iCs/>
          <w:sz w:val="24"/>
          <w:szCs w:val="24"/>
        </w:rPr>
      </w:pPr>
      <w:r w:rsidRPr="00EF29BB">
        <w:rPr>
          <w:rFonts w:ascii="Arial" w:eastAsiaTheme="majorEastAsia" w:hAnsi="Arial" w:cs="Arial"/>
          <w:b/>
          <w:bCs/>
          <w:sz w:val="24"/>
          <w:szCs w:val="24"/>
          <w:u w:val="single"/>
        </w:rPr>
        <w:t>Strategies for increased cost-effectiveness</w:t>
      </w:r>
    </w:p>
    <w:p w14:paraId="7E51DAC1" w14:textId="77777777" w:rsidR="008E0F44" w:rsidRDefault="008E0F44" w:rsidP="00C27D51">
      <w:pPr>
        <w:pStyle w:val="Heading1"/>
        <w:keepNext w:val="0"/>
        <w:keepLines w:val="0"/>
        <w:spacing w:before="0" w:after="60" w:line="240" w:lineRule="auto"/>
        <w:rPr>
          <w:rFonts w:ascii="Arial" w:hAnsi="Arial" w:cs="Arial"/>
          <w:color w:val="auto"/>
          <w:sz w:val="24"/>
          <w:szCs w:val="24"/>
          <w:u w:val="single"/>
        </w:rPr>
      </w:pPr>
    </w:p>
    <w:p w14:paraId="36DB8826" w14:textId="77777777" w:rsidR="00EF29BB" w:rsidRPr="00EF29BB" w:rsidRDefault="00EF29BB" w:rsidP="00EF29BB">
      <w:pPr>
        <w:pStyle w:val="NoSpacing"/>
        <w:rPr>
          <w:rFonts w:ascii="Arial" w:hAnsi="Arial" w:cs="Arial"/>
          <w:b/>
          <w:iCs/>
          <w:szCs w:val="24"/>
        </w:rPr>
      </w:pPr>
      <w:r>
        <w:rPr>
          <w:rFonts w:ascii="Arial" w:hAnsi="Arial" w:cs="Arial"/>
          <w:b/>
          <w:iCs/>
          <w:szCs w:val="24"/>
        </w:rPr>
        <w:t>[To</w:t>
      </w:r>
      <w:r w:rsidRPr="00EF29BB">
        <w:rPr>
          <w:rFonts w:ascii="Arial" w:hAnsi="Arial" w:cs="Arial"/>
          <w:b/>
          <w:iCs/>
          <w:szCs w:val="24"/>
        </w:rPr>
        <w:t xml:space="preserve"> be updated</w:t>
      </w:r>
      <w:r>
        <w:rPr>
          <w:rFonts w:ascii="Arial" w:hAnsi="Arial" w:cs="Arial"/>
          <w:b/>
          <w:iCs/>
          <w:szCs w:val="24"/>
        </w:rPr>
        <w:t xml:space="preserve"> by the 9/21 CAEECC Meeting</w:t>
      </w:r>
      <w:r w:rsidRPr="00EF29BB">
        <w:rPr>
          <w:rFonts w:ascii="Arial" w:hAnsi="Arial" w:cs="Arial"/>
          <w:b/>
          <w:iCs/>
          <w:szCs w:val="24"/>
        </w:rPr>
        <w:t>]</w:t>
      </w:r>
    </w:p>
    <w:p w14:paraId="25FC46DC" w14:textId="77777777" w:rsidR="00EF29BB" w:rsidRDefault="00EF29BB" w:rsidP="00EF29BB"/>
    <w:p w14:paraId="66938C46" w14:textId="77777777" w:rsidR="005E6B85" w:rsidRPr="00EF29BB" w:rsidRDefault="001B5865" w:rsidP="001B5865">
      <w:pPr>
        <w:pStyle w:val="NoSpacing"/>
        <w:numPr>
          <w:ilvl w:val="0"/>
          <w:numId w:val="2"/>
        </w:numPr>
        <w:rPr>
          <w:rFonts w:ascii="Arial" w:hAnsi="Arial" w:cs="Arial"/>
          <w:b/>
          <w:iCs/>
          <w:szCs w:val="24"/>
        </w:rPr>
      </w:pPr>
      <w:r w:rsidRPr="00EF29BB">
        <w:rPr>
          <w:rFonts w:ascii="Arial" w:hAnsi="Arial" w:cs="Arial"/>
          <w:b/>
          <w:iCs/>
          <w:szCs w:val="24"/>
        </w:rPr>
        <w:t>Multifamily</w:t>
      </w:r>
    </w:p>
    <w:p w14:paraId="4579384A"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Utilize innovative tools and tactics to increase participation while improving cost effectiveness</w:t>
      </w:r>
    </w:p>
    <w:p w14:paraId="56714713"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Leverage approaches that support a long-term customer journey for multifamily property owners</w:t>
      </w:r>
    </w:p>
    <w:p w14:paraId="52C075B9" w14:textId="78ABD8BD" w:rsidR="005E6B85" w:rsidRPr="00EF29BB" w:rsidRDefault="00EF29BB" w:rsidP="001B5865">
      <w:pPr>
        <w:pStyle w:val="NoSpacing"/>
        <w:numPr>
          <w:ilvl w:val="1"/>
          <w:numId w:val="2"/>
        </w:numPr>
        <w:rPr>
          <w:rFonts w:ascii="Arial" w:hAnsi="Arial" w:cs="Arial"/>
          <w:iCs/>
          <w:szCs w:val="24"/>
        </w:rPr>
      </w:pPr>
      <w:r>
        <w:rPr>
          <w:rFonts w:ascii="Arial" w:hAnsi="Arial" w:cs="Arial"/>
          <w:iCs/>
          <w:szCs w:val="24"/>
        </w:rPr>
        <w:t>Employ community-</w:t>
      </w:r>
      <w:r w:rsidR="001B5865" w:rsidRPr="00EF29BB">
        <w:rPr>
          <w:rFonts w:ascii="Arial" w:hAnsi="Arial" w:cs="Arial"/>
          <w:iCs/>
          <w:szCs w:val="24"/>
        </w:rPr>
        <w:t>based relationships and networks to influence hard-to-reach and disadvantaged communities</w:t>
      </w:r>
    </w:p>
    <w:p w14:paraId="3C712189"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Leverage County analytics and existing databases to identify key market targets and programmatic improvements</w:t>
      </w:r>
    </w:p>
    <w:p w14:paraId="5B204AC0" w14:textId="77777777" w:rsidR="005E6B85" w:rsidRDefault="001B5865" w:rsidP="001B5865">
      <w:pPr>
        <w:pStyle w:val="NoSpacing"/>
        <w:numPr>
          <w:ilvl w:val="1"/>
          <w:numId w:val="2"/>
        </w:numPr>
        <w:rPr>
          <w:rFonts w:ascii="Arial" w:hAnsi="Arial" w:cs="Arial"/>
          <w:iCs/>
          <w:szCs w:val="24"/>
        </w:rPr>
      </w:pPr>
      <w:r w:rsidRPr="00EF29BB">
        <w:rPr>
          <w:rFonts w:ascii="Arial" w:hAnsi="Arial" w:cs="Arial"/>
          <w:iCs/>
          <w:szCs w:val="24"/>
        </w:rPr>
        <w:t>Implement cost efficient financing solutions for multifamily property owners, to help drive a greater adoption of deep comprehensive retrofits</w:t>
      </w:r>
    </w:p>
    <w:p w14:paraId="0FA67541" w14:textId="77777777" w:rsidR="005E6B85" w:rsidRPr="00EF29BB" w:rsidRDefault="001B5865" w:rsidP="001B5865">
      <w:pPr>
        <w:pStyle w:val="NoSpacing"/>
        <w:numPr>
          <w:ilvl w:val="0"/>
          <w:numId w:val="2"/>
        </w:numPr>
        <w:rPr>
          <w:rFonts w:ascii="Arial" w:hAnsi="Arial" w:cs="Arial"/>
          <w:b/>
          <w:iCs/>
          <w:szCs w:val="24"/>
        </w:rPr>
      </w:pPr>
      <w:r w:rsidRPr="00EF29BB">
        <w:rPr>
          <w:rFonts w:ascii="Arial" w:hAnsi="Arial" w:cs="Arial"/>
          <w:b/>
          <w:iCs/>
          <w:szCs w:val="24"/>
        </w:rPr>
        <w:t>Public Sector</w:t>
      </w:r>
    </w:p>
    <w:p w14:paraId="7FECFAEE"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Implement more cost-effective innovative approaches such as NMEC to drive deeper retrofits savings</w:t>
      </w:r>
    </w:p>
    <w:p w14:paraId="416375C5"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Continue to utilize companion programs offered by partner IOUs to develop comprehensive work-scopes for public agencies</w:t>
      </w:r>
    </w:p>
    <w:p w14:paraId="1FA9E368"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Utilize SoCalREN’s “peer-driven” approach to drive program performance and reduce the program’s customer participation costs so that deeper energy savings can be achieved</w:t>
      </w:r>
    </w:p>
    <w:p w14:paraId="5385C247" w14:textId="77777777" w:rsidR="005E6B85" w:rsidRPr="00EF29BB" w:rsidRDefault="001B5865" w:rsidP="001B5865">
      <w:pPr>
        <w:pStyle w:val="NoSpacing"/>
        <w:numPr>
          <w:ilvl w:val="1"/>
          <w:numId w:val="2"/>
        </w:numPr>
        <w:rPr>
          <w:rFonts w:ascii="Arial" w:hAnsi="Arial" w:cs="Arial"/>
          <w:iCs/>
          <w:szCs w:val="24"/>
        </w:rPr>
      </w:pPr>
      <w:r w:rsidRPr="00EF29BB">
        <w:rPr>
          <w:rFonts w:ascii="Arial" w:hAnsi="Arial" w:cs="Arial"/>
          <w:iCs/>
          <w:szCs w:val="24"/>
        </w:rPr>
        <w:t>Implementing cost efficient financing solutions for Public Agency customers, to help drive a greater adoption of deep comprehensive retrofits</w:t>
      </w:r>
    </w:p>
    <w:p w14:paraId="1FCBCD11" w14:textId="77777777" w:rsidR="00EF29BB" w:rsidRPr="00EF29BB" w:rsidRDefault="00EF29BB" w:rsidP="00EF29BB">
      <w:pPr>
        <w:pStyle w:val="NoSpacing"/>
        <w:rPr>
          <w:rFonts w:ascii="Arial" w:hAnsi="Arial" w:cs="Arial"/>
          <w:iCs/>
          <w:szCs w:val="24"/>
        </w:rPr>
      </w:pPr>
    </w:p>
    <w:p w14:paraId="4DE282C7" w14:textId="77777777" w:rsidR="00EF29BB" w:rsidRPr="00EF29BB" w:rsidRDefault="00EF29BB" w:rsidP="00EF29BB"/>
    <w:p w14:paraId="254226A2" w14:textId="77777777" w:rsidR="008E0F44" w:rsidRDefault="008E0F44" w:rsidP="00C27D51">
      <w:pPr>
        <w:pStyle w:val="Heading1"/>
        <w:keepNext w:val="0"/>
        <w:keepLines w:val="0"/>
        <w:spacing w:before="0" w:after="60" w:line="240" w:lineRule="auto"/>
        <w:rPr>
          <w:rFonts w:ascii="Arial" w:hAnsi="Arial" w:cs="Arial"/>
          <w:color w:val="auto"/>
          <w:sz w:val="24"/>
          <w:szCs w:val="24"/>
          <w:u w:val="single"/>
        </w:rPr>
      </w:pPr>
    </w:p>
    <w:p w14:paraId="75D0ECE4" w14:textId="77777777" w:rsidR="00F6323D" w:rsidRPr="005500E7" w:rsidRDefault="00F6323D" w:rsidP="00C27D51">
      <w:pPr>
        <w:pStyle w:val="Heading1"/>
        <w:keepNext w:val="0"/>
        <w:keepLines w:val="0"/>
        <w:spacing w:before="0" w:after="60" w:line="240" w:lineRule="auto"/>
        <w:rPr>
          <w:rFonts w:ascii="Arial" w:hAnsi="Arial" w:cs="Arial"/>
          <w:color w:val="auto"/>
          <w:sz w:val="24"/>
          <w:szCs w:val="24"/>
          <w:u w:val="single"/>
        </w:rPr>
      </w:pPr>
      <w:r w:rsidRPr="005500E7">
        <w:rPr>
          <w:rFonts w:ascii="Arial" w:hAnsi="Arial" w:cs="Arial"/>
          <w:color w:val="auto"/>
          <w:sz w:val="24"/>
          <w:szCs w:val="24"/>
          <w:u w:val="single"/>
        </w:rPr>
        <w:t>Protest</w:t>
      </w:r>
      <w:r w:rsidR="008005CC" w:rsidRPr="005500E7">
        <w:rPr>
          <w:rFonts w:ascii="Arial" w:hAnsi="Arial" w:cs="Arial"/>
          <w:color w:val="auto"/>
          <w:sz w:val="24"/>
          <w:szCs w:val="24"/>
          <w:u w:val="single"/>
        </w:rPr>
        <w:t>s</w:t>
      </w:r>
    </w:p>
    <w:p w14:paraId="6B1CD113" w14:textId="77777777" w:rsidR="00F6323D" w:rsidRPr="005500E7" w:rsidRDefault="00F6323D" w:rsidP="00642BC0">
      <w:pPr>
        <w:pStyle w:val="Default"/>
        <w:spacing w:line="360" w:lineRule="auto"/>
        <w:jc w:val="both"/>
        <w:rPr>
          <w:rFonts w:ascii="Arial" w:hAnsi="Arial" w:cs="Arial"/>
          <w:sz w:val="22"/>
        </w:rPr>
      </w:pPr>
      <w:r w:rsidRPr="005500E7">
        <w:rPr>
          <w:rFonts w:ascii="Arial" w:hAnsi="Arial" w:cs="Arial"/>
          <w:sz w:val="22"/>
        </w:rPr>
        <w:t>Anyone may protest this Advice Letter. The protest must state the grounds upon which it is based.  The protest must be made in writing and received by the Commission within 20 days of the date this Advice Letter was filed with the Commission</w:t>
      </w:r>
      <w:r w:rsidR="00924C61" w:rsidRPr="005500E7">
        <w:rPr>
          <w:rFonts w:ascii="Arial" w:hAnsi="Arial" w:cs="Arial"/>
          <w:sz w:val="22"/>
        </w:rPr>
        <w:t>.</w:t>
      </w:r>
      <w:r w:rsidRPr="005500E7">
        <w:rPr>
          <w:rFonts w:ascii="Arial" w:hAnsi="Arial" w:cs="Arial"/>
          <w:sz w:val="22"/>
        </w:rPr>
        <w:t xml:space="preserve">  There is no restriction on who may file a protest. The address for mailing or delivering a protest to the Commission is:</w:t>
      </w:r>
    </w:p>
    <w:p w14:paraId="4B8DB59F" w14:textId="77777777" w:rsidR="00F6323D" w:rsidRPr="005500E7" w:rsidRDefault="00F6323D" w:rsidP="00C27D51">
      <w:pPr>
        <w:pStyle w:val="Default"/>
        <w:ind w:left="2880"/>
        <w:rPr>
          <w:rFonts w:ascii="Arial" w:hAnsi="Arial" w:cs="Arial"/>
          <w:sz w:val="22"/>
        </w:rPr>
      </w:pPr>
      <w:r w:rsidRPr="005500E7">
        <w:rPr>
          <w:rFonts w:ascii="Arial" w:hAnsi="Arial" w:cs="Arial"/>
          <w:sz w:val="22"/>
        </w:rPr>
        <w:t>Public Utilities Commission</w:t>
      </w:r>
    </w:p>
    <w:p w14:paraId="167D6803" w14:textId="77777777" w:rsidR="00F6323D" w:rsidRPr="005500E7" w:rsidRDefault="00F6323D" w:rsidP="00C27D51">
      <w:pPr>
        <w:pStyle w:val="Default"/>
        <w:ind w:left="2880"/>
        <w:rPr>
          <w:rFonts w:ascii="Arial" w:hAnsi="Arial" w:cs="Arial"/>
          <w:sz w:val="22"/>
        </w:rPr>
      </w:pPr>
      <w:r w:rsidRPr="005500E7">
        <w:rPr>
          <w:rFonts w:ascii="Arial" w:hAnsi="Arial" w:cs="Arial"/>
          <w:sz w:val="22"/>
        </w:rPr>
        <w:t>CPUC Energy Division</w:t>
      </w:r>
    </w:p>
    <w:p w14:paraId="640BE6FF" w14:textId="77777777" w:rsidR="00F6323D" w:rsidRPr="005500E7" w:rsidRDefault="00F6323D" w:rsidP="00C27D51">
      <w:pPr>
        <w:pStyle w:val="Default"/>
        <w:ind w:left="2880"/>
        <w:rPr>
          <w:rFonts w:ascii="Arial" w:hAnsi="Arial" w:cs="Arial"/>
          <w:sz w:val="22"/>
        </w:rPr>
      </w:pPr>
      <w:r w:rsidRPr="005500E7">
        <w:rPr>
          <w:rFonts w:ascii="Arial" w:hAnsi="Arial" w:cs="Arial"/>
          <w:sz w:val="22"/>
        </w:rPr>
        <w:t>Attention: Tariff Unit</w:t>
      </w:r>
    </w:p>
    <w:p w14:paraId="37A9AF69" w14:textId="77777777" w:rsidR="00F6323D" w:rsidRPr="005500E7" w:rsidRDefault="00F6323D" w:rsidP="00C27D51">
      <w:pPr>
        <w:pStyle w:val="Default"/>
        <w:ind w:left="2880"/>
        <w:rPr>
          <w:rFonts w:ascii="Arial" w:hAnsi="Arial" w:cs="Arial"/>
          <w:sz w:val="22"/>
        </w:rPr>
      </w:pPr>
      <w:r w:rsidRPr="005500E7">
        <w:rPr>
          <w:rFonts w:ascii="Arial" w:hAnsi="Arial" w:cs="Arial"/>
          <w:sz w:val="22"/>
        </w:rPr>
        <w:t>505 Van Ness Avenue</w:t>
      </w:r>
    </w:p>
    <w:p w14:paraId="03BB22C5" w14:textId="77777777" w:rsidR="00F6323D" w:rsidRPr="005500E7" w:rsidRDefault="00F6323D" w:rsidP="00C27D51">
      <w:pPr>
        <w:pStyle w:val="Default"/>
        <w:ind w:left="2880"/>
        <w:rPr>
          <w:rFonts w:ascii="Arial" w:hAnsi="Arial" w:cs="Arial"/>
          <w:sz w:val="22"/>
        </w:rPr>
      </w:pPr>
      <w:r w:rsidRPr="005500E7">
        <w:rPr>
          <w:rFonts w:ascii="Arial" w:hAnsi="Arial" w:cs="Arial"/>
          <w:sz w:val="22"/>
        </w:rPr>
        <w:lastRenderedPageBreak/>
        <w:t>San Francisco, CA  94102</w:t>
      </w:r>
    </w:p>
    <w:p w14:paraId="3D3187F4" w14:textId="77777777" w:rsidR="00F6323D" w:rsidRPr="005500E7" w:rsidRDefault="00F6323D" w:rsidP="00F6323D">
      <w:pPr>
        <w:pStyle w:val="Default"/>
        <w:rPr>
          <w:rFonts w:ascii="Times New Roman" w:hAnsi="Times New Roman" w:cs="Times New Roman"/>
        </w:rPr>
      </w:pPr>
    </w:p>
    <w:p w14:paraId="303971CF" w14:textId="77777777" w:rsidR="00F6323D" w:rsidRPr="005500E7" w:rsidRDefault="00F6323D" w:rsidP="00F6323D">
      <w:pPr>
        <w:pStyle w:val="Default"/>
        <w:spacing w:line="360" w:lineRule="auto"/>
        <w:jc w:val="both"/>
        <w:rPr>
          <w:rFonts w:ascii="Arial" w:hAnsi="Arial" w:cs="Arial"/>
          <w:sz w:val="22"/>
        </w:rPr>
      </w:pPr>
      <w:r w:rsidRPr="005500E7">
        <w:rPr>
          <w:rFonts w:ascii="Arial" w:hAnsi="Arial" w:cs="Arial"/>
          <w:sz w:val="22"/>
        </w:rPr>
        <w:t xml:space="preserve">Copies of the protest should also be sent via e-mail to the attention of the Energy Division at </w:t>
      </w:r>
      <w:hyperlink r:id="rId12" w:history="1">
        <w:r w:rsidRPr="005500E7">
          <w:rPr>
            <w:rStyle w:val="Hyperlink"/>
            <w:rFonts w:ascii="Arial" w:hAnsi="Arial" w:cs="Arial"/>
            <w:sz w:val="22"/>
          </w:rPr>
          <w:t>EDTariffUnit@cpuc.ca.gov</w:t>
        </w:r>
      </w:hyperlink>
      <w:r w:rsidRPr="005500E7">
        <w:rPr>
          <w:rFonts w:ascii="Arial" w:hAnsi="Arial" w:cs="Arial"/>
          <w:sz w:val="22"/>
        </w:rPr>
        <w:t>. It is also requested that a copy of the protest be sent by email to addresses shown below on the same date it is mailed or delivered to the Commission.</w:t>
      </w:r>
    </w:p>
    <w:p w14:paraId="26CFE7B2" w14:textId="77777777" w:rsidR="00F6323D" w:rsidRPr="005500E7" w:rsidRDefault="00F6323D" w:rsidP="00F6323D">
      <w:pPr>
        <w:pStyle w:val="Default"/>
        <w:rPr>
          <w:rFonts w:ascii="Arial" w:hAnsi="Arial" w:cs="Arial"/>
          <w:sz w:val="22"/>
        </w:rPr>
      </w:pPr>
    </w:p>
    <w:tbl>
      <w:tblPr>
        <w:tblW w:w="0" w:type="auto"/>
        <w:jc w:val="center"/>
        <w:tblLook w:val="01E0" w:firstRow="1" w:lastRow="1" w:firstColumn="1" w:lastColumn="1" w:noHBand="0" w:noVBand="0"/>
      </w:tblPr>
      <w:tblGrid>
        <w:gridCol w:w="4717"/>
        <w:gridCol w:w="236"/>
      </w:tblGrid>
      <w:tr w:rsidR="00F6323D" w:rsidRPr="005500E7" w14:paraId="5BEC31FC" w14:textId="77777777" w:rsidTr="00C27D51">
        <w:trPr>
          <w:jc w:val="center"/>
        </w:trPr>
        <w:tc>
          <w:tcPr>
            <w:tcW w:w="4717" w:type="dxa"/>
            <w:shd w:val="clear" w:color="auto" w:fill="auto"/>
          </w:tcPr>
          <w:p w14:paraId="10F854CF" w14:textId="3E07539B" w:rsidR="00103A34" w:rsidRPr="00CF6859" w:rsidRDefault="004230E5" w:rsidP="00733F48">
            <w:pPr>
              <w:pStyle w:val="Default"/>
              <w:widowControl w:val="0"/>
              <w:rPr>
                <w:rFonts w:ascii="Arial" w:hAnsi="Arial" w:cs="Arial"/>
                <w:sz w:val="22"/>
              </w:rPr>
            </w:pPr>
            <w:r>
              <w:rPr>
                <w:rFonts w:ascii="Arial" w:hAnsi="Arial" w:cs="Arial"/>
                <w:sz w:val="22"/>
              </w:rPr>
              <w:t>Minh Le</w:t>
            </w:r>
          </w:p>
          <w:p w14:paraId="54BB4FEA" w14:textId="77777777" w:rsidR="004230E5" w:rsidRDefault="004230E5" w:rsidP="00733F48">
            <w:pPr>
              <w:pStyle w:val="Default"/>
              <w:widowControl w:val="0"/>
              <w:rPr>
                <w:rFonts w:ascii="Arial" w:hAnsi="Arial" w:cs="Arial"/>
                <w:sz w:val="22"/>
              </w:rPr>
            </w:pPr>
            <w:r>
              <w:rPr>
                <w:rFonts w:ascii="Arial" w:hAnsi="Arial" w:cs="Arial"/>
                <w:sz w:val="22"/>
              </w:rPr>
              <w:t>Energy and Environmental Services</w:t>
            </w:r>
          </w:p>
          <w:p w14:paraId="21DA4512" w14:textId="30F5B00E" w:rsidR="00733F48" w:rsidRPr="00CF6859" w:rsidRDefault="004230E5" w:rsidP="00733F48">
            <w:pPr>
              <w:pStyle w:val="Default"/>
              <w:widowControl w:val="0"/>
              <w:rPr>
                <w:rFonts w:ascii="Arial" w:hAnsi="Arial" w:cs="Arial"/>
                <w:sz w:val="22"/>
              </w:rPr>
            </w:pPr>
            <w:r>
              <w:rPr>
                <w:rFonts w:ascii="Arial" w:hAnsi="Arial" w:cs="Arial"/>
                <w:sz w:val="22"/>
              </w:rPr>
              <w:t xml:space="preserve">General </w:t>
            </w:r>
            <w:r w:rsidR="00103A34" w:rsidRPr="00CF6859">
              <w:rPr>
                <w:rFonts w:ascii="Arial" w:hAnsi="Arial" w:cs="Arial"/>
                <w:sz w:val="22"/>
              </w:rPr>
              <w:t>Manager</w:t>
            </w:r>
            <w:r w:rsidR="00733F48" w:rsidRPr="00CF6859">
              <w:rPr>
                <w:rFonts w:ascii="Arial" w:hAnsi="Arial" w:cs="Arial"/>
                <w:sz w:val="22"/>
              </w:rPr>
              <w:t xml:space="preserve"> </w:t>
            </w:r>
          </w:p>
          <w:p w14:paraId="4D987C09" w14:textId="5C6FE014" w:rsidR="00733F48" w:rsidRPr="00CF6859" w:rsidRDefault="00733F48" w:rsidP="00733F48">
            <w:pPr>
              <w:pStyle w:val="Default"/>
              <w:widowControl w:val="0"/>
              <w:rPr>
                <w:rFonts w:ascii="Arial" w:hAnsi="Arial" w:cs="Arial"/>
                <w:sz w:val="22"/>
              </w:rPr>
            </w:pPr>
            <w:r w:rsidRPr="00CF6859">
              <w:rPr>
                <w:rFonts w:ascii="Arial" w:hAnsi="Arial" w:cs="Arial"/>
                <w:sz w:val="22"/>
              </w:rPr>
              <w:t xml:space="preserve">County of Los Angeles Office </w:t>
            </w:r>
          </w:p>
          <w:p w14:paraId="6DDB3D75" w14:textId="77777777" w:rsidR="00733F48" w:rsidRPr="00CF6859" w:rsidRDefault="00733F48" w:rsidP="00733F48">
            <w:pPr>
              <w:pStyle w:val="Default"/>
              <w:widowControl w:val="0"/>
              <w:rPr>
                <w:rFonts w:ascii="Arial" w:hAnsi="Arial" w:cs="Arial"/>
                <w:sz w:val="22"/>
              </w:rPr>
            </w:pPr>
            <w:r w:rsidRPr="00CF6859">
              <w:rPr>
                <w:rFonts w:ascii="Arial" w:hAnsi="Arial" w:cs="Arial"/>
                <w:sz w:val="22"/>
              </w:rPr>
              <w:t xml:space="preserve">1100 North Eastern Avenue </w:t>
            </w:r>
          </w:p>
          <w:p w14:paraId="0ED1A9B1" w14:textId="77777777" w:rsidR="00733F48" w:rsidRPr="00CF6859" w:rsidRDefault="00733F48" w:rsidP="00733F48">
            <w:pPr>
              <w:pStyle w:val="Default"/>
              <w:widowControl w:val="0"/>
              <w:rPr>
                <w:rFonts w:ascii="Arial" w:hAnsi="Arial" w:cs="Arial"/>
                <w:sz w:val="22"/>
              </w:rPr>
            </w:pPr>
            <w:r w:rsidRPr="00CF6859">
              <w:rPr>
                <w:rFonts w:ascii="Arial" w:hAnsi="Arial" w:cs="Arial"/>
                <w:sz w:val="22"/>
              </w:rPr>
              <w:t xml:space="preserve">Los Angeles, CA 90063-3200 </w:t>
            </w:r>
          </w:p>
          <w:p w14:paraId="1C67AC44" w14:textId="1595FA1D" w:rsidR="00733F48" w:rsidRPr="00CF6859" w:rsidRDefault="00733F48" w:rsidP="00733F48">
            <w:pPr>
              <w:pStyle w:val="Default"/>
              <w:widowControl w:val="0"/>
              <w:rPr>
                <w:rFonts w:ascii="Arial" w:hAnsi="Arial" w:cs="Arial"/>
                <w:sz w:val="22"/>
              </w:rPr>
            </w:pPr>
            <w:r w:rsidRPr="00CF6859">
              <w:rPr>
                <w:rFonts w:ascii="Arial" w:hAnsi="Arial" w:cs="Arial"/>
                <w:sz w:val="22"/>
              </w:rPr>
              <w:t xml:space="preserve">(323) </w:t>
            </w:r>
            <w:r w:rsidR="004230E5">
              <w:rPr>
                <w:rFonts w:ascii="Arial" w:hAnsi="Arial" w:cs="Arial"/>
                <w:sz w:val="22"/>
              </w:rPr>
              <w:t>267-2006</w:t>
            </w:r>
            <w:r w:rsidRPr="00CF6859">
              <w:rPr>
                <w:rFonts w:ascii="Arial" w:hAnsi="Arial" w:cs="Arial"/>
                <w:sz w:val="22"/>
              </w:rPr>
              <w:t xml:space="preserve"> </w:t>
            </w:r>
          </w:p>
          <w:p w14:paraId="504872AF" w14:textId="56D7B2BA" w:rsidR="00F6323D" w:rsidRPr="005500E7" w:rsidRDefault="00797254" w:rsidP="00733F48">
            <w:pPr>
              <w:pStyle w:val="Default"/>
              <w:widowControl w:val="0"/>
              <w:rPr>
                <w:rFonts w:ascii="Arial" w:hAnsi="Arial" w:cs="Arial"/>
                <w:i/>
                <w:sz w:val="22"/>
              </w:rPr>
            </w:pPr>
            <w:r>
              <w:rPr>
                <w:rFonts w:ascii="Arial" w:hAnsi="Arial" w:cs="Arial"/>
                <w:sz w:val="22"/>
              </w:rPr>
              <w:t>MSLe</w:t>
            </w:r>
            <w:r w:rsidR="00733F48" w:rsidRPr="00CF6859">
              <w:rPr>
                <w:rFonts w:ascii="Arial" w:hAnsi="Arial" w:cs="Arial"/>
                <w:sz w:val="22"/>
              </w:rPr>
              <w:t>@isd.lacounty.gov</w:t>
            </w:r>
            <w:r w:rsidR="00733F48" w:rsidRPr="005500E7">
              <w:rPr>
                <w:rFonts w:ascii="Arial" w:hAnsi="Arial" w:cs="Arial"/>
                <w:i/>
                <w:sz w:val="22"/>
              </w:rPr>
              <w:t xml:space="preserve"> </w:t>
            </w:r>
          </w:p>
        </w:tc>
        <w:tc>
          <w:tcPr>
            <w:tcW w:w="236" w:type="dxa"/>
            <w:shd w:val="clear" w:color="auto" w:fill="auto"/>
          </w:tcPr>
          <w:p w14:paraId="06649671" w14:textId="77777777" w:rsidR="00F6323D" w:rsidRPr="005500E7" w:rsidRDefault="00F6323D" w:rsidP="00733F48">
            <w:pPr>
              <w:pStyle w:val="Default"/>
              <w:widowControl w:val="0"/>
              <w:rPr>
                <w:rFonts w:ascii="Arial" w:hAnsi="Arial" w:cs="Arial"/>
                <w:sz w:val="22"/>
              </w:rPr>
            </w:pPr>
          </w:p>
        </w:tc>
      </w:tr>
    </w:tbl>
    <w:p w14:paraId="0F466E96" w14:textId="77777777" w:rsidR="00F6323D" w:rsidRPr="005500E7" w:rsidRDefault="00F6323D" w:rsidP="00F6323D">
      <w:pPr>
        <w:pStyle w:val="Default"/>
        <w:rPr>
          <w:rFonts w:ascii="Times New Roman" w:hAnsi="Times New Roman" w:cs="Times New Roman"/>
        </w:rPr>
      </w:pPr>
    </w:p>
    <w:p w14:paraId="1C0D2266" w14:textId="77777777" w:rsidR="002E44C2" w:rsidRPr="005500E7" w:rsidRDefault="002E44C2" w:rsidP="00C27D51">
      <w:pPr>
        <w:pStyle w:val="Heading1"/>
        <w:keepNext w:val="0"/>
        <w:keepLines w:val="0"/>
        <w:spacing w:before="0" w:after="60" w:line="240" w:lineRule="auto"/>
        <w:rPr>
          <w:rFonts w:ascii="Arial" w:hAnsi="Arial" w:cs="Arial"/>
          <w:color w:val="auto"/>
          <w:sz w:val="24"/>
          <w:szCs w:val="24"/>
          <w:u w:val="single"/>
        </w:rPr>
      </w:pPr>
      <w:r w:rsidRPr="005500E7">
        <w:rPr>
          <w:rFonts w:ascii="Arial" w:hAnsi="Arial" w:cs="Arial"/>
          <w:color w:val="auto"/>
          <w:sz w:val="24"/>
          <w:szCs w:val="24"/>
          <w:u w:val="single"/>
        </w:rPr>
        <w:t>Effective Date</w:t>
      </w:r>
    </w:p>
    <w:p w14:paraId="3EED557B" w14:textId="6864815E" w:rsidR="004B498C" w:rsidRPr="005500E7" w:rsidRDefault="004B498C" w:rsidP="00C27D51">
      <w:pPr>
        <w:rPr>
          <w:rFonts w:ascii="Arial" w:hAnsi="Arial" w:cs="Arial"/>
        </w:rPr>
      </w:pPr>
      <w:r w:rsidRPr="005500E7">
        <w:rPr>
          <w:rFonts w:ascii="Arial" w:hAnsi="Arial" w:cs="Arial"/>
        </w:rPr>
        <w:t xml:space="preserve">Per D. </w:t>
      </w:r>
      <w:r w:rsidR="00CE4E99" w:rsidRPr="005500E7">
        <w:rPr>
          <w:rFonts w:ascii="Arial" w:hAnsi="Arial" w:cs="Arial"/>
        </w:rPr>
        <w:t>1</w:t>
      </w:r>
      <w:r w:rsidRPr="005500E7">
        <w:rPr>
          <w:rFonts w:ascii="Arial" w:hAnsi="Arial" w:cs="Arial"/>
        </w:rPr>
        <w:t>4-10-046 this Advice Letter is subject to Energy Division disposition and should be classified as Tier 2 (effective after staff approval) pursuant to General Order (GO) 96-B.  SoCalR</w:t>
      </w:r>
      <w:r w:rsidR="00CE4E99" w:rsidRPr="005500E7">
        <w:rPr>
          <w:rFonts w:ascii="Arial" w:hAnsi="Arial" w:cs="Arial"/>
        </w:rPr>
        <w:t>EN</w:t>
      </w:r>
      <w:r w:rsidRPr="005500E7">
        <w:rPr>
          <w:rFonts w:ascii="Arial" w:hAnsi="Arial" w:cs="Arial"/>
        </w:rPr>
        <w:t xml:space="preserve"> respectfully requests that this Advice Letter be made effective o</w:t>
      </w:r>
      <w:r w:rsidR="00797254">
        <w:rPr>
          <w:rFonts w:ascii="Arial" w:hAnsi="Arial" w:cs="Arial"/>
        </w:rPr>
        <w:t xml:space="preserve">n </w:t>
      </w:r>
      <w:r w:rsidR="006D7E3B">
        <w:rPr>
          <w:rFonts w:ascii="Arial" w:hAnsi="Arial" w:cs="Arial"/>
        </w:rPr>
        <w:t>October</w:t>
      </w:r>
      <w:r w:rsidR="00797254">
        <w:rPr>
          <w:rFonts w:ascii="Arial" w:hAnsi="Arial" w:cs="Arial"/>
        </w:rPr>
        <w:t xml:space="preserve"> 4</w:t>
      </w:r>
      <w:r w:rsidRPr="00CF6859">
        <w:rPr>
          <w:rFonts w:ascii="Arial" w:hAnsi="Arial" w:cs="Arial"/>
        </w:rPr>
        <w:t>, 201</w:t>
      </w:r>
      <w:r w:rsidR="006D7E3B">
        <w:rPr>
          <w:rFonts w:ascii="Arial" w:hAnsi="Arial" w:cs="Arial"/>
        </w:rPr>
        <w:t>8</w:t>
      </w:r>
      <w:bookmarkStart w:id="0" w:name="_GoBack"/>
      <w:bookmarkEnd w:id="0"/>
      <w:r w:rsidRPr="00CF6859">
        <w:rPr>
          <w:rFonts w:ascii="Arial" w:hAnsi="Arial" w:cs="Arial"/>
        </w:rPr>
        <w:t>,</w:t>
      </w:r>
      <w:r w:rsidRPr="005500E7">
        <w:rPr>
          <w:rFonts w:ascii="Arial" w:hAnsi="Arial" w:cs="Arial"/>
        </w:rPr>
        <w:t xml:space="preserve"> which is 30 calendar days after the date filed.</w:t>
      </w:r>
    </w:p>
    <w:p w14:paraId="31F532E4" w14:textId="77777777" w:rsidR="00F6323D" w:rsidRPr="005500E7" w:rsidRDefault="00F6323D" w:rsidP="00C27D51">
      <w:pPr>
        <w:pStyle w:val="Heading1"/>
        <w:keepNext w:val="0"/>
        <w:keepLines w:val="0"/>
        <w:spacing w:before="0" w:after="60" w:line="240" w:lineRule="auto"/>
        <w:rPr>
          <w:rFonts w:ascii="Arial" w:hAnsi="Arial" w:cs="Arial"/>
          <w:color w:val="auto"/>
          <w:sz w:val="24"/>
          <w:szCs w:val="24"/>
          <w:u w:val="single"/>
        </w:rPr>
      </w:pPr>
      <w:r w:rsidRPr="005500E7">
        <w:rPr>
          <w:rFonts w:ascii="Arial" w:hAnsi="Arial" w:cs="Arial"/>
          <w:color w:val="auto"/>
          <w:sz w:val="24"/>
          <w:szCs w:val="24"/>
          <w:u w:val="single"/>
        </w:rPr>
        <w:t>Notice</w:t>
      </w:r>
    </w:p>
    <w:p w14:paraId="26AE1B30" w14:textId="77777777" w:rsidR="00F6323D" w:rsidRPr="005500E7" w:rsidRDefault="008005CC" w:rsidP="00F6323D">
      <w:pPr>
        <w:rPr>
          <w:rFonts w:ascii="Arial" w:hAnsi="Arial" w:cs="Arial"/>
          <w:sz w:val="24"/>
          <w:szCs w:val="24"/>
        </w:rPr>
      </w:pPr>
      <w:r w:rsidRPr="005500E7">
        <w:rPr>
          <w:rFonts w:ascii="Arial" w:hAnsi="Arial" w:cs="Arial"/>
        </w:rPr>
        <w:t xml:space="preserve">A copy of this Advice Letter is being sent to </w:t>
      </w:r>
      <w:r w:rsidR="00CE4E99" w:rsidRPr="005500E7">
        <w:rPr>
          <w:rFonts w:ascii="Arial" w:hAnsi="Arial" w:cs="Arial"/>
        </w:rPr>
        <w:t>the Commission’s service list</w:t>
      </w:r>
      <w:r w:rsidR="00E7078B">
        <w:rPr>
          <w:rFonts w:ascii="Arial" w:hAnsi="Arial" w:cs="Arial"/>
        </w:rPr>
        <w:t>s</w:t>
      </w:r>
      <w:r w:rsidRPr="005500E7">
        <w:rPr>
          <w:rFonts w:ascii="Arial" w:hAnsi="Arial" w:cs="Arial"/>
        </w:rPr>
        <w:t xml:space="preserve"> for R.13-11-005</w:t>
      </w:r>
      <w:r w:rsidR="00E7078B">
        <w:rPr>
          <w:rFonts w:ascii="Arial" w:hAnsi="Arial" w:cs="Arial"/>
        </w:rPr>
        <w:t xml:space="preserve"> and A.17-01-013 (et al.)</w:t>
      </w:r>
      <w:r w:rsidRPr="005500E7">
        <w:rPr>
          <w:rFonts w:ascii="Arial" w:hAnsi="Arial" w:cs="Arial"/>
        </w:rPr>
        <w:t>.  For changes to R.13-11-005</w:t>
      </w:r>
      <w:r w:rsidR="00E7078B">
        <w:rPr>
          <w:rFonts w:ascii="Arial" w:hAnsi="Arial" w:cs="Arial"/>
        </w:rPr>
        <w:t xml:space="preserve"> or A.17-01-013 (et al.)</w:t>
      </w:r>
      <w:r w:rsidRPr="005500E7">
        <w:rPr>
          <w:rFonts w:ascii="Arial" w:hAnsi="Arial" w:cs="Arial"/>
        </w:rPr>
        <w:t xml:space="preserve"> service list</w:t>
      </w:r>
      <w:r w:rsidR="00E7078B">
        <w:rPr>
          <w:rFonts w:ascii="Arial" w:hAnsi="Arial" w:cs="Arial"/>
        </w:rPr>
        <w:t>s</w:t>
      </w:r>
      <w:r w:rsidRPr="005500E7">
        <w:rPr>
          <w:rFonts w:ascii="Arial" w:hAnsi="Arial" w:cs="Arial"/>
        </w:rPr>
        <w:t>, please contact the Commission’s Process Office at 415-703-2021 or by electronic mail at process_office@cpuc.ca.gov.</w:t>
      </w:r>
    </w:p>
    <w:p w14:paraId="0055C96C" w14:textId="77777777" w:rsidR="00F6323D" w:rsidRPr="005500E7" w:rsidRDefault="00F6323D" w:rsidP="00F6323D">
      <w:pPr>
        <w:rPr>
          <w:rFonts w:ascii="Arial" w:hAnsi="Arial" w:cs="Arial"/>
          <w:szCs w:val="24"/>
        </w:rPr>
      </w:pPr>
      <w:r w:rsidRPr="005500E7">
        <w:rPr>
          <w:sz w:val="24"/>
          <w:szCs w:val="24"/>
        </w:rPr>
        <w:tab/>
      </w:r>
      <w:r w:rsidRPr="005500E7">
        <w:rPr>
          <w:sz w:val="24"/>
          <w:szCs w:val="24"/>
        </w:rPr>
        <w:tab/>
      </w:r>
      <w:r w:rsidRPr="005500E7">
        <w:rPr>
          <w:sz w:val="24"/>
          <w:szCs w:val="24"/>
        </w:rPr>
        <w:tab/>
      </w:r>
      <w:r w:rsidRPr="005500E7">
        <w:rPr>
          <w:sz w:val="24"/>
          <w:szCs w:val="24"/>
        </w:rPr>
        <w:tab/>
      </w:r>
      <w:r w:rsidRPr="005500E7">
        <w:rPr>
          <w:sz w:val="24"/>
          <w:szCs w:val="24"/>
        </w:rPr>
        <w:tab/>
      </w:r>
      <w:r w:rsidRPr="005500E7">
        <w:rPr>
          <w:sz w:val="24"/>
          <w:szCs w:val="24"/>
        </w:rPr>
        <w:tab/>
      </w:r>
      <w:r w:rsidR="00BF4CBC" w:rsidRPr="005500E7">
        <w:rPr>
          <w:rFonts w:ascii="Arial" w:hAnsi="Arial" w:cs="Arial"/>
          <w:szCs w:val="24"/>
        </w:rPr>
        <w:t>Respectfully Submitted,</w:t>
      </w:r>
    </w:p>
    <w:p w14:paraId="761CE48F" w14:textId="77777777" w:rsidR="00BF4CBC" w:rsidRPr="005500E7" w:rsidRDefault="00BF4CBC" w:rsidP="00F6323D">
      <w:pPr>
        <w:rPr>
          <w:rFonts w:ascii="Times" w:hAnsi="Times"/>
          <w:sz w:val="24"/>
          <w:szCs w:val="24"/>
        </w:rPr>
      </w:pPr>
      <w:r w:rsidRPr="005500E7">
        <w:rPr>
          <w:rFonts w:ascii="Times" w:hAnsi="Times"/>
          <w:sz w:val="24"/>
          <w:szCs w:val="24"/>
        </w:rPr>
        <w:tab/>
      </w:r>
      <w:r w:rsidRPr="005500E7">
        <w:rPr>
          <w:rFonts w:ascii="Times" w:hAnsi="Times"/>
          <w:sz w:val="24"/>
          <w:szCs w:val="24"/>
        </w:rPr>
        <w:tab/>
      </w:r>
      <w:r w:rsidRPr="005500E7">
        <w:rPr>
          <w:rFonts w:ascii="Times" w:hAnsi="Times"/>
          <w:sz w:val="24"/>
          <w:szCs w:val="24"/>
        </w:rPr>
        <w:tab/>
      </w:r>
      <w:r w:rsidRPr="005500E7">
        <w:rPr>
          <w:rFonts w:ascii="Times" w:hAnsi="Times"/>
          <w:sz w:val="24"/>
          <w:szCs w:val="24"/>
        </w:rPr>
        <w:tab/>
      </w:r>
      <w:r w:rsidRPr="005500E7">
        <w:rPr>
          <w:rFonts w:ascii="Times" w:hAnsi="Times"/>
          <w:sz w:val="24"/>
          <w:szCs w:val="24"/>
        </w:rPr>
        <w:tab/>
      </w:r>
      <w:r w:rsidRPr="005500E7">
        <w:rPr>
          <w:rFonts w:ascii="Times" w:hAnsi="Times"/>
          <w:sz w:val="24"/>
          <w:szCs w:val="24"/>
        </w:rPr>
        <w:tab/>
      </w:r>
    </w:p>
    <w:p w14:paraId="4D794839" w14:textId="0AAC3FF9" w:rsidR="006E47CE" w:rsidRPr="006E47CE" w:rsidRDefault="00963183" w:rsidP="006E47CE">
      <w:pPr>
        <w:spacing w:after="0" w:line="240" w:lineRule="auto"/>
        <w:rPr>
          <w:rFonts w:ascii="Arial" w:hAnsi="Arial" w:cs="Arial"/>
          <w:szCs w:val="24"/>
          <w:u w:val="single"/>
        </w:rPr>
      </w:pPr>
      <w:r w:rsidRPr="005500E7">
        <w:rPr>
          <w:i/>
          <w:sz w:val="24"/>
          <w:szCs w:val="24"/>
        </w:rPr>
        <w:tab/>
      </w:r>
      <w:r w:rsidRPr="005500E7">
        <w:rPr>
          <w:i/>
          <w:sz w:val="24"/>
          <w:szCs w:val="24"/>
        </w:rPr>
        <w:tab/>
      </w:r>
      <w:r w:rsidRPr="005500E7">
        <w:rPr>
          <w:i/>
          <w:sz w:val="24"/>
          <w:szCs w:val="24"/>
        </w:rPr>
        <w:tab/>
      </w:r>
      <w:r w:rsidRPr="005500E7">
        <w:rPr>
          <w:i/>
          <w:sz w:val="24"/>
          <w:szCs w:val="24"/>
        </w:rPr>
        <w:tab/>
      </w:r>
      <w:r w:rsidRPr="005500E7">
        <w:rPr>
          <w:i/>
          <w:sz w:val="24"/>
          <w:szCs w:val="24"/>
        </w:rPr>
        <w:tab/>
      </w:r>
      <w:r w:rsidRPr="005500E7">
        <w:rPr>
          <w:i/>
          <w:sz w:val="24"/>
          <w:szCs w:val="24"/>
        </w:rPr>
        <w:tab/>
      </w:r>
      <w:r w:rsidR="006E47CE" w:rsidRPr="006E47CE">
        <w:rPr>
          <w:rFonts w:ascii="Arial" w:hAnsi="Arial" w:cs="Arial"/>
          <w:szCs w:val="24"/>
          <w:u w:val="single"/>
        </w:rPr>
        <w:t xml:space="preserve">/s/     </w:t>
      </w:r>
      <w:r w:rsidR="006E47CE" w:rsidRPr="006E47CE">
        <w:rPr>
          <w:rFonts w:ascii="Arial" w:hAnsi="Arial" w:cs="Arial"/>
          <w:szCs w:val="24"/>
          <w:u w:val="single"/>
        </w:rPr>
        <w:tab/>
      </w:r>
      <w:r w:rsidR="006E47CE" w:rsidRPr="006E47CE">
        <w:rPr>
          <w:rFonts w:ascii="Arial" w:hAnsi="Arial" w:cs="Arial"/>
          <w:szCs w:val="24"/>
          <w:u w:val="single"/>
        </w:rPr>
        <w:tab/>
      </w:r>
      <w:r w:rsidR="006E47CE" w:rsidRPr="006E47CE">
        <w:rPr>
          <w:rFonts w:ascii="Arial" w:hAnsi="Arial" w:cs="Arial"/>
          <w:szCs w:val="24"/>
          <w:u w:val="single"/>
        </w:rPr>
        <w:tab/>
        <w:t xml:space="preserve">        </w:t>
      </w:r>
    </w:p>
    <w:p w14:paraId="40D487C0" w14:textId="758870C0" w:rsidR="006E47CE" w:rsidRPr="006E47CE" w:rsidRDefault="00797254" w:rsidP="006E47CE">
      <w:pPr>
        <w:spacing w:after="0" w:line="240" w:lineRule="auto"/>
        <w:ind w:left="4320"/>
        <w:rPr>
          <w:rFonts w:ascii="Arial" w:hAnsi="Arial" w:cs="Arial"/>
          <w:szCs w:val="24"/>
        </w:rPr>
      </w:pPr>
      <w:r>
        <w:rPr>
          <w:rFonts w:ascii="Arial" w:hAnsi="Arial" w:cs="Arial"/>
          <w:szCs w:val="24"/>
        </w:rPr>
        <w:t>Minh Le</w:t>
      </w:r>
      <w:r w:rsidR="006E47CE" w:rsidRPr="006E47CE">
        <w:rPr>
          <w:rFonts w:ascii="Arial" w:hAnsi="Arial" w:cs="Arial"/>
          <w:szCs w:val="24"/>
        </w:rPr>
        <w:t xml:space="preserve"> </w:t>
      </w:r>
      <w:r w:rsidR="006E47CE" w:rsidRPr="006E47CE">
        <w:rPr>
          <w:rFonts w:ascii="Arial" w:hAnsi="Arial" w:cs="Arial"/>
          <w:szCs w:val="24"/>
        </w:rPr>
        <w:tab/>
      </w:r>
      <w:r w:rsidR="006E47CE" w:rsidRPr="006E47CE">
        <w:rPr>
          <w:rFonts w:ascii="Arial" w:hAnsi="Arial" w:cs="Arial"/>
          <w:szCs w:val="24"/>
        </w:rPr>
        <w:tab/>
      </w:r>
      <w:r w:rsidR="006E47CE" w:rsidRPr="006E47CE">
        <w:rPr>
          <w:rFonts w:ascii="Arial" w:hAnsi="Arial" w:cs="Arial"/>
          <w:szCs w:val="24"/>
        </w:rPr>
        <w:tab/>
      </w:r>
    </w:p>
    <w:p w14:paraId="3468B0CF" w14:textId="2A98C4B7" w:rsidR="006E47CE" w:rsidRPr="006E47CE" w:rsidRDefault="00797254" w:rsidP="006E47CE">
      <w:pPr>
        <w:spacing w:after="0" w:line="240" w:lineRule="auto"/>
        <w:ind w:left="4320"/>
        <w:rPr>
          <w:rFonts w:ascii="Arial" w:hAnsi="Arial" w:cs="Arial"/>
          <w:szCs w:val="24"/>
        </w:rPr>
      </w:pPr>
      <w:r>
        <w:rPr>
          <w:rFonts w:ascii="Arial" w:hAnsi="Arial" w:cs="Arial"/>
          <w:szCs w:val="24"/>
        </w:rPr>
        <w:t xml:space="preserve">Energy and </w:t>
      </w:r>
      <w:r w:rsidR="006E47CE" w:rsidRPr="006E47CE">
        <w:rPr>
          <w:rFonts w:ascii="Arial" w:hAnsi="Arial" w:cs="Arial"/>
          <w:szCs w:val="24"/>
        </w:rPr>
        <w:t xml:space="preserve">Environmental </w:t>
      </w:r>
      <w:r>
        <w:rPr>
          <w:rFonts w:ascii="Arial" w:hAnsi="Arial" w:cs="Arial"/>
          <w:szCs w:val="24"/>
        </w:rPr>
        <w:t>Services</w:t>
      </w:r>
      <w:r w:rsidR="006E47CE" w:rsidRPr="006E47CE">
        <w:rPr>
          <w:rFonts w:ascii="Arial" w:hAnsi="Arial" w:cs="Arial"/>
          <w:szCs w:val="24"/>
        </w:rPr>
        <w:t xml:space="preserve"> </w:t>
      </w:r>
      <w:r>
        <w:rPr>
          <w:rFonts w:ascii="Arial" w:hAnsi="Arial" w:cs="Arial"/>
          <w:szCs w:val="24"/>
        </w:rPr>
        <w:t>General</w:t>
      </w:r>
      <w:r w:rsidR="006E47CE" w:rsidRPr="006E47CE">
        <w:rPr>
          <w:rFonts w:ascii="Arial" w:hAnsi="Arial" w:cs="Arial"/>
          <w:szCs w:val="24"/>
        </w:rPr>
        <w:t xml:space="preserve"> Manager</w:t>
      </w:r>
    </w:p>
    <w:p w14:paraId="2F53C9CB" w14:textId="015D89F0" w:rsidR="006E47CE" w:rsidRPr="006E47CE" w:rsidRDefault="006E47CE" w:rsidP="006E47CE">
      <w:pPr>
        <w:spacing w:after="0" w:line="240" w:lineRule="auto"/>
        <w:ind w:left="4320"/>
        <w:rPr>
          <w:rFonts w:ascii="Arial" w:hAnsi="Arial" w:cs="Arial"/>
          <w:szCs w:val="24"/>
        </w:rPr>
      </w:pPr>
      <w:r w:rsidRPr="006E47CE">
        <w:rPr>
          <w:rFonts w:ascii="Arial" w:hAnsi="Arial" w:cs="Arial"/>
          <w:szCs w:val="24"/>
        </w:rPr>
        <w:t xml:space="preserve">County of Los Angeles Office </w:t>
      </w:r>
    </w:p>
    <w:p w14:paraId="3C714D5C" w14:textId="25C13D68" w:rsidR="006E47CE" w:rsidRPr="006E47CE" w:rsidRDefault="006E47CE" w:rsidP="006E47CE">
      <w:pPr>
        <w:spacing w:after="0" w:line="240" w:lineRule="auto"/>
        <w:ind w:left="4320"/>
        <w:rPr>
          <w:rFonts w:ascii="Arial" w:hAnsi="Arial" w:cs="Arial"/>
          <w:i/>
          <w:szCs w:val="24"/>
        </w:rPr>
      </w:pPr>
      <w:r w:rsidRPr="006E47CE">
        <w:rPr>
          <w:rFonts w:ascii="Arial" w:hAnsi="Arial" w:cs="Arial"/>
          <w:szCs w:val="24"/>
        </w:rPr>
        <w:t>1100 North Eastern Avenue</w:t>
      </w:r>
      <w:r w:rsidRPr="006E47CE">
        <w:rPr>
          <w:rFonts w:ascii="Arial" w:hAnsi="Arial" w:cs="Arial"/>
          <w:szCs w:val="24"/>
        </w:rPr>
        <w:tab/>
      </w:r>
      <w:r w:rsidRPr="006E47CE">
        <w:rPr>
          <w:rFonts w:ascii="Arial" w:hAnsi="Arial" w:cs="Arial"/>
          <w:szCs w:val="24"/>
        </w:rPr>
        <w:tab/>
      </w:r>
      <w:r w:rsidRPr="006E47CE">
        <w:rPr>
          <w:rFonts w:ascii="Arial" w:hAnsi="Arial" w:cs="Arial"/>
          <w:szCs w:val="24"/>
        </w:rPr>
        <w:tab/>
        <w:t xml:space="preserve">        Los Angeles, CA 90063­3200</w:t>
      </w:r>
      <w:r w:rsidRPr="006E47CE">
        <w:rPr>
          <w:rFonts w:ascii="Arial" w:hAnsi="Arial" w:cs="Arial"/>
          <w:szCs w:val="24"/>
        </w:rPr>
        <w:tab/>
      </w:r>
      <w:r w:rsidRPr="006E47CE">
        <w:rPr>
          <w:rFonts w:ascii="Arial" w:hAnsi="Arial" w:cs="Arial"/>
          <w:szCs w:val="24"/>
        </w:rPr>
        <w:tab/>
      </w:r>
      <w:r w:rsidRPr="006E47CE">
        <w:rPr>
          <w:rFonts w:ascii="Arial" w:hAnsi="Arial" w:cs="Arial"/>
          <w:szCs w:val="24"/>
        </w:rPr>
        <w:tab/>
        <w:t xml:space="preserve">        (323</w:t>
      </w:r>
      <w:r w:rsidR="00797254">
        <w:rPr>
          <w:rFonts w:ascii="Arial" w:hAnsi="Arial" w:cs="Arial"/>
          <w:szCs w:val="24"/>
        </w:rPr>
        <w:t>) 267-2006</w:t>
      </w:r>
      <w:r w:rsidRPr="006E47CE">
        <w:rPr>
          <w:rFonts w:ascii="Arial" w:hAnsi="Arial" w:cs="Arial"/>
          <w:szCs w:val="24"/>
        </w:rPr>
        <w:tab/>
      </w:r>
      <w:r w:rsidRPr="006E47CE">
        <w:rPr>
          <w:rFonts w:ascii="Arial" w:hAnsi="Arial" w:cs="Arial"/>
          <w:szCs w:val="24"/>
        </w:rPr>
        <w:tab/>
      </w:r>
      <w:r w:rsidRPr="006E47CE">
        <w:rPr>
          <w:rFonts w:ascii="Arial" w:hAnsi="Arial" w:cs="Arial"/>
          <w:szCs w:val="24"/>
        </w:rPr>
        <w:tab/>
      </w:r>
      <w:r w:rsidRPr="006E47CE">
        <w:rPr>
          <w:rFonts w:ascii="Arial" w:hAnsi="Arial" w:cs="Arial"/>
          <w:szCs w:val="24"/>
        </w:rPr>
        <w:tab/>
      </w:r>
      <w:r w:rsidRPr="006E47CE">
        <w:rPr>
          <w:rFonts w:ascii="Arial" w:hAnsi="Arial" w:cs="Arial"/>
          <w:szCs w:val="24"/>
        </w:rPr>
        <w:tab/>
        <w:t xml:space="preserve">        </w:t>
      </w:r>
      <w:r w:rsidR="00797254">
        <w:rPr>
          <w:rFonts w:ascii="Arial" w:hAnsi="Arial" w:cs="Arial"/>
          <w:szCs w:val="24"/>
        </w:rPr>
        <w:t>MSLe</w:t>
      </w:r>
      <w:r w:rsidRPr="006E47CE">
        <w:rPr>
          <w:rFonts w:ascii="Arial" w:hAnsi="Arial" w:cs="Arial"/>
          <w:szCs w:val="24"/>
        </w:rPr>
        <w:t>@isd.lacounty.gov</w:t>
      </w:r>
      <w:r w:rsidRPr="006E47CE">
        <w:rPr>
          <w:rFonts w:ascii="Arial" w:hAnsi="Arial" w:cs="Arial"/>
          <w:i/>
          <w:szCs w:val="24"/>
        </w:rPr>
        <w:t xml:space="preserve"> </w:t>
      </w:r>
    </w:p>
    <w:p w14:paraId="61B18961" w14:textId="77777777" w:rsidR="00C27D51" w:rsidRPr="005500E7" w:rsidRDefault="00C27D51" w:rsidP="00C27D51">
      <w:pPr>
        <w:spacing w:after="0" w:line="240" w:lineRule="auto"/>
        <w:ind w:firstLine="720"/>
        <w:jc w:val="both"/>
        <w:rPr>
          <w:rFonts w:ascii="Times New Roman" w:hAnsi="Times New Roman" w:cs="Times New Roman"/>
        </w:rPr>
      </w:pPr>
    </w:p>
    <w:p w14:paraId="72F02899" w14:textId="77777777" w:rsidR="00642BC0" w:rsidRPr="005500E7" w:rsidRDefault="00642BC0" w:rsidP="00C27D51">
      <w:pPr>
        <w:spacing w:after="0" w:line="240" w:lineRule="auto"/>
        <w:ind w:firstLine="720"/>
        <w:jc w:val="both"/>
        <w:rPr>
          <w:rFonts w:ascii="Times New Roman" w:hAnsi="Times New Roman" w:cs="Times New Roman"/>
        </w:rPr>
      </w:pPr>
    </w:p>
    <w:p w14:paraId="02527809" w14:textId="77777777" w:rsidR="00642BC0" w:rsidRPr="005500E7" w:rsidRDefault="00642BC0" w:rsidP="00C27D51">
      <w:pPr>
        <w:spacing w:after="0" w:line="240" w:lineRule="auto"/>
        <w:ind w:firstLine="720"/>
        <w:jc w:val="both"/>
        <w:rPr>
          <w:rFonts w:ascii="Times New Roman" w:hAnsi="Times New Roman" w:cs="Times New Roman"/>
        </w:rPr>
      </w:pPr>
    </w:p>
    <w:sectPr w:rsidR="00642BC0" w:rsidRPr="005500E7" w:rsidSect="00642BC0">
      <w:headerReference w:type="even" r:id="rId13"/>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F855" w14:textId="77777777" w:rsidR="00E665FA" w:rsidRDefault="00E665FA" w:rsidP="00FC4C6F">
      <w:pPr>
        <w:spacing w:after="0" w:line="240" w:lineRule="auto"/>
      </w:pPr>
      <w:r>
        <w:separator/>
      </w:r>
    </w:p>
  </w:endnote>
  <w:endnote w:type="continuationSeparator" w:id="0">
    <w:p w14:paraId="307A34D8" w14:textId="77777777" w:rsidR="00E665FA" w:rsidRDefault="00E665FA" w:rsidP="00F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A802" w14:textId="77777777" w:rsidR="00C45164" w:rsidRPr="00F0198D" w:rsidRDefault="00C45164">
    <w:pPr>
      <w:pStyle w:val="Footer"/>
      <w:jc w:val="right"/>
      <w:rPr>
        <w:rFonts w:ascii="Times" w:hAnsi="Times"/>
      </w:rPr>
    </w:pPr>
  </w:p>
  <w:p w14:paraId="5B870BA6" w14:textId="77777777" w:rsidR="00C45164" w:rsidRDefault="00C4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F985" w14:textId="77777777" w:rsidR="00E665FA" w:rsidRDefault="00E665FA" w:rsidP="00FC4C6F">
      <w:pPr>
        <w:spacing w:after="0" w:line="240" w:lineRule="auto"/>
      </w:pPr>
      <w:r>
        <w:separator/>
      </w:r>
    </w:p>
  </w:footnote>
  <w:footnote w:type="continuationSeparator" w:id="0">
    <w:p w14:paraId="584D1597" w14:textId="77777777" w:rsidR="00E665FA" w:rsidRDefault="00E665FA" w:rsidP="00FC4C6F">
      <w:pPr>
        <w:spacing w:after="0" w:line="240" w:lineRule="auto"/>
      </w:pPr>
      <w:r>
        <w:continuationSeparator/>
      </w:r>
    </w:p>
  </w:footnote>
  <w:footnote w:id="1">
    <w:p w14:paraId="1C467D93" w14:textId="3EB49A26" w:rsidR="00797254" w:rsidRDefault="00797254">
      <w:pPr>
        <w:pStyle w:val="FootnoteText"/>
      </w:pPr>
      <w:r>
        <w:rPr>
          <w:rStyle w:val="FootnoteReference"/>
        </w:rPr>
        <w:footnoteRef/>
      </w:r>
      <w:r>
        <w:t xml:space="preserve"> D.18-05-041, p. [x]</w:t>
      </w:r>
    </w:p>
  </w:footnote>
  <w:footnote w:id="2">
    <w:p w14:paraId="737875EC" w14:textId="0FEE5F29" w:rsidR="00797254" w:rsidRDefault="00797254">
      <w:pPr>
        <w:pStyle w:val="FootnoteText"/>
      </w:pPr>
      <w:r>
        <w:rPr>
          <w:rStyle w:val="FootnoteReference"/>
        </w:rPr>
        <w:footnoteRef/>
      </w:r>
      <w:r>
        <w:t xml:space="preserve"> [citation and directive from D.16-08-019]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BD3C" w14:textId="3FB1290F" w:rsidR="004C56F8" w:rsidRDefault="00E665FA">
    <w:pPr>
      <w:pStyle w:val="Header"/>
    </w:pPr>
    <w:r>
      <w:rPr>
        <w:noProof/>
      </w:rPr>
      <w:pict w14:anchorId="0A80F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3232"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06F" w14:textId="52F83A22" w:rsidR="00642BC0" w:rsidRPr="00642BC0" w:rsidRDefault="00D04C49">
    <w:pPr>
      <w:pStyle w:val="Header"/>
      <w:rPr>
        <w:rFonts w:ascii="Arial" w:hAnsi="Arial" w:cs="Arial"/>
      </w:rPr>
    </w:pPr>
    <w:r w:rsidRPr="00CF6859">
      <w:rPr>
        <w:rFonts w:ascii="Arial" w:hAnsi="Arial" w:cs="Arial"/>
      </w:rPr>
      <w:t xml:space="preserve">Advice </w:t>
    </w:r>
    <w:r w:rsidR="00EF29BB">
      <w:rPr>
        <w:rFonts w:ascii="Arial" w:hAnsi="Arial" w:cs="Arial"/>
      </w:rPr>
      <w:t>8</w:t>
    </w:r>
    <w:r w:rsidRPr="00CF6859">
      <w:rPr>
        <w:rFonts w:ascii="Arial" w:hAnsi="Arial" w:cs="Arial"/>
      </w:rPr>
      <w:t>-E</w:t>
    </w:r>
    <w:r w:rsidR="00642BC0" w:rsidRPr="00CF6859">
      <w:rPr>
        <w:rFonts w:ascii="Arial" w:hAnsi="Arial" w:cs="Arial"/>
      </w:rPr>
      <w:t>-</w:t>
    </w:r>
    <w:r w:rsidRPr="00CF6859">
      <w:rPr>
        <w:rFonts w:ascii="Arial" w:hAnsi="Arial" w:cs="Arial"/>
      </w:rPr>
      <w:t>G</w:t>
    </w:r>
    <w:r w:rsidR="00642BC0" w:rsidRPr="005500E7">
      <w:rPr>
        <w:rFonts w:ascii="Arial" w:hAnsi="Arial" w:cs="Arial"/>
      </w:rPr>
      <w:ptab w:relativeTo="margin" w:alignment="center" w:leader="none"/>
    </w:r>
    <w:r w:rsidR="00642BC0" w:rsidRPr="005500E7">
      <w:rPr>
        <w:rFonts w:ascii="Arial" w:hAnsi="Arial" w:cs="Arial"/>
      </w:rPr>
      <w:t xml:space="preserve">- </w:t>
    </w:r>
    <w:r w:rsidR="00642BC0" w:rsidRPr="00ED3577">
      <w:rPr>
        <w:rFonts w:ascii="Arial" w:hAnsi="Arial" w:cs="Arial"/>
      </w:rPr>
      <w:fldChar w:fldCharType="begin"/>
    </w:r>
    <w:r w:rsidR="00642BC0" w:rsidRPr="005500E7">
      <w:rPr>
        <w:rFonts w:ascii="Arial" w:hAnsi="Arial" w:cs="Arial"/>
      </w:rPr>
      <w:instrText xml:space="preserve"> PAGE   \* MERGEFORMAT </w:instrText>
    </w:r>
    <w:r w:rsidR="00642BC0" w:rsidRPr="00ED3577">
      <w:rPr>
        <w:rFonts w:ascii="Arial" w:hAnsi="Arial" w:cs="Arial"/>
      </w:rPr>
      <w:fldChar w:fldCharType="separate"/>
    </w:r>
    <w:r w:rsidR="00B74084">
      <w:rPr>
        <w:rFonts w:ascii="Arial" w:hAnsi="Arial" w:cs="Arial"/>
        <w:noProof/>
      </w:rPr>
      <w:t>1</w:t>
    </w:r>
    <w:r w:rsidR="00642BC0" w:rsidRPr="00ED3577">
      <w:rPr>
        <w:rFonts w:ascii="Arial" w:hAnsi="Arial" w:cs="Arial"/>
        <w:noProof/>
      </w:rPr>
      <w:fldChar w:fldCharType="end"/>
    </w:r>
    <w:r w:rsidR="00642BC0" w:rsidRPr="005500E7">
      <w:rPr>
        <w:rFonts w:ascii="Arial" w:hAnsi="Arial" w:cs="Arial"/>
        <w:noProof/>
      </w:rPr>
      <w:t xml:space="preserve"> -</w:t>
    </w:r>
    <w:r w:rsidR="00EF29BB">
      <w:rPr>
        <w:rFonts w:ascii="Arial" w:hAnsi="Arial" w:cs="Arial"/>
      </w:rPr>
      <w:tab/>
      <w:t>September 4,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4D3B" w14:textId="7AB9F49A" w:rsidR="004C56F8" w:rsidRDefault="00E665FA">
    <w:pPr>
      <w:pStyle w:val="Header"/>
    </w:pPr>
    <w:r>
      <w:rPr>
        <w:noProof/>
      </w:rPr>
      <w:pict w14:anchorId="4AE9A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323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24C46"/>
    <w:multiLevelType w:val="hybridMultilevel"/>
    <w:tmpl w:val="E0CCA152"/>
    <w:lvl w:ilvl="0" w:tplc="39F857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AF53A2"/>
    <w:multiLevelType w:val="hybridMultilevel"/>
    <w:tmpl w:val="7B16889C"/>
    <w:lvl w:ilvl="0" w:tplc="2FFC59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0"/>
    <w:rsid w:val="000005BE"/>
    <w:rsid w:val="00002610"/>
    <w:rsid w:val="00005E4B"/>
    <w:rsid w:val="0000642D"/>
    <w:rsid w:val="00007EA5"/>
    <w:rsid w:val="000104F8"/>
    <w:rsid w:val="00013EBD"/>
    <w:rsid w:val="000257FD"/>
    <w:rsid w:val="000346C1"/>
    <w:rsid w:val="00034CD1"/>
    <w:rsid w:val="00035D15"/>
    <w:rsid w:val="00036934"/>
    <w:rsid w:val="0004250A"/>
    <w:rsid w:val="000435E5"/>
    <w:rsid w:val="00045A0D"/>
    <w:rsid w:val="000546F9"/>
    <w:rsid w:val="0005777E"/>
    <w:rsid w:val="000658FA"/>
    <w:rsid w:val="00065E6F"/>
    <w:rsid w:val="00074645"/>
    <w:rsid w:val="00082082"/>
    <w:rsid w:val="000830A4"/>
    <w:rsid w:val="00090B40"/>
    <w:rsid w:val="00095996"/>
    <w:rsid w:val="000B0278"/>
    <w:rsid w:val="000B11F0"/>
    <w:rsid w:val="000B41D5"/>
    <w:rsid w:val="000B79C5"/>
    <w:rsid w:val="000C21B9"/>
    <w:rsid w:val="000C61A8"/>
    <w:rsid w:val="000C6CA0"/>
    <w:rsid w:val="000D292D"/>
    <w:rsid w:val="000D489A"/>
    <w:rsid w:val="000D4BE4"/>
    <w:rsid w:val="000D674E"/>
    <w:rsid w:val="000D685C"/>
    <w:rsid w:val="000D6F3C"/>
    <w:rsid w:val="000E5A80"/>
    <w:rsid w:val="000E606D"/>
    <w:rsid w:val="000E684C"/>
    <w:rsid w:val="000E73B6"/>
    <w:rsid w:val="001011BD"/>
    <w:rsid w:val="00103A34"/>
    <w:rsid w:val="001137BC"/>
    <w:rsid w:val="00117181"/>
    <w:rsid w:val="00123FBE"/>
    <w:rsid w:val="00124699"/>
    <w:rsid w:val="00124774"/>
    <w:rsid w:val="00127106"/>
    <w:rsid w:val="00127C1B"/>
    <w:rsid w:val="00127EEF"/>
    <w:rsid w:val="001366CA"/>
    <w:rsid w:val="001403EB"/>
    <w:rsid w:val="00141BD0"/>
    <w:rsid w:val="001433BB"/>
    <w:rsid w:val="00147173"/>
    <w:rsid w:val="001478DB"/>
    <w:rsid w:val="001508A5"/>
    <w:rsid w:val="00151EB0"/>
    <w:rsid w:val="0016658D"/>
    <w:rsid w:val="00167014"/>
    <w:rsid w:val="001702DB"/>
    <w:rsid w:val="00170B53"/>
    <w:rsid w:val="00171388"/>
    <w:rsid w:val="001741E1"/>
    <w:rsid w:val="001750C5"/>
    <w:rsid w:val="00181562"/>
    <w:rsid w:val="00181E0A"/>
    <w:rsid w:val="001875DF"/>
    <w:rsid w:val="00187D8D"/>
    <w:rsid w:val="0019202F"/>
    <w:rsid w:val="0019227F"/>
    <w:rsid w:val="00194F7D"/>
    <w:rsid w:val="00194FE0"/>
    <w:rsid w:val="00195971"/>
    <w:rsid w:val="001A3B1D"/>
    <w:rsid w:val="001A651A"/>
    <w:rsid w:val="001B5646"/>
    <w:rsid w:val="001B5865"/>
    <w:rsid w:val="001B6A3E"/>
    <w:rsid w:val="001C0F30"/>
    <w:rsid w:val="001C1433"/>
    <w:rsid w:val="001C7D1E"/>
    <w:rsid w:val="001D548E"/>
    <w:rsid w:val="001D6A01"/>
    <w:rsid w:val="001D7E6E"/>
    <w:rsid w:val="001E2858"/>
    <w:rsid w:val="001E701C"/>
    <w:rsid w:val="001E703D"/>
    <w:rsid w:val="001F0395"/>
    <w:rsid w:val="00216D93"/>
    <w:rsid w:val="00217577"/>
    <w:rsid w:val="00220C34"/>
    <w:rsid w:val="0022131E"/>
    <w:rsid w:val="0022374C"/>
    <w:rsid w:val="002310C8"/>
    <w:rsid w:val="00232230"/>
    <w:rsid w:val="002405DA"/>
    <w:rsid w:val="0024464A"/>
    <w:rsid w:val="00247062"/>
    <w:rsid w:val="002526E4"/>
    <w:rsid w:val="00256060"/>
    <w:rsid w:val="0025708A"/>
    <w:rsid w:val="00265058"/>
    <w:rsid w:val="00266EA9"/>
    <w:rsid w:val="002708EE"/>
    <w:rsid w:val="00275632"/>
    <w:rsid w:val="002833F6"/>
    <w:rsid w:val="00283AAF"/>
    <w:rsid w:val="00284546"/>
    <w:rsid w:val="002876F1"/>
    <w:rsid w:val="00287C7A"/>
    <w:rsid w:val="00290069"/>
    <w:rsid w:val="00296B1C"/>
    <w:rsid w:val="002A05F0"/>
    <w:rsid w:val="002A227C"/>
    <w:rsid w:val="002A2E84"/>
    <w:rsid w:val="002A783B"/>
    <w:rsid w:val="002B667D"/>
    <w:rsid w:val="002C290B"/>
    <w:rsid w:val="002D1789"/>
    <w:rsid w:val="002E1185"/>
    <w:rsid w:val="002E35D5"/>
    <w:rsid w:val="002E44C2"/>
    <w:rsid w:val="002F4DE8"/>
    <w:rsid w:val="002F7091"/>
    <w:rsid w:val="00300761"/>
    <w:rsid w:val="00300E61"/>
    <w:rsid w:val="0030113F"/>
    <w:rsid w:val="003015B8"/>
    <w:rsid w:val="00304046"/>
    <w:rsid w:val="003059A5"/>
    <w:rsid w:val="00307A3E"/>
    <w:rsid w:val="00312216"/>
    <w:rsid w:val="003136D3"/>
    <w:rsid w:val="00316B8A"/>
    <w:rsid w:val="00317D61"/>
    <w:rsid w:val="0032202E"/>
    <w:rsid w:val="00322C16"/>
    <w:rsid w:val="003273FD"/>
    <w:rsid w:val="00330454"/>
    <w:rsid w:val="0033188C"/>
    <w:rsid w:val="00332934"/>
    <w:rsid w:val="00333660"/>
    <w:rsid w:val="003349CE"/>
    <w:rsid w:val="00345448"/>
    <w:rsid w:val="003502F8"/>
    <w:rsid w:val="0035443F"/>
    <w:rsid w:val="003576B3"/>
    <w:rsid w:val="00372D12"/>
    <w:rsid w:val="0037480A"/>
    <w:rsid w:val="00385E31"/>
    <w:rsid w:val="00386CC0"/>
    <w:rsid w:val="00386EF2"/>
    <w:rsid w:val="003873D8"/>
    <w:rsid w:val="00391E46"/>
    <w:rsid w:val="003964CD"/>
    <w:rsid w:val="003967D7"/>
    <w:rsid w:val="003971B2"/>
    <w:rsid w:val="0039737C"/>
    <w:rsid w:val="003A0F5D"/>
    <w:rsid w:val="003A3376"/>
    <w:rsid w:val="003A6DEF"/>
    <w:rsid w:val="003A72B4"/>
    <w:rsid w:val="003B1213"/>
    <w:rsid w:val="003B4114"/>
    <w:rsid w:val="003B520D"/>
    <w:rsid w:val="003B7DE5"/>
    <w:rsid w:val="003D12ED"/>
    <w:rsid w:val="003D2990"/>
    <w:rsid w:val="003D78EC"/>
    <w:rsid w:val="003E2A3B"/>
    <w:rsid w:val="003F4820"/>
    <w:rsid w:val="003F6943"/>
    <w:rsid w:val="004042C1"/>
    <w:rsid w:val="004121A9"/>
    <w:rsid w:val="00412B59"/>
    <w:rsid w:val="00421BDF"/>
    <w:rsid w:val="004230E5"/>
    <w:rsid w:val="004235AF"/>
    <w:rsid w:val="00423E11"/>
    <w:rsid w:val="00425214"/>
    <w:rsid w:val="00433379"/>
    <w:rsid w:val="00443375"/>
    <w:rsid w:val="004475BD"/>
    <w:rsid w:val="00447DFB"/>
    <w:rsid w:val="004556F2"/>
    <w:rsid w:val="00463740"/>
    <w:rsid w:val="0046484B"/>
    <w:rsid w:val="0046634A"/>
    <w:rsid w:val="00467E4A"/>
    <w:rsid w:val="00480610"/>
    <w:rsid w:val="004856DA"/>
    <w:rsid w:val="00486CF3"/>
    <w:rsid w:val="00486D7D"/>
    <w:rsid w:val="00486E59"/>
    <w:rsid w:val="00486EB0"/>
    <w:rsid w:val="00496CFD"/>
    <w:rsid w:val="00497E53"/>
    <w:rsid w:val="004A4057"/>
    <w:rsid w:val="004A57A2"/>
    <w:rsid w:val="004A5911"/>
    <w:rsid w:val="004B1523"/>
    <w:rsid w:val="004B38A9"/>
    <w:rsid w:val="004B498C"/>
    <w:rsid w:val="004B79AF"/>
    <w:rsid w:val="004C56F8"/>
    <w:rsid w:val="004C79B7"/>
    <w:rsid w:val="004D02A9"/>
    <w:rsid w:val="004D2899"/>
    <w:rsid w:val="004D2E4B"/>
    <w:rsid w:val="004D3167"/>
    <w:rsid w:val="004D5489"/>
    <w:rsid w:val="004E1290"/>
    <w:rsid w:val="004E23D7"/>
    <w:rsid w:val="004E2E7D"/>
    <w:rsid w:val="004F2DC4"/>
    <w:rsid w:val="004F3B26"/>
    <w:rsid w:val="004F5FF6"/>
    <w:rsid w:val="004F75C1"/>
    <w:rsid w:val="0050042E"/>
    <w:rsid w:val="00501E49"/>
    <w:rsid w:val="00502FBE"/>
    <w:rsid w:val="00507996"/>
    <w:rsid w:val="00512B1C"/>
    <w:rsid w:val="00512C4C"/>
    <w:rsid w:val="005142B8"/>
    <w:rsid w:val="00517F1D"/>
    <w:rsid w:val="00524C29"/>
    <w:rsid w:val="005275A3"/>
    <w:rsid w:val="00536407"/>
    <w:rsid w:val="005432E7"/>
    <w:rsid w:val="00544B8E"/>
    <w:rsid w:val="0054505A"/>
    <w:rsid w:val="005500E7"/>
    <w:rsid w:val="00551D41"/>
    <w:rsid w:val="00557312"/>
    <w:rsid w:val="00566E18"/>
    <w:rsid w:val="00567EA9"/>
    <w:rsid w:val="00570A66"/>
    <w:rsid w:val="00571F55"/>
    <w:rsid w:val="0057429F"/>
    <w:rsid w:val="00574FB5"/>
    <w:rsid w:val="00584EF8"/>
    <w:rsid w:val="00587A4F"/>
    <w:rsid w:val="00592BEC"/>
    <w:rsid w:val="005A2428"/>
    <w:rsid w:val="005A5260"/>
    <w:rsid w:val="005A643E"/>
    <w:rsid w:val="005A7DA2"/>
    <w:rsid w:val="005B1AE7"/>
    <w:rsid w:val="005B65AA"/>
    <w:rsid w:val="005C4DE7"/>
    <w:rsid w:val="005C69DF"/>
    <w:rsid w:val="005C7653"/>
    <w:rsid w:val="005D544A"/>
    <w:rsid w:val="005E1E6B"/>
    <w:rsid w:val="005E4705"/>
    <w:rsid w:val="005E6B85"/>
    <w:rsid w:val="005E7418"/>
    <w:rsid w:val="005F0005"/>
    <w:rsid w:val="005F1C99"/>
    <w:rsid w:val="005F281C"/>
    <w:rsid w:val="005F3276"/>
    <w:rsid w:val="005F6B66"/>
    <w:rsid w:val="005F783B"/>
    <w:rsid w:val="00600DD7"/>
    <w:rsid w:val="0060366C"/>
    <w:rsid w:val="006045DB"/>
    <w:rsid w:val="00604E9E"/>
    <w:rsid w:val="006061EB"/>
    <w:rsid w:val="006075CB"/>
    <w:rsid w:val="00607BBF"/>
    <w:rsid w:val="006137DE"/>
    <w:rsid w:val="006162F0"/>
    <w:rsid w:val="006168C3"/>
    <w:rsid w:val="00625B8B"/>
    <w:rsid w:val="00632953"/>
    <w:rsid w:val="006348A8"/>
    <w:rsid w:val="006369F2"/>
    <w:rsid w:val="00642BC0"/>
    <w:rsid w:val="006458C0"/>
    <w:rsid w:val="006515DD"/>
    <w:rsid w:val="006521A9"/>
    <w:rsid w:val="00652EC1"/>
    <w:rsid w:val="006538EE"/>
    <w:rsid w:val="00654F49"/>
    <w:rsid w:val="006571AE"/>
    <w:rsid w:val="00661241"/>
    <w:rsid w:val="00664317"/>
    <w:rsid w:val="00664856"/>
    <w:rsid w:val="00665879"/>
    <w:rsid w:val="006748CB"/>
    <w:rsid w:val="0067639A"/>
    <w:rsid w:val="00684D23"/>
    <w:rsid w:val="00686B0C"/>
    <w:rsid w:val="006933B2"/>
    <w:rsid w:val="00696087"/>
    <w:rsid w:val="006964FE"/>
    <w:rsid w:val="006A1E2F"/>
    <w:rsid w:val="006A3507"/>
    <w:rsid w:val="006A383B"/>
    <w:rsid w:val="006B038D"/>
    <w:rsid w:val="006B1E52"/>
    <w:rsid w:val="006B26A7"/>
    <w:rsid w:val="006C104E"/>
    <w:rsid w:val="006C1397"/>
    <w:rsid w:val="006C2B0B"/>
    <w:rsid w:val="006C2BF6"/>
    <w:rsid w:val="006C749C"/>
    <w:rsid w:val="006D0E0D"/>
    <w:rsid w:val="006D2B94"/>
    <w:rsid w:val="006D77EC"/>
    <w:rsid w:val="006D7E3B"/>
    <w:rsid w:val="006E1914"/>
    <w:rsid w:val="006E2A0D"/>
    <w:rsid w:val="006E3AC8"/>
    <w:rsid w:val="006E47CE"/>
    <w:rsid w:val="006F3CEE"/>
    <w:rsid w:val="006F4722"/>
    <w:rsid w:val="007017FA"/>
    <w:rsid w:val="00702E44"/>
    <w:rsid w:val="007042BA"/>
    <w:rsid w:val="0070562C"/>
    <w:rsid w:val="00706614"/>
    <w:rsid w:val="00715970"/>
    <w:rsid w:val="00715E25"/>
    <w:rsid w:val="00717387"/>
    <w:rsid w:val="007201CD"/>
    <w:rsid w:val="00722C02"/>
    <w:rsid w:val="00722F6C"/>
    <w:rsid w:val="0072348E"/>
    <w:rsid w:val="00724B03"/>
    <w:rsid w:val="00726D8C"/>
    <w:rsid w:val="00730080"/>
    <w:rsid w:val="00731C3A"/>
    <w:rsid w:val="00733BFB"/>
    <w:rsid w:val="00733F48"/>
    <w:rsid w:val="0073769D"/>
    <w:rsid w:val="00742216"/>
    <w:rsid w:val="00743D09"/>
    <w:rsid w:val="00743F16"/>
    <w:rsid w:val="00743FB8"/>
    <w:rsid w:val="00746057"/>
    <w:rsid w:val="00746444"/>
    <w:rsid w:val="0075138D"/>
    <w:rsid w:val="00753E64"/>
    <w:rsid w:val="00754D25"/>
    <w:rsid w:val="00755035"/>
    <w:rsid w:val="00761D5A"/>
    <w:rsid w:val="00761F0F"/>
    <w:rsid w:val="0076207B"/>
    <w:rsid w:val="00762B71"/>
    <w:rsid w:val="00762DA6"/>
    <w:rsid w:val="00763474"/>
    <w:rsid w:val="00773A0C"/>
    <w:rsid w:val="00775885"/>
    <w:rsid w:val="007764C0"/>
    <w:rsid w:val="007831B3"/>
    <w:rsid w:val="0079318E"/>
    <w:rsid w:val="00793C59"/>
    <w:rsid w:val="00797254"/>
    <w:rsid w:val="007A1014"/>
    <w:rsid w:val="007B41F1"/>
    <w:rsid w:val="007C2050"/>
    <w:rsid w:val="007C20D3"/>
    <w:rsid w:val="007C4020"/>
    <w:rsid w:val="007C4275"/>
    <w:rsid w:val="007C438D"/>
    <w:rsid w:val="007D255F"/>
    <w:rsid w:val="007D2A0C"/>
    <w:rsid w:val="007D4A09"/>
    <w:rsid w:val="00800351"/>
    <w:rsid w:val="008005CC"/>
    <w:rsid w:val="00802327"/>
    <w:rsid w:val="00804782"/>
    <w:rsid w:val="0080690A"/>
    <w:rsid w:val="008102F6"/>
    <w:rsid w:val="008104FE"/>
    <w:rsid w:val="0081276F"/>
    <w:rsid w:val="00816B9E"/>
    <w:rsid w:val="00821261"/>
    <w:rsid w:val="008221FF"/>
    <w:rsid w:val="00822369"/>
    <w:rsid w:val="00827A0A"/>
    <w:rsid w:val="00827F58"/>
    <w:rsid w:val="00834EB4"/>
    <w:rsid w:val="008369F0"/>
    <w:rsid w:val="00836FF9"/>
    <w:rsid w:val="00847AAD"/>
    <w:rsid w:val="0085131E"/>
    <w:rsid w:val="00854633"/>
    <w:rsid w:val="008565EC"/>
    <w:rsid w:val="00863F94"/>
    <w:rsid w:val="008665AB"/>
    <w:rsid w:val="008670E8"/>
    <w:rsid w:val="008749A9"/>
    <w:rsid w:val="00876494"/>
    <w:rsid w:val="00876EEA"/>
    <w:rsid w:val="00877EDF"/>
    <w:rsid w:val="00883BAF"/>
    <w:rsid w:val="00884DD8"/>
    <w:rsid w:val="008855CB"/>
    <w:rsid w:val="00890977"/>
    <w:rsid w:val="00892441"/>
    <w:rsid w:val="008925CD"/>
    <w:rsid w:val="0089263A"/>
    <w:rsid w:val="00894980"/>
    <w:rsid w:val="00896B32"/>
    <w:rsid w:val="00897A39"/>
    <w:rsid w:val="008A442C"/>
    <w:rsid w:val="008A62E4"/>
    <w:rsid w:val="008B195F"/>
    <w:rsid w:val="008B6B25"/>
    <w:rsid w:val="008B70EC"/>
    <w:rsid w:val="008C1798"/>
    <w:rsid w:val="008C423D"/>
    <w:rsid w:val="008C5617"/>
    <w:rsid w:val="008C5911"/>
    <w:rsid w:val="008C713E"/>
    <w:rsid w:val="008D041C"/>
    <w:rsid w:val="008D1FCE"/>
    <w:rsid w:val="008D23A2"/>
    <w:rsid w:val="008D2922"/>
    <w:rsid w:val="008D508E"/>
    <w:rsid w:val="008E0F44"/>
    <w:rsid w:val="008E124B"/>
    <w:rsid w:val="008E2E88"/>
    <w:rsid w:val="008E6ABE"/>
    <w:rsid w:val="008E7442"/>
    <w:rsid w:val="008F1999"/>
    <w:rsid w:val="008F50D0"/>
    <w:rsid w:val="0090062F"/>
    <w:rsid w:val="00910E88"/>
    <w:rsid w:val="0092168D"/>
    <w:rsid w:val="00924205"/>
    <w:rsid w:val="00924C61"/>
    <w:rsid w:val="00926ABE"/>
    <w:rsid w:val="009272E1"/>
    <w:rsid w:val="00937A9A"/>
    <w:rsid w:val="009409DF"/>
    <w:rsid w:val="00940A96"/>
    <w:rsid w:val="0094359F"/>
    <w:rsid w:val="009440AA"/>
    <w:rsid w:val="00947A10"/>
    <w:rsid w:val="0096199F"/>
    <w:rsid w:val="00963183"/>
    <w:rsid w:val="009638A8"/>
    <w:rsid w:val="009739A5"/>
    <w:rsid w:val="00985A37"/>
    <w:rsid w:val="00987F3B"/>
    <w:rsid w:val="00990D48"/>
    <w:rsid w:val="009B49DC"/>
    <w:rsid w:val="009B67A8"/>
    <w:rsid w:val="009C1B9D"/>
    <w:rsid w:val="009C7432"/>
    <w:rsid w:val="009D515C"/>
    <w:rsid w:val="009E104A"/>
    <w:rsid w:val="009E2E3F"/>
    <w:rsid w:val="009E3AAA"/>
    <w:rsid w:val="009E55B1"/>
    <w:rsid w:val="009E67B4"/>
    <w:rsid w:val="009F03C4"/>
    <w:rsid w:val="009F12F7"/>
    <w:rsid w:val="009F153E"/>
    <w:rsid w:val="009F4E17"/>
    <w:rsid w:val="009F75D4"/>
    <w:rsid w:val="00A11740"/>
    <w:rsid w:val="00A14F29"/>
    <w:rsid w:val="00A15884"/>
    <w:rsid w:val="00A21A48"/>
    <w:rsid w:val="00A2445D"/>
    <w:rsid w:val="00A24E0A"/>
    <w:rsid w:val="00A25AB8"/>
    <w:rsid w:val="00A27CE4"/>
    <w:rsid w:val="00A30F16"/>
    <w:rsid w:val="00A31C76"/>
    <w:rsid w:val="00A41C05"/>
    <w:rsid w:val="00A42471"/>
    <w:rsid w:val="00A47C90"/>
    <w:rsid w:val="00A5554E"/>
    <w:rsid w:val="00A63761"/>
    <w:rsid w:val="00A668C5"/>
    <w:rsid w:val="00A679C8"/>
    <w:rsid w:val="00A70D36"/>
    <w:rsid w:val="00A71204"/>
    <w:rsid w:val="00A7196C"/>
    <w:rsid w:val="00A81CC5"/>
    <w:rsid w:val="00A8271D"/>
    <w:rsid w:val="00A843BD"/>
    <w:rsid w:val="00A850D8"/>
    <w:rsid w:val="00A85730"/>
    <w:rsid w:val="00A906A0"/>
    <w:rsid w:val="00A91E24"/>
    <w:rsid w:val="00A94289"/>
    <w:rsid w:val="00A9781C"/>
    <w:rsid w:val="00AA44EA"/>
    <w:rsid w:val="00AA68F0"/>
    <w:rsid w:val="00AA7BF4"/>
    <w:rsid w:val="00AA7EAC"/>
    <w:rsid w:val="00AB221B"/>
    <w:rsid w:val="00AB37BF"/>
    <w:rsid w:val="00AB382F"/>
    <w:rsid w:val="00AB3A99"/>
    <w:rsid w:val="00AC0DB2"/>
    <w:rsid w:val="00AC3ED5"/>
    <w:rsid w:val="00AC40B5"/>
    <w:rsid w:val="00AC6B10"/>
    <w:rsid w:val="00AC6F1B"/>
    <w:rsid w:val="00AD155B"/>
    <w:rsid w:val="00AD202F"/>
    <w:rsid w:val="00AD4B2B"/>
    <w:rsid w:val="00AD4D6E"/>
    <w:rsid w:val="00AD595F"/>
    <w:rsid w:val="00AE4B12"/>
    <w:rsid w:val="00AE6148"/>
    <w:rsid w:val="00AF1B69"/>
    <w:rsid w:val="00AF273F"/>
    <w:rsid w:val="00AF5244"/>
    <w:rsid w:val="00B013A9"/>
    <w:rsid w:val="00B10483"/>
    <w:rsid w:val="00B1253D"/>
    <w:rsid w:val="00B13A7F"/>
    <w:rsid w:val="00B168B7"/>
    <w:rsid w:val="00B178EB"/>
    <w:rsid w:val="00B225B6"/>
    <w:rsid w:val="00B257AB"/>
    <w:rsid w:val="00B25927"/>
    <w:rsid w:val="00B26C85"/>
    <w:rsid w:val="00B26D02"/>
    <w:rsid w:val="00B27D57"/>
    <w:rsid w:val="00B4085D"/>
    <w:rsid w:val="00B40C02"/>
    <w:rsid w:val="00B41490"/>
    <w:rsid w:val="00B43360"/>
    <w:rsid w:val="00B47631"/>
    <w:rsid w:val="00B524A1"/>
    <w:rsid w:val="00B5407D"/>
    <w:rsid w:val="00B55990"/>
    <w:rsid w:val="00B62FBF"/>
    <w:rsid w:val="00B64D55"/>
    <w:rsid w:val="00B66A35"/>
    <w:rsid w:val="00B67E8C"/>
    <w:rsid w:val="00B72146"/>
    <w:rsid w:val="00B74084"/>
    <w:rsid w:val="00B7444B"/>
    <w:rsid w:val="00B74921"/>
    <w:rsid w:val="00B80319"/>
    <w:rsid w:val="00B81478"/>
    <w:rsid w:val="00B829B5"/>
    <w:rsid w:val="00B82DCC"/>
    <w:rsid w:val="00B9244B"/>
    <w:rsid w:val="00B95E10"/>
    <w:rsid w:val="00BA34CC"/>
    <w:rsid w:val="00BB0ACB"/>
    <w:rsid w:val="00BB3899"/>
    <w:rsid w:val="00BB54A7"/>
    <w:rsid w:val="00BC1D71"/>
    <w:rsid w:val="00BC3A22"/>
    <w:rsid w:val="00BC3E09"/>
    <w:rsid w:val="00BD49E1"/>
    <w:rsid w:val="00BD4A0C"/>
    <w:rsid w:val="00BD5182"/>
    <w:rsid w:val="00BD66BC"/>
    <w:rsid w:val="00BF1477"/>
    <w:rsid w:val="00BF18B1"/>
    <w:rsid w:val="00BF1AF2"/>
    <w:rsid w:val="00BF4CBC"/>
    <w:rsid w:val="00C03D54"/>
    <w:rsid w:val="00C047CB"/>
    <w:rsid w:val="00C072B4"/>
    <w:rsid w:val="00C11D7D"/>
    <w:rsid w:val="00C24BE5"/>
    <w:rsid w:val="00C26E34"/>
    <w:rsid w:val="00C27D51"/>
    <w:rsid w:val="00C31B89"/>
    <w:rsid w:val="00C3725D"/>
    <w:rsid w:val="00C37477"/>
    <w:rsid w:val="00C3790A"/>
    <w:rsid w:val="00C40CC7"/>
    <w:rsid w:val="00C431F9"/>
    <w:rsid w:val="00C43987"/>
    <w:rsid w:val="00C4511E"/>
    <w:rsid w:val="00C45164"/>
    <w:rsid w:val="00C46994"/>
    <w:rsid w:val="00C50786"/>
    <w:rsid w:val="00C522AC"/>
    <w:rsid w:val="00C5378F"/>
    <w:rsid w:val="00C54207"/>
    <w:rsid w:val="00C646BE"/>
    <w:rsid w:val="00C668C5"/>
    <w:rsid w:val="00C67FCF"/>
    <w:rsid w:val="00C763BF"/>
    <w:rsid w:val="00C854CE"/>
    <w:rsid w:val="00C93479"/>
    <w:rsid w:val="00C93E19"/>
    <w:rsid w:val="00CA0BB3"/>
    <w:rsid w:val="00CA4A78"/>
    <w:rsid w:val="00CA713E"/>
    <w:rsid w:val="00CB169C"/>
    <w:rsid w:val="00CB3E67"/>
    <w:rsid w:val="00CB5B09"/>
    <w:rsid w:val="00CB6963"/>
    <w:rsid w:val="00CC10F0"/>
    <w:rsid w:val="00CC11C6"/>
    <w:rsid w:val="00CC5448"/>
    <w:rsid w:val="00CC5F17"/>
    <w:rsid w:val="00CC7230"/>
    <w:rsid w:val="00CC79DE"/>
    <w:rsid w:val="00CD3333"/>
    <w:rsid w:val="00CD59BF"/>
    <w:rsid w:val="00CE08F2"/>
    <w:rsid w:val="00CE2BD0"/>
    <w:rsid w:val="00CE39FC"/>
    <w:rsid w:val="00CE4E99"/>
    <w:rsid w:val="00CE7303"/>
    <w:rsid w:val="00CF4978"/>
    <w:rsid w:val="00CF59C2"/>
    <w:rsid w:val="00CF65C9"/>
    <w:rsid w:val="00CF6859"/>
    <w:rsid w:val="00D00F49"/>
    <w:rsid w:val="00D04C49"/>
    <w:rsid w:val="00D04D4A"/>
    <w:rsid w:val="00D05BE3"/>
    <w:rsid w:val="00D0698A"/>
    <w:rsid w:val="00D111CA"/>
    <w:rsid w:val="00D15048"/>
    <w:rsid w:val="00D1608A"/>
    <w:rsid w:val="00D22040"/>
    <w:rsid w:val="00D253EF"/>
    <w:rsid w:val="00D27E49"/>
    <w:rsid w:val="00D3776E"/>
    <w:rsid w:val="00D46219"/>
    <w:rsid w:val="00D52571"/>
    <w:rsid w:val="00D537F6"/>
    <w:rsid w:val="00D57D5D"/>
    <w:rsid w:val="00D63D60"/>
    <w:rsid w:val="00D77314"/>
    <w:rsid w:val="00D80F57"/>
    <w:rsid w:val="00D81B31"/>
    <w:rsid w:val="00D87BFC"/>
    <w:rsid w:val="00D95876"/>
    <w:rsid w:val="00DA0AAC"/>
    <w:rsid w:val="00DA3104"/>
    <w:rsid w:val="00DB2A0A"/>
    <w:rsid w:val="00DB543E"/>
    <w:rsid w:val="00DC1700"/>
    <w:rsid w:val="00DC4CE0"/>
    <w:rsid w:val="00DC79BF"/>
    <w:rsid w:val="00DD22DB"/>
    <w:rsid w:val="00DE1D8B"/>
    <w:rsid w:val="00DE1DA8"/>
    <w:rsid w:val="00DE277E"/>
    <w:rsid w:val="00DE40EC"/>
    <w:rsid w:val="00DE4457"/>
    <w:rsid w:val="00DE7B28"/>
    <w:rsid w:val="00DF04E9"/>
    <w:rsid w:val="00DF1F24"/>
    <w:rsid w:val="00DF3F1C"/>
    <w:rsid w:val="00DF42CD"/>
    <w:rsid w:val="00DF7E32"/>
    <w:rsid w:val="00E0407D"/>
    <w:rsid w:val="00E05993"/>
    <w:rsid w:val="00E07276"/>
    <w:rsid w:val="00E07279"/>
    <w:rsid w:val="00E11651"/>
    <w:rsid w:val="00E14307"/>
    <w:rsid w:val="00E14ED2"/>
    <w:rsid w:val="00E15F8A"/>
    <w:rsid w:val="00E161EE"/>
    <w:rsid w:val="00E225DF"/>
    <w:rsid w:val="00E342EB"/>
    <w:rsid w:val="00E42853"/>
    <w:rsid w:val="00E51028"/>
    <w:rsid w:val="00E547E9"/>
    <w:rsid w:val="00E557B9"/>
    <w:rsid w:val="00E635C1"/>
    <w:rsid w:val="00E65152"/>
    <w:rsid w:val="00E665FA"/>
    <w:rsid w:val="00E6699C"/>
    <w:rsid w:val="00E676B5"/>
    <w:rsid w:val="00E7078B"/>
    <w:rsid w:val="00E73020"/>
    <w:rsid w:val="00E7514E"/>
    <w:rsid w:val="00E75A4E"/>
    <w:rsid w:val="00E810DE"/>
    <w:rsid w:val="00E8439E"/>
    <w:rsid w:val="00E8611E"/>
    <w:rsid w:val="00E97824"/>
    <w:rsid w:val="00EA463A"/>
    <w:rsid w:val="00EB0D1A"/>
    <w:rsid w:val="00EB5946"/>
    <w:rsid w:val="00EC0A27"/>
    <w:rsid w:val="00EC7369"/>
    <w:rsid w:val="00ED3577"/>
    <w:rsid w:val="00ED3E7B"/>
    <w:rsid w:val="00ED40E6"/>
    <w:rsid w:val="00ED5C9A"/>
    <w:rsid w:val="00ED64C6"/>
    <w:rsid w:val="00ED7756"/>
    <w:rsid w:val="00EE4826"/>
    <w:rsid w:val="00EE4899"/>
    <w:rsid w:val="00EE784E"/>
    <w:rsid w:val="00EE78B5"/>
    <w:rsid w:val="00EF1C89"/>
    <w:rsid w:val="00EF29BB"/>
    <w:rsid w:val="00EF754B"/>
    <w:rsid w:val="00F0198D"/>
    <w:rsid w:val="00F03CCC"/>
    <w:rsid w:val="00F132E7"/>
    <w:rsid w:val="00F155B5"/>
    <w:rsid w:val="00F17D25"/>
    <w:rsid w:val="00F22AAA"/>
    <w:rsid w:val="00F24C43"/>
    <w:rsid w:val="00F25924"/>
    <w:rsid w:val="00F3292D"/>
    <w:rsid w:val="00F35279"/>
    <w:rsid w:val="00F40F85"/>
    <w:rsid w:val="00F41D3A"/>
    <w:rsid w:val="00F547B3"/>
    <w:rsid w:val="00F56739"/>
    <w:rsid w:val="00F577E8"/>
    <w:rsid w:val="00F61B2B"/>
    <w:rsid w:val="00F6323D"/>
    <w:rsid w:val="00F652B2"/>
    <w:rsid w:val="00F664EC"/>
    <w:rsid w:val="00F74009"/>
    <w:rsid w:val="00F7439E"/>
    <w:rsid w:val="00F766E4"/>
    <w:rsid w:val="00F80A82"/>
    <w:rsid w:val="00F86F75"/>
    <w:rsid w:val="00F940C7"/>
    <w:rsid w:val="00F95A0C"/>
    <w:rsid w:val="00F96D40"/>
    <w:rsid w:val="00FA3F75"/>
    <w:rsid w:val="00FA55B6"/>
    <w:rsid w:val="00FA64F5"/>
    <w:rsid w:val="00FA6DFE"/>
    <w:rsid w:val="00FB456D"/>
    <w:rsid w:val="00FB4EC4"/>
    <w:rsid w:val="00FC4C6F"/>
    <w:rsid w:val="00FC5CC5"/>
    <w:rsid w:val="00FD2277"/>
    <w:rsid w:val="00FD669D"/>
    <w:rsid w:val="00FE0723"/>
    <w:rsid w:val="00FF1F33"/>
    <w:rsid w:val="00FF3690"/>
    <w:rsid w:val="00FF4F96"/>
    <w:rsid w:val="00FF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3A817D3"/>
  <w15:docId w15:val="{298191BD-3F16-4794-84F2-3DF0AF3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9BB"/>
  </w:style>
  <w:style w:type="paragraph" w:styleId="Heading1">
    <w:name w:val="heading 1"/>
    <w:basedOn w:val="Normal"/>
    <w:next w:val="Normal"/>
    <w:link w:val="Heading1Char"/>
    <w:qFormat/>
    <w:rsid w:val="008F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62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19"/>
    <w:pPr>
      <w:spacing w:after="0" w:line="240" w:lineRule="auto"/>
    </w:pPr>
  </w:style>
  <w:style w:type="character" w:customStyle="1" w:styleId="Heading2Char">
    <w:name w:val="Heading 2 Char"/>
    <w:basedOn w:val="DefaultParagraphFont"/>
    <w:link w:val="Heading2"/>
    <w:uiPriority w:val="9"/>
    <w:rsid w:val="00D462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62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3167"/>
    <w:pPr>
      <w:ind w:left="720"/>
      <w:contextualSpacing/>
    </w:pPr>
  </w:style>
  <w:style w:type="paragraph" w:styleId="Header">
    <w:name w:val="header"/>
    <w:basedOn w:val="Normal"/>
    <w:link w:val="HeaderChar"/>
    <w:uiPriority w:val="99"/>
    <w:unhideWhenUsed/>
    <w:rsid w:val="00FC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6F"/>
  </w:style>
  <w:style w:type="paragraph" w:styleId="Footer">
    <w:name w:val="footer"/>
    <w:basedOn w:val="Normal"/>
    <w:link w:val="FooterChar"/>
    <w:uiPriority w:val="99"/>
    <w:unhideWhenUsed/>
    <w:rsid w:val="00FC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6F"/>
  </w:style>
  <w:style w:type="paragraph" w:styleId="BalloonText">
    <w:name w:val="Balloon Text"/>
    <w:basedOn w:val="Normal"/>
    <w:link w:val="BalloonTextChar"/>
    <w:uiPriority w:val="99"/>
    <w:semiHidden/>
    <w:unhideWhenUsed/>
    <w:rsid w:val="004C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7"/>
    <w:rPr>
      <w:rFonts w:ascii="Tahoma" w:hAnsi="Tahoma" w:cs="Tahoma"/>
      <w:sz w:val="16"/>
      <w:szCs w:val="16"/>
    </w:rPr>
  </w:style>
  <w:style w:type="paragraph" w:styleId="FootnoteText">
    <w:name w:val="footnote text"/>
    <w:basedOn w:val="Normal"/>
    <w:link w:val="FootnoteTextChar"/>
    <w:uiPriority w:val="99"/>
    <w:unhideWhenUsed/>
    <w:rsid w:val="00E8439E"/>
    <w:pPr>
      <w:spacing w:after="0" w:line="240" w:lineRule="auto"/>
    </w:pPr>
    <w:rPr>
      <w:sz w:val="20"/>
      <w:szCs w:val="20"/>
    </w:rPr>
  </w:style>
  <w:style w:type="character" w:customStyle="1" w:styleId="FootnoteTextChar">
    <w:name w:val="Footnote Text Char"/>
    <w:basedOn w:val="DefaultParagraphFont"/>
    <w:link w:val="FootnoteText"/>
    <w:uiPriority w:val="99"/>
    <w:rsid w:val="00E8439E"/>
    <w:rPr>
      <w:sz w:val="20"/>
      <w:szCs w:val="20"/>
    </w:rPr>
  </w:style>
  <w:style w:type="character" w:styleId="FootnoteReference">
    <w:name w:val="footnote reference"/>
    <w:basedOn w:val="DefaultParagraphFont"/>
    <w:uiPriority w:val="99"/>
    <w:unhideWhenUsed/>
    <w:rsid w:val="00E8439E"/>
    <w:rPr>
      <w:vertAlign w:val="superscript"/>
    </w:rPr>
  </w:style>
  <w:style w:type="character" w:styleId="CommentReference">
    <w:name w:val="annotation reference"/>
    <w:basedOn w:val="DefaultParagraphFont"/>
    <w:uiPriority w:val="99"/>
    <w:semiHidden/>
    <w:unhideWhenUsed/>
    <w:rsid w:val="00696087"/>
    <w:rPr>
      <w:sz w:val="16"/>
      <w:szCs w:val="16"/>
    </w:rPr>
  </w:style>
  <w:style w:type="paragraph" w:styleId="CommentText">
    <w:name w:val="annotation text"/>
    <w:basedOn w:val="Normal"/>
    <w:link w:val="CommentTextChar"/>
    <w:uiPriority w:val="99"/>
    <w:unhideWhenUsed/>
    <w:rsid w:val="00696087"/>
    <w:pPr>
      <w:spacing w:line="240" w:lineRule="auto"/>
    </w:pPr>
    <w:rPr>
      <w:sz w:val="20"/>
      <w:szCs w:val="20"/>
    </w:rPr>
  </w:style>
  <w:style w:type="character" w:customStyle="1" w:styleId="CommentTextChar">
    <w:name w:val="Comment Text Char"/>
    <w:basedOn w:val="DefaultParagraphFont"/>
    <w:link w:val="CommentText"/>
    <w:uiPriority w:val="99"/>
    <w:rsid w:val="00696087"/>
    <w:rPr>
      <w:sz w:val="20"/>
      <w:szCs w:val="20"/>
    </w:rPr>
  </w:style>
  <w:style w:type="paragraph" w:styleId="CommentSubject">
    <w:name w:val="annotation subject"/>
    <w:basedOn w:val="CommentText"/>
    <w:next w:val="CommentText"/>
    <w:link w:val="CommentSubjectChar"/>
    <w:uiPriority w:val="99"/>
    <w:semiHidden/>
    <w:unhideWhenUsed/>
    <w:rsid w:val="00696087"/>
    <w:rPr>
      <w:b/>
      <w:bCs/>
    </w:rPr>
  </w:style>
  <w:style w:type="character" w:customStyle="1" w:styleId="CommentSubjectChar">
    <w:name w:val="Comment Subject Char"/>
    <w:basedOn w:val="CommentTextChar"/>
    <w:link w:val="CommentSubject"/>
    <w:uiPriority w:val="99"/>
    <w:semiHidden/>
    <w:rsid w:val="00696087"/>
    <w:rPr>
      <w:b/>
      <w:bCs/>
      <w:sz w:val="20"/>
      <w:szCs w:val="20"/>
    </w:rPr>
  </w:style>
  <w:style w:type="table" w:styleId="LightList">
    <w:name w:val="Light List"/>
    <w:basedOn w:val="TableNormal"/>
    <w:uiPriority w:val="61"/>
    <w:rsid w:val="007C20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2">
    <w:name w:val="num2"/>
    <w:basedOn w:val="Normal"/>
    <w:link w:val="num2Char"/>
    <w:rsid w:val="006748CB"/>
    <w:pPr>
      <w:tabs>
        <w:tab w:val="left" w:pos="-720"/>
      </w:tabs>
      <w:suppressAutoHyphens/>
      <w:spacing w:after="0" w:line="360" w:lineRule="auto"/>
      <w:ind w:firstLine="270"/>
    </w:pPr>
    <w:rPr>
      <w:rFonts w:ascii="Palatino" w:eastAsia="Times New Roman" w:hAnsi="Palatino" w:cs="Times New Roman"/>
      <w:sz w:val="26"/>
      <w:szCs w:val="20"/>
    </w:rPr>
  </w:style>
  <w:style w:type="character" w:customStyle="1" w:styleId="num2Char">
    <w:name w:val="num2 Char"/>
    <w:basedOn w:val="DefaultParagraphFont"/>
    <w:link w:val="num2"/>
    <w:rsid w:val="006748CB"/>
    <w:rPr>
      <w:rFonts w:ascii="Palatino" w:eastAsia="Times New Roman" w:hAnsi="Palatino" w:cs="Times New Roman"/>
      <w:sz w:val="26"/>
      <w:szCs w:val="20"/>
    </w:rPr>
  </w:style>
  <w:style w:type="paragraph" w:customStyle="1" w:styleId="standard">
    <w:name w:val="standard"/>
    <w:basedOn w:val="Normal"/>
    <w:link w:val="standardChar"/>
    <w:rsid w:val="006748CB"/>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6748CB"/>
    <w:rPr>
      <w:rFonts w:ascii="Palatino" w:eastAsia="Times New Roman" w:hAnsi="Palatino" w:cs="Times New Roman"/>
      <w:sz w:val="26"/>
      <w:szCs w:val="20"/>
    </w:rPr>
  </w:style>
  <w:style w:type="character" w:customStyle="1" w:styleId="Heading1Char">
    <w:name w:val="Heading 1 Char"/>
    <w:basedOn w:val="DefaultParagraphFont"/>
    <w:link w:val="Heading1"/>
    <w:uiPriority w:val="9"/>
    <w:rsid w:val="008F50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1B31"/>
    <w:rPr>
      <w:rFonts w:asciiTheme="majorHAnsi" w:eastAsiaTheme="majorEastAsia" w:hAnsiTheme="majorHAnsi" w:cstheme="majorBidi"/>
      <w:b/>
      <w:bCs/>
      <w:i/>
      <w:iCs/>
      <w:color w:val="4F81BD" w:themeColor="accent1"/>
    </w:rPr>
  </w:style>
  <w:style w:type="table" w:customStyle="1" w:styleId="GridTable5Dark-Accent11">
    <w:name w:val="Grid Table 5 Dark - Accent 11"/>
    <w:basedOn w:val="TableNormal"/>
    <w:uiPriority w:val="50"/>
    <w:rsid w:val="001741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1741E1"/>
    <w:rPr>
      <w:color w:val="0000FF" w:themeColor="hyperlink"/>
      <w:u w:val="single"/>
    </w:rPr>
  </w:style>
  <w:style w:type="paragraph" w:customStyle="1" w:styleId="Default">
    <w:name w:val="Default"/>
    <w:rsid w:val="00F6323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Revision">
    <w:name w:val="Revision"/>
    <w:hidden/>
    <w:uiPriority w:val="99"/>
    <w:semiHidden/>
    <w:rsid w:val="00E65152"/>
    <w:pPr>
      <w:spacing w:after="0" w:line="240" w:lineRule="auto"/>
    </w:pPr>
  </w:style>
  <w:style w:type="table" w:styleId="ListTable3-Accent1">
    <w:name w:val="List Table 3 Accent 1"/>
    <w:basedOn w:val="TableNormal"/>
    <w:uiPriority w:val="48"/>
    <w:rsid w:val="004230E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semiHidden/>
    <w:unhideWhenUsed/>
    <w:rsid w:val="006D7E3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827">
      <w:bodyDiv w:val="1"/>
      <w:marLeft w:val="0"/>
      <w:marRight w:val="0"/>
      <w:marTop w:val="0"/>
      <w:marBottom w:val="0"/>
      <w:divBdr>
        <w:top w:val="none" w:sz="0" w:space="0" w:color="auto"/>
        <w:left w:val="none" w:sz="0" w:space="0" w:color="auto"/>
        <w:bottom w:val="none" w:sz="0" w:space="0" w:color="auto"/>
        <w:right w:val="none" w:sz="0" w:space="0" w:color="auto"/>
      </w:divBdr>
      <w:divsChild>
        <w:div w:id="1822381155">
          <w:marLeft w:val="360"/>
          <w:marRight w:val="0"/>
          <w:marTop w:val="200"/>
          <w:marBottom w:val="0"/>
          <w:divBdr>
            <w:top w:val="none" w:sz="0" w:space="0" w:color="auto"/>
            <w:left w:val="none" w:sz="0" w:space="0" w:color="auto"/>
            <w:bottom w:val="none" w:sz="0" w:space="0" w:color="auto"/>
            <w:right w:val="none" w:sz="0" w:space="0" w:color="auto"/>
          </w:divBdr>
        </w:div>
        <w:div w:id="1202789151">
          <w:marLeft w:val="1080"/>
          <w:marRight w:val="0"/>
          <w:marTop w:val="100"/>
          <w:marBottom w:val="0"/>
          <w:divBdr>
            <w:top w:val="none" w:sz="0" w:space="0" w:color="auto"/>
            <w:left w:val="none" w:sz="0" w:space="0" w:color="auto"/>
            <w:bottom w:val="none" w:sz="0" w:space="0" w:color="auto"/>
            <w:right w:val="none" w:sz="0" w:space="0" w:color="auto"/>
          </w:divBdr>
        </w:div>
        <w:div w:id="825365582">
          <w:marLeft w:val="1080"/>
          <w:marRight w:val="0"/>
          <w:marTop w:val="100"/>
          <w:marBottom w:val="0"/>
          <w:divBdr>
            <w:top w:val="none" w:sz="0" w:space="0" w:color="auto"/>
            <w:left w:val="none" w:sz="0" w:space="0" w:color="auto"/>
            <w:bottom w:val="none" w:sz="0" w:space="0" w:color="auto"/>
            <w:right w:val="none" w:sz="0" w:space="0" w:color="auto"/>
          </w:divBdr>
        </w:div>
        <w:div w:id="1855806329">
          <w:marLeft w:val="1080"/>
          <w:marRight w:val="0"/>
          <w:marTop w:val="100"/>
          <w:marBottom w:val="0"/>
          <w:divBdr>
            <w:top w:val="none" w:sz="0" w:space="0" w:color="auto"/>
            <w:left w:val="none" w:sz="0" w:space="0" w:color="auto"/>
            <w:bottom w:val="none" w:sz="0" w:space="0" w:color="auto"/>
            <w:right w:val="none" w:sz="0" w:space="0" w:color="auto"/>
          </w:divBdr>
        </w:div>
        <w:div w:id="1567060888">
          <w:marLeft w:val="1080"/>
          <w:marRight w:val="0"/>
          <w:marTop w:val="100"/>
          <w:marBottom w:val="0"/>
          <w:divBdr>
            <w:top w:val="none" w:sz="0" w:space="0" w:color="auto"/>
            <w:left w:val="none" w:sz="0" w:space="0" w:color="auto"/>
            <w:bottom w:val="none" w:sz="0" w:space="0" w:color="auto"/>
            <w:right w:val="none" w:sz="0" w:space="0" w:color="auto"/>
          </w:divBdr>
        </w:div>
        <w:div w:id="1978336546">
          <w:marLeft w:val="1080"/>
          <w:marRight w:val="0"/>
          <w:marTop w:val="100"/>
          <w:marBottom w:val="0"/>
          <w:divBdr>
            <w:top w:val="none" w:sz="0" w:space="0" w:color="auto"/>
            <w:left w:val="none" w:sz="0" w:space="0" w:color="auto"/>
            <w:bottom w:val="none" w:sz="0" w:space="0" w:color="auto"/>
            <w:right w:val="none" w:sz="0" w:space="0" w:color="auto"/>
          </w:divBdr>
        </w:div>
      </w:divsChild>
    </w:div>
    <w:div w:id="81920461">
      <w:bodyDiv w:val="1"/>
      <w:marLeft w:val="0"/>
      <w:marRight w:val="0"/>
      <w:marTop w:val="0"/>
      <w:marBottom w:val="0"/>
      <w:divBdr>
        <w:top w:val="none" w:sz="0" w:space="0" w:color="auto"/>
        <w:left w:val="none" w:sz="0" w:space="0" w:color="auto"/>
        <w:bottom w:val="none" w:sz="0" w:space="0" w:color="auto"/>
        <w:right w:val="none" w:sz="0" w:space="0" w:color="auto"/>
      </w:divBdr>
    </w:div>
    <w:div w:id="112216966">
      <w:bodyDiv w:val="1"/>
      <w:marLeft w:val="0"/>
      <w:marRight w:val="0"/>
      <w:marTop w:val="0"/>
      <w:marBottom w:val="0"/>
      <w:divBdr>
        <w:top w:val="none" w:sz="0" w:space="0" w:color="auto"/>
        <w:left w:val="none" w:sz="0" w:space="0" w:color="auto"/>
        <w:bottom w:val="none" w:sz="0" w:space="0" w:color="auto"/>
        <w:right w:val="none" w:sz="0" w:space="0" w:color="auto"/>
      </w:divBdr>
    </w:div>
    <w:div w:id="169755043">
      <w:bodyDiv w:val="1"/>
      <w:marLeft w:val="0"/>
      <w:marRight w:val="0"/>
      <w:marTop w:val="0"/>
      <w:marBottom w:val="0"/>
      <w:divBdr>
        <w:top w:val="none" w:sz="0" w:space="0" w:color="auto"/>
        <w:left w:val="none" w:sz="0" w:space="0" w:color="auto"/>
        <w:bottom w:val="none" w:sz="0" w:space="0" w:color="auto"/>
        <w:right w:val="none" w:sz="0" w:space="0" w:color="auto"/>
      </w:divBdr>
    </w:div>
    <w:div w:id="221529944">
      <w:bodyDiv w:val="1"/>
      <w:marLeft w:val="0"/>
      <w:marRight w:val="0"/>
      <w:marTop w:val="0"/>
      <w:marBottom w:val="0"/>
      <w:divBdr>
        <w:top w:val="none" w:sz="0" w:space="0" w:color="auto"/>
        <w:left w:val="none" w:sz="0" w:space="0" w:color="auto"/>
        <w:bottom w:val="none" w:sz="0" w:space="0" w:color="auto"/>
        <w:right w:val="none" w:sz="0" w:space="0" w:color="auto"/>
      </w:divBdr>
    </w:div>
    <w:div w:id="292636285">
      <w:bodyDiv w:val="1"/>
      <w:marLeft w:val="0"/>
      <w:marRight w:val="0"/>
      <w:marTop w:val="0"/>
      <w:marBottom w:val="0"/>
      <w:divBdr>
        <w:top w:val="none" w:sz="0" w:space="0" w:color="auto"/>
        <w:left w:val="none" w:sz="0" w:space="0" w:color="auto"/>
        <w:bottom w:val="none" w:sz="0" w:space="0" w:color="auto"/>
        <w:right w:val="none" w:sz="0" w:space="0" w:color="auto"/>
      </w:divBdr>
    </w:div>
    <w:div w:id="364445893">
      <w:bodyDiv w:val="1"/>
      <w:marLeft w:val="0"/>
      <w:marRight w:val="0"/>
      <w:marTop w:val="0"/>
      <w:marBottom w:val="0"/>
      <w:divBdr>
        <w:top w:val="none" w:sz="0" w:space="0" w:color="auto"/>
        <w:left w:val="none" w:sz="0" w:space="0" w:color="auto"/>
        <w:bottom w:val="none" w:sz="0" w:space="0" w:color="auto"/>
        <w:right w:val="none" w:sz="0" w:space="0" w:color="auto"/>
      </w:divBdr>
    </w:div>
    <w:div w:id="428088506">
      <w:bodyDiv w:val="1"/>
      <w:marLeft w:val="0"/>
      <w:marRight w:val="0"/>
      <w:marTop w:val="0"/>
      <w:marBottom w:val="0"/>
      <w:divBdr>
        <w:top w:val="none" w:sz="0" w:space="0" w:color="auto"/>
        <w:left w:val="none" w:sz="0" w:space="0" w:color="auto"/>
        <w:bottom w:val="none" w:sz="0" w:space="0" w:color="auto"/>
        <w:right w:val="none" w:sz="0" w:space="0" w:color="auto"/>
      </w:divBdr>
    </w:div>
    <w:div w:id="461581322">
      <w:bodyDiv w:val="1"/>
      <w:marLeft w:val="0"/>
      <w:marRight w:val="0"/>
      <w:marTop w:val="0"/>
      <w:marBottom w:val="0"/>
      <w:divBdr>
        <w:top w:val="none" w:sz="0" w:space="0" w:color="auto"/>
        <w:left w:val="none" w:sz="0" w:space="0" w:color="auto"/>
        <w:bottom w:val="none" w:sz="0" w:space="0" w:color="auto"/>
        <w:right w:val="none" w:sz="0" w:space="0" w:color="auto"/>
      </w:divBdr>
    </w:div>
    <w:div w:id="469323886">
      <w:bodyDiv w:val="1"/>
      <w:marLeft w:val="0"/>
      <w:marRight w:val="0"/>
      <w:marTop w:val="0"/>
      <w:marBottom w:val="0"/>
      <w:divBdr>
        <w:top w:val="none" w:sz="0" w:space="0" w:color="auto"/>
        <w:left w:val="none" w:sz="0" w:space="0" w:color="auto"/>
        <w:bottom w:val="none" w:sz="0" w:space="0" w:color="auto"/>
        <w:right w:val="none" w:sz="0" w:space="0" w:color="auto"/>
      </w:divBdr>
    </w:div>
    <w:div w:id="566108983">
      <w:bodyDiv w:val="1"/>
      <w:marLeft w:val="0"/>
      <w:marRight w:val="0"/>
      <w:marTop w:val="0"/>
      <w:marBottom w:val="0"/>
      <w:divBdr>
        <w:top w:val="none" w:sz="0" w:space="0" w:color="auto"/>
        <w:left w:val="none" w:sz="0" w:space="0" w:color="auto"/>
        <w:bottom w:val="none" w:sz="0" w:space="0" w:color="auto"/>
        <w:right w:val="none" w:sz="0" w:space="0" w:color="auto"/>
      </w:divBdr>
    </w:div>
    <w:div w:id="654457420">
      <w:bodyDiv w:val="1"/>
      <w:marLeft w:val="0"/>
      <w:marRight w:val="0"/>
      <w:marTop w:val="0"/>
      <w:marBottom w:val="0"/>
      <w:divBdr>
        <w:top w:val="none" w:sz="0" w:space="0" w:color="auto"/>
        <w:left w:val="none" w:sz="0" w:space="0" w:color="auto"/>
        <w:bottom w:val="none" w:sz="0" w:space="0" w:color="auto"/>
        <w:right w:val="none" w:sz="0" w:space="0" w:color="auto"/>
      </w:divBdr>
    </w:div>
    <w:div w:id="875654819">
      <w:bodyDiv w:val="1"/>
      <w:marLeft w:val="0"/>
      <w:marRight w:val="0"/>
      <w:marTop w:val="0"/>
      <w:marBottom w:val="0"/>
      <w:divBdr>
        <w:top w:val="none" w:sz="0" w:space="0" w:color="auto"/>
        <w:left w:val="none" w:sz="0" w:space="0" w:color="auto"/>
        <w:bottom w:val="none" w:sz="0" w:space="0" w:color="auto"/>
        <w:right w:val="none" w:sz="0" w:space="0" w:color="auto"/>
      </w:divBdr>
    </w:div>
    <w:div w:id="952134991">
      <w:bodyDiv w:val="1"/>
      <w:marLeft w:val="0"/>
      <w:marRight w:val="0"/>
      <w:marTop w:val="0"/>
      <w:marBottom w:val="0"/>
      <w:divBdr>
        <w:top w:val="none" w:sz="0" w:space="0" w:color="auto"/>
        <w:left w:val="none" w:sz="0" w:space="0" w:color="auto"/>
        <w:bottom w:val="none" w:sz="0" w:space="0" w:color="auto"/>
        <w:right w:val="none" w:sz="0" w:space="0" w:color="auto"/>
      </w:divBdr>
    </w:div>
    <w:div w:id="967857058">
      <w:bodyDiv w:val="1"/>
      <w:marLeft w:val="0"/>
      <w:marRight w:val="0"/>
      <w:marTop w:val="0"/>
      <w:marBottom w:val="0"/>
      <w:divBdr>
        <w:top w:val="none" w:sz="0" w:space="0" w:color="auto"/>
        <w:left w:val="none" w:sz="0" w:space="0" w:color="auto"/>
        <w:bottom w:val="none" w:sz="0" w:space="0" w:color="auto"/>
        <w:right w:val="none" w:sz="0" w:space="0" w:color="auto"/>
      </w:divBdr>
      <w:divsChild>
        <w:div w:id="70129138">
          <w:marLeft w:val="360"/>
          <w:marRight w:val="0"/>
          <w:marTop w:val="200"/>
          <w:marBottom w:val="0"/>
          <w:divBdr>
            <w:top w:val="none" w:sz="0" w:space="0" w:color="auto"/>
            <w:left w:val="none" w:sz="0" w:space="0" w:color="auto"/>
            <w:bottom w:val="none" w:sz="0" w:space="0" w:color="auto"/>
            <w:right w:val="none" w:sz="0" w:space="0" w:color="auto"/>
          </w:divBdr>
        </w:div>
        <w:div w:id="1519733223">
          <w:marLeft w:val="360"/>
          <w:marRight w:val="0"/>
          <w:marTop w:val="200"/>
          <w:marBottom w:val="0"/>
          <w:divBdr>
            <w:top w:val="none" w:sz="0" w:space="0" w:color="auto"/>
            <w:left w:val="none" w:sz="0" w:space="0" w:color="auto"/>
            <w:bottom w:val="none" w:sz="0" w:space="0" w:color="auto"/>
            <w:right w:val="none" w:sz="0" w:space="0" w:color="auto"/>
          </w:divBdr>
        </w:div>
      </w:divsChild>
    </w:div>
    <w:div w:id="970280404">
      <w:bodyDiv w:val="1"/>
      <w:marLeft w:val="0"/>
      <w:marRight w:val="0"/>
      <w:marTop w:val="0"/>
      <w:marBottom w:val="0"/>
      <w:divBdr>
        <w:top w:val="none" w:sz="0" w:space="0" w:color="auto"/>
        <w:left w:val="none" w:sz="0" w:space="0" w:color="auto"/>
        <w:bottom w:val="none" w:sz="0" w:space="0" w:color="auto"/>
        <w:right w:val="none" w:sz="0" w:space="0" w:color="auto"/>
      </w:divBdr>
      <w:divsChild>
        <w:div w:id="360130034">
          <w:marLeft w:val="360"/>
          <w:marRight w:val="0"/>
          <w:marTop w:val="200"/>
          <w:marBottom w:val="0"/>
          <w:divBdr>
            <w:top w:val="none" w:sz="0" w:space="0" w:color="auto"/>
            <w:left w:val="none" w:sz="0" w:space="0" w:color="auto"/>
            <w:bottom w:val="none" w:sz="0" w:space="0" w:color="auto"/>
            <w:right w:val="none" w:sz="0" w:space="0" w:color="auto"/>
          </w:divBdr>
        </w:div>
        <w:div w:id="1585256777">
          <w:marLeft w:val="1080"/>
          <w:marRight w:val="0"/>
          <w:marTop w:val="100"/>
          <w:marBottom w:val="0"/>
          <w:divBdr>
            <w:top w:val="none" w:sz="0" w:space="0" w:color="auto"/>
            <w:left w:val="none" w:sz="0" w:space="0" w:color="auto"/>
            <w:bottom w:val="none" w:sz="0" w:space="0" w:color="auto"/>
            <w:right w:val="none" w:sz="0" w:space="0" w:color="auto"/>
          </w:divBdr>
        </w:div>
        <w:div w:id="1740515014">
          <w:marLeft w:val="1080"/>
          <w:marRight w:val="0"/>
          <w:marTop w:val="100"/>
          <w:marBottom w:val="0"/>
          <w:divBdr>
            <w:top w:val="none" w:sz="0" w:space="0" w:color="auto"/>
            <w:left w:val="none" w:sz="0" w:space="0" w:color="auto"/>
            <w:bottom w:val="none" w:sz="0" w:space="0" w:color="auto"/>
            <w:right w:val="none" w:sz="0" w:space="0" w:color="auto"/>
          </w:divBdr>
        </w:div>
        <w:div w:id="1250310309">
          <w:marLeft w:val="1080"/>
          <w:marRight w:val="0"/>
          <w:marTop w:val="100"/>
          <w:marBottom w:val="0"/>
          <w:divBdr>
            <w:top w:val="none" w:sz="0" w:space="0" w:color="auto"/>
            <w:left w:val="none" w:sz="0" w:space="0" w:color="auto"/>
            <w:bottom w:val="none" w:sz="0" w:space="0" w:color="auto"/>
            <w:right w:val="none" w:sz="0" w:space="0" w:color="auto"/>
          </w:divBdr>
        </w:div>
        <w:div w:id="138039169">
          <w:marLeft w:val="1080"/>
          <w:marRight w:val="0"/>
          <w:marTop w:val="100"/>
          <w:marBottom w:val="0"/>
          <w:divBdr>
            <w:top w:val="none" w:sz="0" w:space="0" w:color="auto"/>
            <w:left w:val="none" w:sz="0" w:space="0" w:color="auto"/>
            <w:bottom w:val="none" w:sz="0" w:space="0" w:color="auto"/>
            <w:right w:val="none" w:sz="0" w:space="0" w:color="auto"/>
          </w:divBdr>
        </w:div>
      </w:divsChild>
    </w:div>
    <w:div w:id="1125853211">
      <w:bodyDiv w:val="1"/>
      <w:marLeft w:val="0"/>
      <w:marRight w:val="0"/>
      <w:marTop w:val="0"/>
      <w:marBottom w:val="0"/>
      <w:divBdr>
        <w:top w:val="none" w:sz="0" w:space="0" w:color="auto"/>
        <w:left w:val="none" w:sz="0" w:space="0" w:color="auto"/>
        <w:bottom w:val="none" w:sz="0" w:space="0" w:color="auto"/>
        <w:right w:val="none" w:sz="0" w:space="0" w:color="auto"/>
      </w:divBdr>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
    <w:div w:id="1261910532">
      <w:bodyDiv w:val="1"/>
      <w:marLeft w:val="0"/>
      <w:marRight w:val="0"/>
      <w:marTop w:val="0"/>
      <w:marBottom w:val="0"/>
      <w:divBdr>
        <w:top w:val="none" w:sz="0" w:space="0" w:color="auto"/>
        <w:left w:val="none" w:sz="0" w:space="0" w:color="auto"/>
        <w:bottom w:val="none" w:sz="0" w:space="0" w:color="auto"/>
        <w:right w:val="none" w:sz="0" w:space="0" w:color="auto"/>
      </w:divBdr>
    </w:div>
    <w:div w:id="1284460789">
      <w:bodyDiv w:val="1"/>
      <w:marLeft w:val="0"/>
      <w:marRight w:val="0"/>
      <w:marTop w:val="0"/>
      <w:marBottom w:val="0"/>
      <w:divBdr>
        <w:top w:val="none" w:sz="0" w:space="0" w:color="auto"/>
        <w:left w:val="none" w:sz="0" w:space="0" w:color="auto"/>
        <w:bottom w:val="none" w:sz="0" w:space="0" w:color="auto"/>
        <w:right w:val="none" w:sz="0" w:space="0" w:color="auto"/>
      </w:divBdr>
    </w:div>
    <w:div w:id="1318846731">
      <w:bodyDiv w:val="1"/>
      <w:marLeft w:val="0"/>
      <w:marRight w:val="0"/>
      <w:marTop w:val="0"/>
      <w:marBottom w:val="0"/>
      <w:divBdr>
        <w:top w:val="none" w:sz="0" w:space="0" w:color="auto"/>
        <w:left w:val="none" w:sz="0" w:space="0" w:color="auto"/>
        <w:bottom w:val="none" w:sz="0" w:space="0" w:color="auto"/>
        <w:right w:val="none" w:sz="0" w:space="0" w:color="auto"/>
      </w:divBdr>
    </w:div>
    <w:div w:id="1401639453">
      <w:bodyDiv w:val="1"/>
      <w:marLeft w:val="0"/>
      <w:marRight w:val="0"/>
      <w:marTop w:val="0"/>
      <w:marBottom w:val="0"/>
      <w:divBdr>
        <w:top w:val="none" w:sz="0" w:space="0" w:color="auto"/>
        <w:left w:val="none" w:sz="0" w:space="0" w:color="auto"/>
        <w:bottom w:val="none" w:sz="0" w:space="0" w:color="auto"/>
        <w:right w:val="none" w:sz="0" w:space="0" w:color="auto"/>
      </w:divBdr>
    </w:div>
    <w:div w:id="1426001358">
      <w:bodyDiv w:val="1"/>
      <w:marLeft w:val="0"/>
      <w:marRight w:val="0"/>
      <w:marTop w:val="0"/>
      <w:marBottom w:val="0"/>
      <w:divBdr>
        <w:top w:val="none" w:sz="0" w:space="0" w:color="auto"/>
        <w:left w:val="none" w:sz="0" w:space="0" w:color="auto"/>
        <w:bottom w:val="none" w:sz="0" w:space="0" w:color="auto"/>
        <w:right w:val="none" w:sz="0" w:space="0" w:color="auto"/>
      </w:divBdr>
    </w:div>
    <w:div w:id="1429888277">
      <w:bodyDiv w:val="1"/>
      <w:marLeft w:val="0"/>
      <w:marRight w:val="0"/>
      <w:marTop w:val="0"/>
      <w:marBottom w:val="0"/>
      <w:divBdr>
        <w:top w:val="none" w:sz="0" w:space="0" w:color="auto"/>
        <w:left w:val="none" w:sz="0" w:space="0" w:color="auto"/>
        <w:bottom w:val="none" w:sz="0" w:space="0" w:color="auto"/>
        <w:right w:val="none" w:sz="0" w:space="0" w:color="auto"/>
      </w:divBdr>
    </w:div>
    <w:div w:id="16191412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54">
          <w:marLeft w:val="720"/>
          <w:marRight w:val="0"/>
          <w:marTop w:val="0"/>
          <w:marBottom w:val="0"/>
          <w:divBdr>
            <w:top w:val="none" w:sz="0" w:space="0" w:color="auto"/>
            <w:left w:val="none" w:sz="0" w:space="0" w:color="auto"/>
            <w:bottom w:val="none" w:sz="0" w:space="0" w:color="auto"/>
            <w:right w:val="none" w:sz="0" w:space="0" w:color="auto"/>
          </w:divBdr>
        </w:div>
      </w:divsChild>
    </w:div>
    <w:div w:id="1637642093">
      <w:bodyDiv w:val="1"/>
      <w:marLeft w:val="0"/>
      <w:marRight w:val="0"/>
      <w:marTop w:val="0"/>
      <w:marBottom w:val="0"/>
      <w:divBdr>
        <w:top w:val="none" w:sz="0" w:space="0" w:color="auto"/>
        <w:left w:val="none" w:sz="0" w:space="0" w:color="auto"/>
        <w:bottom w:val="none" w:sz="0" w:space="0" w:color="auto"/>
        <w:right w:val="none" w:sz="0" w:space="0" w:color="auto"/>
      </w:divBdr>
    </w:div>
    <w:div w:id="1799370487">
      <w:bodyDiv w:val="1"/>
      <w:marLeft w:val="0"/>
      <w:marRight w:val="0"/>
      <w:marTop w:val="0"/>
      <w:marBottom w:val="0"/>
      <w:divBdr>
        <w:top w:val="none" w:sz="0" w:space="0" w:color="auto"/>
        <w:left w:val="none" w:sz="0" w:space="0" w:color="auto"/>
        <w:bottom w:val="none" w:sz="0" w:space="0" w:color="auto"/>
        <w:right w:val="none" w:sz="0" w:space="0" w:color="auto"/>
      </w:divBdr>
    </w:div>
    <w:div w:id="1961765837">
      <w:bodyDiv w:val="1"/>
      <w:marLeft w:val="0"/>
      <w:marRight w:val="0"/>
      <w:marTop w:val="0"/>
      <w:marBottom w:val="0"/>
      <w:divBdr>
        <w:top w:val="none" w:sz="0" w:space="0" w:color="auto"/>
        <w:left w:val="none" w:sz="0" w:space="0" w:color="auto"/>
        <w:bottom w:val="none" w:sz="0" w:space="0" w:color="auto"/>
        <w:right w:val="none" w:sz="0" w:space="0" w:color="auto"/>
      </w:divBdr>
      <w:divsChild>
        <w:div w:id="1791893492">
          <w:marLeft w:val="360"/>
          <w:marRight w:val="0"/>
          <w:marTop w:val="200"/>
          <w:marBottom w:val="0"/>
          <w:divBdr>
            <w:top w:val="none" w:sz="0" w:space="0" w:color="auto"/>
            <w:left w:val="none" w:sz="0" w:space="0" w:color="auto"/>
            <w:bottom w:val="none" w:sz="0" w:space="0" w:color="auto"/>
            <w:right w:val="none" w:sz="0" w:space="0" w:color="auto"/>
          </w:divBdr>
        </w:div>
        <w:div w:id="1323657104">
          <w:marLeft w:val="360"/>
          <w:marRight w:val="0"/>
          <w:marTop w:val="200"/>
          <w:marBottom w:val="0"/>
          <w:divBdr>
            <w:top w:val="none" w:sz="0" w:space="0" w:color="auto"/>
            <w:left w:val="none" w:sz="0" w:space="0" w:color="auto"/>
            <w:bottom w:val="none" w:sz="0" w:space="0" w:color="auto"/>
            <w:right w:val="none" w:sz="0" w:space="0" w:color="auto"/>
          </w:divBdr>
        </w:div>
        <w:div w:id="244189796">
          <w:marLeft w:val="1080"/>
          <w:marRight w:val="0"/>
          <w:marTop w:val="100"/>
          <w:marBottom w:val="0"/>
          <w:divBdr>
            <w:top w:val="none" w:sz="0" w:space="0" w:color="auto"/>
            <w:left w:val="none" w:sz="0" w:space="0" w:color="auto"/>
            <w:bottom w:val="none" w:sz="0" w:space="0" w:color="auto"/>
            <w:right w:val="none" w:sz="0" w:space="0" w:color="auto"/>
          </w:divBdr>
        </w:div>
        <w:div w:id="15544756">
          <w:marLeft w:val="1080"/>
          <w:marRight w:val="0"/>
          <w:marTop w:val="100"/>
          <w:marBottom w:val="0"/>
          <w:divBdr>
            <w:top w:val="none" w:sz="0" w:space="0" w:color="auto"/>
            <w:left w:val="none" w:sz="0" w:space="0" w:color="auto"/>
            <w:bottom w:val="none" w:sz="0" w:space="0" w:color="auto"/>
            <w:right w:val="none" w:sz="0" w:space="0" w:color="auto"/>
          </w:divBdr>
        </w:div>
        <w:div w:id="1298560374">
          <w:marLeft w:val="360"/>
          <w:marRight w:val="0"/>
          <w:marTop w:val="200"/>
          <w:marBottom w:val="0"/>
          <w:divBdr>
            <w:top w:val="none" w:sz="0" w:space="0" w:color="auto"/>
            <w:left w:val="none" w:sz="0" w:space="0" w:color="auto"/>
            <w:bottom w:val="none" w:sz="0" w:space="0" w:color="auto"/>
            <w:right w:val="none" w:sz="0" w:space="0" w:color="auto"/>
          </w:divBdr>
        </w:div>
        <w:div w:id="1412047077">
          <w:marLeft w:val="360"/>
          <w:marRight w:val="0"/>
          <w:marTop w:val="200"/>
          <w:marBottom w:val="0"/>
          <w:divBdr>
            <w:top w:val="none" w:sz="0" w:space="0" w:color="auto"/>
            <w:left w:val="none" w:sz="0" w:space="0" w:color="auto"/>
            <w:bottom w:val="none" w:sz="0" w:space="0" w:color="auto"/>
            <w:right w:val="none" w:sz="0" w:space="0" w:color="auto"/>
          </w:divBdr>
        </w:div>
      </w:divsChild>
    </w:div>
    <w:div w:id="1972130231">
      <w:bodyDiv w:val="1"/>
      <w:marLeft w:val="0"/>
      <w:marRight w:val="0"/>
      <w:marTop w:val="0"/>
      <w:marBottom w:val="0"/>
      <w:divBdr>
        <w:top w:val="none" w:sz="0" w:space="0" w:color="auto"/>
        <w:left w:val="none" w:sz="0" w:space="0" w:color="auto"/>
        <w:bottom w:val="none" w:sz="0" w:space="0" w:color="auto"/>
        <w:right w:val="none" w:sz="0" w:space="0" w:color="auto"/>
      </w:divBdr>
    </w:div>
    <w:div w:id="21119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TariffUnit@cpu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D74853A12D84DB763C00A78B3FF14" ma:contentTypeVersion="0" ma:contentTypeDescription="Create a new document." ma:contentTypeScope="" ma:versionID="b11f608055fe5afab92127f484d7dc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C4B2-3448-4F51-A298-B6D94CA1FD31}">
  <ds:schemaRefs>
    <ds:schemaRef ds:uri="http://schemas.microsoft.com/sharepoint/v3/contenttype/forms"/>
  </ds:schemaRefs>
</ds:datastoreItem>
</file>

<file path=customXml/itemProps2.xml><?xml version="1.0" encoding="utf-8"?>
<ds:datastoreItem xmlns:ds="http://schemas.openxmlformats.org/officeDocument/2006/customXml" ds:itemID="{8BF5C69B-78B2-4D1D-B99C-06F24812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1B0986-34F9-4CFE-A372-6B34A9734035}">
  <ds:schemaRefs>
    <ds:schemaRef ds:uri="http://schemas.microsoft.com/office/2006/metadata/properties"/>
  </ds:schemaRefs>
</ds:datastoreItem>
</file>

<file path=customXml/itemProps4.xml><?xml version="1.0" encoding="utf-8"?>
<ds:datastoreItem xmlns:ds="http://schemas.openxmlformats.org/officeDocument/2006/customXml" ds:itemID="{EF4720F6-4614-404F-967A-1689FFD4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DorisDo;Tim Olsen</dc:creator>
  <cp:lastModifiedBy>Lujuana Medina</cp:lastModifiedBy>
  <cp:revision>4</cp:revision>
  <cp:lastPrinted>2014-12-12T20:55:00Z</cp:lastPrinted>
  <dcterms:created xsi:type="dcterms:W3CDTF">2018-08-02T14:07:00Z</dcterms:created>
  <dcterms:modified xsi:type="dcterms:W3CDTF">2018-08-02T14:14:00Z</dcterms:modified>
</cp:coreProperties>
</file>