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B2" w:rsidRDefault="00CD1D3C">
      <w:pPr>
        <w:pStyle w:val="20"/>
        <w:framePr w:w="9540" w:h="1167" w:hRule="exact" w:wrap="around" w:vAnchor="page" w:hAnchor="page" w:x="1198" w:y="1312"/>
        <w:shd w:val="clear" w:color="auto" w:fill="auto"/>
        <w:spacing w:after="0"/>
        <w:ind w:left="220"/>
      </w:pPr>
      <w:bookmarkStart w:id="0" w:name="_GoBack"/>
      <w:bookmarkEnd w:id="0"/>
      <w: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E458B2" w:rsidRDefault="00CD1D3C">
      <w:pPr>
        <w:pStyle w:val="10"/>
        <w:framePr w:wrap="around" w:vAnchor="page" w:hAnchor="page" w:x="1198" w:y="3038"/>
        <w:shd w:val="clear" w:color="auto" w:fill="auto"/>
        <w:spacing w:before="0" w:after="0" w:line="240" w:lineRule="exact"/>
        <w:ind w:left="3540"/>
      </w:pPr>
      <w:bookmarkStart w:id="1" w:name="bookmark0"/>
      <w:r>
        <w:t>РЕШЕНИЕ</w:t>
      </w:r>
      <w:bookmarkEnd w:id="1"/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tabs>
          <w:tab w:val="center" w:leader="underscore" w:pos="3388"/>
          <w:tab w:val="center" w:pos="3683"/>
        </w:tabs>
        <w:spacing w:before="0" w:after="16" w:line="210" w:lineRule="exact"/>
        <w:ind w:left="40"/>
      </w:pPr>
      <w:r>
        <w:rPr>
          <w:rStyle w:val="11"/>
        </w:rPr>
        <w:t>от 30 ноября 2012 года</w:t>
      </w:r>
      <w:r>
        <w:tab/>
      </w:r>
      <w:r>
        <w:rPr>
          <w:rStyle w:val="11"/>
        </w:rPr>
        <w:t>№</w:t>
      </w:r>
      <w:r>
        <w:rPr>
          <w:rStyle w:val="11"/>
        </w:rPr>
        <w:tab/>
        <w:t>38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319" w:line="210" w:lineRule="exact"/>
        <w:ind w:left="40"/>
      </w:pPr>
      <w:r>
        <w:t>поселок Опыт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508" w:line="210" w:lineRule="exact"/>
        <w:ind w:left="40"/>
      </w:pPr>
      <w:r>
        <w:t>Об установлении земельного налога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283" w:line="274" w:lineRule="exact"/>
        <w:ind w:left="40" w:right="320" w:firstLine="940"/>
        <w:jc w:val="left"/>
      </w:pPr>
      <w:r>
        <w:t xml:space="preserve">В соответствии с главой 31 Налогового кодекса Российской </w:t>
      </w:r>
      <w:r>
        <w:t>Федерации</w:t>
      </w:r>
      <w:proofErr w:type="gramStart"/>
      <w:r>
        <w:t xml:space="preserve"> ,</w:t>
      </w:r>
      <w:proofErr w:type="gramEnd"/>
      <w:r>
        <w:t xml:space="preserve"> на основании Устава </w:t>
      </w:r>
      <w:proofErr w:type="spellStart"/>
      <w:r>
        <w:t>Гришевского</w:t>
      </w:r>
      <w:proofErr w:type="spellEnd"/>
      <w:r>
        <w:t xml:space="preserve"> сельского поселения , Совет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Воронежской области</w:t>
      </w:r>
    </w:p>
    <w:p w:rsidR="00E458B2" w:rsidRDefault="00CD1D3C">
      <w:pPr>
        <w:pStyle w:val="20"/>
        <w:framePr w:w="9540" w:h="11682" w:hRule="exact" w:wrap="around" w:vAnchor="page" w:hAnchor="page" w:x="1198" w:y="3943"/>
        <w:shd w:val="clear" w:color="auto" w:fill="auto"/>
        <w:spacing w:after="260" w:line="220" w:lineRule="exact"/>
        <w:ind w:left="3080"/>
        <w:jc w:val="left"/>
      </w:pPr>
      <w:r>
        <w:t>РЕШИЛ</w:t>
      </w:r>
      <w:proofErr w:type="gramStart"/>
      <w:r>
        <w:t xml:space="preserve"> :</w:t>
      </w:r>
      <w:proofErr w:type="gramEnd"/>
    </w:p>
    <w:p w:rsidR="00E458B2" w:rsidRDefault="00CD1D3C">
      <w:pPr>
        <w:pStyle w:val="21"/>
        <w:framePr w:w="9540" w:h="11682" w:hRule="exact" w:wrap="around" w:vAnchor="page" w:hAnchor="page" w:x="1198" w:y="3943"/>
        <w:numPr>
          <w:ilvl w:val="0"/>
          <w:numId w:val="1"/>
        </w:numPr>
        <w:shd w:val="clear" w:color="auto" w:fill="auto"/>
        <w:spacing w:before="0" w:after="294" w:line="277" w:lineRule="exact"/>
        <w:ind w:left="40" w:right="320" w:firstLine="1020"/>
        <w:jc w:val="left"/>
      </w:pPr>
      <w:r>
        <w:t xml:space="preserve">Ввести на территории </w:t>
      </w:r>
      <w:proofErr w:type="spellStart"/>
      <w:r>
        <w:t>Гришевского</w:t>
      </w:r>
      <w:proofErr w:type="spellEnd"/>
      <w:r>
        <w:t xml:space="preserve"> сельского поселения земельный налог </w:t>
      </w:r>
      <w:r>
        <w:t xml:space="preserve">на земли, находящиеся в пределах границ </w:t>
      </w:r>
      <w:proofErr w:type="spellStart"/>
      <w:r>
        <w:t>Гришевского</w:t>
      </w:r>
      <w:proofErr w:type="spellEnd"/>
      <w:r>
        <w:t xml:space="preserve"> сельского поселения.</w:t>
      </w:r>
    </w:p>
    <w:p w:rsidR="00E458B2" w:rsidRDefault="00CD1D3C">
      <w:pPr>
        <w:pStyle w:val="21"/>
        <w:framePr w:w="9540" w:h="11682" w:hRule="exact" w:wrap="around" w:vAnchor="page" w:hAnchor="page" w:x="1198" w:y="3943"/>
        <w:numPr>
          <w:ilvl w:val="0"/>
          <w:numId w:val="1"/>
        </w:numPr>
        <w:shd w:val="clear" w:color="auto" w:fill="auto"/>
        <w:spacing w:before="0" w:after="319" w:line="210" w:lineRule="exact"/>
        <w:ind w:left="40" w:firstLine="1020"/>
        <w:jc w:val="left"/>
      </w:pPr>
      <w:r>
        <w:t xml:space="preserve">Установить </w:t>
      </w:r>
      <w:r>
        <w:rPr>
          <w:rStyle w:val="0pt"/>
        </w:rPr>
        <w:t xml:space="preserve">налоговые ставки </w:t>
      </w:r>
      <w:r>
        <w:t>в следующих размерах:</w:t>
      </w:r>
    </w:p>
    <w:p w:rsidR="00E458B2" w:rsidRDefault="00CD1D3C">
      <w:pPr>
        <w:pStyle w:val="21"/>
        <w:framePr w:w="9540" w:h="11682" w:hRule="exact" w:wrap="around" w:vAnchor="page" w:hAnchor="page" w:x="1198" w:y="3943"/>
        <w:numPr>
          <w:ilvl w:val="0"/>
          <w:numId w:val="2"/>
        </w:numPr>
        <w:shd w:val="clear" w:color="auto" w:fill="auto"/>
        <w:spacing w:before="0" w:after="258" w:line="210" w:lineRule="exact"/>
        <w:ind w:left="40"/>
      </w:pPr>
      <w:r>
        <w:t xml:space="preserve"> 0,3 процента в отношении земельных участков: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0" w:line="277" w:lineRule="exact"/>
        <w:ind w:left="40" w:right="700"/>
        <w:jc w:val="left"/>
      </w:pPr>
      <w:r>
        <w:t>-отнесенных к землям сельскохозяйственного назначения или к землям в составе зон сельск</w:t>
      </w:r>
      <w:r>
        <w:t>охозяйственного использования в населенных пунктах и используемых для сельскохозяйственного производства;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0" w:line="277" w:lineRule="exact"/>
        <w:ind w:left="40" w:right="320"/>
        <w:jc w:val="left"/>
      </w:pPr>
      <w:r>
        <w:t>-занятых жилищным фондом и объектами инженерной инфраструктуры жилищн</w:t>
      </w:r>
      <w:proofErr w:type="gramStart"/>
      <w:r>
        <w:t>о-</w:t>
      </w:r>
      <w:proofErr w:type="gramEnd"/>
      <w:r>
        <w:t xml:space="preserve"> коммунального комплекса(за исключением доли в праве на земельный участок , </w:t>
      </w:r>
      <w:r>
        <w:t>приходящейся на объект 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;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294" w:line="277" w:lineRule="exact"/>
        <w:ind w:left="40" w:right="700"/>
        <w:jc w:val="left"/>
      </w:pPr>
      <w:r>
        <w:t>-приобретенны</w:t>
      </w:r>
      <w:proofErr w:type="gramStart"/>
      <w:r>
        <w:t>х(</w:t>
      </w:r>
      <w:proofErr w:type="gramEnd"/>
      <w:r>
        <w:t>предоставленных) для личного подсобного хозяй</w:t>
      </w:r>
      <w:r>
        <w:t>ства , садоводства , огородничества или животноводства , а также дачного хозяйства ;</w:t>
      </w:r>
    </w:p>
    <w:p w:rsidR="00E458B2" w:rsidRDefault="00CD1D3C">
      <w:pPr>
        <w:pStyle w:val="21"/>
        <w:framePr w:w="9540" w:h="11682" w:hRule="exact" w:wrap="around" w:vAnchor="page" w:hAnchor="page" w:x="1198" w:y="3943"/>
        <w:numPr>
          <w:ilvl w:val="0"/>
          <w:numId w:val="2"/>
        </w:numPr>
        <w:shd w:val="clear" w:color="auto" w:fill="auto"/>
        <w:spacing w:before="0" w:after="265" w:line="210" w:lineRule="exact"/>
        <w:ind w:left="40"/>
      </w:pPr>
      <w:r>
        <w:t xml:space="preserve"> 1,5 процента в отношении прочих земельных участков.</w:t>
      </w:r>
    </w:p>
    <w:p w:rsidR="00E458B2" w:rsidRDefault="00CD1D3C">
      <w:pPr>
        <w:pStyle w:val="21"/>
        <w:framePr w:w="9540" w:h="11682" w:hRule="exact" w:wrap="around" w:vAnchor="page" w:hAnchor="page" w:x="1198" w:y="3943"/>
        <w:numPr>
          <w:ilvl w:val="0"/>
          <w:numId w:val="1"/>
        </w:numPr>
        <w:shd w:val="clear" w:color="auto" w:fill="auto"/>
        <w:tabs>
          <w:tab w:val="left" w:pos="2434"/>
        </w:tabs>
        <w:spacing w:before="0" w:after="237" w:line="277" w:lineRule="exact"/>
        <w:ind w:left="40" w:right="820" w:firstLine="940"/>
      </w:pPr>
      <w:r>
        <w:t xml:space="preserve">Установить, что на территории </w:t>
      </w:r>
      <w:proofErr w:type="spellStart"/>
      <w:r>
        <w:t>Гришевского</w:t>
      </w:r>
      <w:proofErr w:type="spellEnd"/>
      <w:r>
        <w:t xml:space="preserve"> сельского </w:t>
      </w:r>
      <w:proofErr w:type="gramStart"/>
      <w:r>
        <w:t>поселения льготы, установленные статьей 395 Налогового кодекса Рос</w:t>
      </w:r>
      <w:r>
        <w:t>сийской Федерации действуют</w:t>
      </w:r>
      <w:proofErr w:type="gramEnd"/>
      <w:r>
        <w:t xml:space="preserve"> в полном объеме.</w:t>
      </w:r>
    </w:p>
    <w:p w:rsidR="00E458B2" w:rsidRDefault="00CD1D3C">
      <w:pPr>
        <w:pStyle w:val="30"/>
        <w:framePr w:w="9540" w:h="11682" w:hRule="exact" w:wrap="around" w:vAnchor="page" w:hAnchor="page" w:x="1198" w:y="3943"/>
        <w:shd w:val="clear" w:color="auto" w:fill="auto"/>
        <w:spacing w:before="0"/>
        <w:ind w:left="40"/>
      </w:pPr>
      <w:r>
        <w:rPr>
          <w:rStyle w:val="30pt"/>
        </w:rPr>
        <w:t xml:space="preserve">а) </w:t>
      </w:r>
      <w:r>
        <w:t>в размере 100 процентов предоставить льготы для</w:t>
      </w:r>
      <w:proofErr w:type="gramStart"/>
      <w:r>
        <w:t xml:space="preserve"> </w:t>
      </w:r>
      <w:r>
        <w:rPr>
          <w:rStyle w:val="30pt"/>
        </w:rPr>
        <w:t>:</w:t>
      </w:r>
      <w:proofErr w:type="gramEnd"/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0" w:line="281" w:lineRule="exact"/>
        <w:ind w:left="40" w:right="700"/>
        <w:jc w:val="left"/>
      </w:pPr>
      <w:r>
        <w:t>-Героев Советского Союза, Героев Российской Федерации, полных кавалеров ордена Славы;</w:t>
      </w:r>
    </w:p>
    <w:p w:rsidR="00E458B2" w:rsidRDefault="00CD1D3C">
      <w:pPr>
        <w:pStyle w:val="21"/>
        <w:framePr w:w="9540" w:h="11682" w:hRule="exact" w:wrap="around" w:vAnchor="page" w:hAnchor="page" w:x="1198" w:y="3943"/>
        <w:shd w:val="clear" w:color="auto" w:fill="auto"/>
        <w:spacing w:before="0" w:after="0" w:line="281" w:lineRule="exact"/>
        <w:ind w:left="40" w:right="240"/>
      </w:pPr>
      <w:r>
        <w:t>- инвалидов</w:t>
      </w:r>
      <w:proofErr w:type="gramStart"/>
      <w:r>
        <w:t xml:space="preserve"> ,</w:t>
      </w:r>
      <w:proofErr w:type="gramEnd"/>
      <w:r>
        <w:t xml:space="preserve"> имеющих 111 степень ограничения способности к трудовой </w:t>
      </w:r>
      <w:r>
        <w:t>деятельности , а также лиц , которые имеют 1 и 11 группу инвалидности , установленную до 1 января 2004</w:t>
      </w:r>
    </w:p>
    <w:p w:rsidR="00E458B2" w:rsidRDefault="00E458B2">
      <w:pPr>
        <w:rPr>
          <w:sz w:val="2"/>
          <w:szCs w:val="2"/>
        </w:rPr>
        <w:sectPr w:rsidR="00E458B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458B2" w:rsidRDefault="00CD1D3C">
      <w:pPr>
        <w:pStyle w:val="21"/>
        <w:framePr w:w="9511" w:h="14411" w:hRule="exact" w:wrap="around" w:vAnchor="page" w:hAnchor="page" w:x="1212" w:y="1214"/>
        <w:shd w:val="clear" w:color="auto" w:fill="auto"/>
        <w:spacing w:before="0" w:after="0" w:line="274" w:lineRule="exact"/>
        <w:ind w:left="40" w:right="1340"/>
        <w:jc w:val="left"/>
      </w:pPr>
      <w:r>
        <w:lastRenderedPageBreak/>
        <w:t>года без вынесения заключения о степени ограничения способности к трудовой деятельности</w:t>
      </w:r>
      <w:proofErr w:type="gramStart"/>
      <w:r>
        <w:t xml:space="preserve"> ;</w:t>
      </w:r>
      <w:proofErr w:type="gramEnd"/>
    </w:p>
    <w:p w:rsidR="00E458B2" w:rsidRDefault="00CD1D3C">
      <w:pPr>
        <w:pStyle w:val="21"/>
        <w:framePr w:w="9511" w:h="14411" w:hRule="exact" w:wrap="around" w:vAnchor="page" w:hAnchor="page" w:x="1212" w:y="1214"/>
        <w:numPr>
          <w:ilvl w:val="0"/>
          <w:numId w:val="3"/>
        </w:numPr>
        <w:shd w:val="clear" w:color="auto" w:fill="auto"/>
        <w:spacing w:before="0" w:after="0" w:line="274" w:lineRule="exact"/>
        <w:ind w:left="40"/>
        <w:jc w:val="left"/>
      </w:pPr>
      <w:r>
        <w:t xml:space="preserve"> инвалидов с детства</w:t>
      </w:r>
      <w:proofErr w:type="gramStart"/>
      <w:r>
        <w:t xml:space="preserve"> ;</w:t>
      </w:r>
      <w:proofErr w:type="gramEnd"/>
    </w:p>
    <w:p w:rsidR="00E458B2" w:rsidRDefault="00CD1D3C">
      <w:pPr>
        <w:pStyle w:val="21"/>
        <w:framePr w:w="9511" w:h="14411" w:hRule="exact" w:wrap="around" w:vAnchor="page" w:hAnchor="page" w:x="1212" w:y="1214"/>
        <w:numPr>
          <w:ilvl w:val="0"/>
          <w:numId w:val="3"/>
        </w:numPr>
        <w:shd w:val="clear" w:color="auto" w:fill="auto"/>
        <w:spacing w:before="0" w:after="0" w:line="274" w:lineRule="exact"/>
        <w:ind w:left="40" w:right="260"/>
        <w:jc w:val="left"/>
      </w:pPr>
      <w:r>
        <w:t xml:space="preserve"> ветеранов и инвал</w:t>
      </w:r>
      <w:r>
        <w:t>идов Великой Отечественной войны</w:t>
      </w:r>
      <w:proofErr w:type="gramStart"/>
      <w:r>
        <w:t xml:space="preserve"> ,</w:t>
      </w:r>
      <w:proofErr w:type="gramEnd"/>
      <w:r>
        <w:t xml:space="preserve"> а также ветеранов и инвалидов боевых действий ,бывшим несовершеннолетним узникам фашистских концлагерей , гетто и других мест принудительного содержания , созданных фашистами и их союзниками в период второй мировой войны </w:t>
      </w:r>
      <w:r>
        <w:t>;</w:t>
      </w:r>
    </w:p>
    <w:p w:rsidR="00E458B2" w:rsidRDefault="00CD1D3C">
      <w:pPr>
        <w:pStyle w:val="21"/>
        <w:framePr w:w="9511" w:h="14411" w:hRule="exact" w:wrap="around" w:vAnchor="page" w:hAnchor="page" w:x="1212" w:y="1214"/>
        <w:shd w:val="clear" w:color="auto" w:fill="auto"/>
        <w:spacing w:before="0" w:after="237" w:line="274" w:lineRule="exact"/>
        <w:ind w:left="40" w:right="260"/>
        <w:jc w:val="left"/>
      </w:pPr>
      <w:r>
        <w:t>-физических лиц</w:t>
      </w:r>
      <w:proofErr w:type="gramStart"/>
      <w:r>
        <w:t xml:space="preserve"> ,</w:t>
      </w:r>
      <w:proofErr w:type="gramEnd"/>
      <w:r>
        <w:t xml:space="preserve"> имеющих право на получение социальной поддержки в соответствии с Законом Российской Федерации «О социальной защите граждан , подвергшихся воздействию радиации вследствие катастрофы на Чернобыльской АЭС» ( в редакции Закона Российской </w:t>
      </w:r>
      <w:r>
        <w:t>Федерации от 18 июня 1992 года № 3061-1), в соответствии с Федеральным законом от 26 ноября 1998 года № 175 -ФЗ «О социальной защите граждан Российской Федерации, подвергшихся воздействию радиации вследствие аварии в 1957 году на производственном объединен</w:t>
      </w:r>
      <w:r>
        <w:t xml:space="preserve">ии «Маяк» и сбросов радиоактивных отходов в реку </w:t>
      </w:r>
      <w:proofErr w:type="spellStart"/>
      <w:r>
        <w:t>Теча</w:t>
      </w:r>
      <w:proofErr w:type="spellEnd"/>
      <w:r>
        <w:t>» и в соответствии с Федеральным законом от 10 января 2002 года № 2 -ФЗ «О социальных гарантиях гражданам</w:t>
      </w:r>
      <w:proofErr w:type="gramStart"/>
      <w:r>
        <w:t xml:space="preserve"> ,</w:t>
      </w:r>
      <w:proofErr w:type="gramEnd"/>
      <w:r>
        <w:t xml:space="preserve"> подвергшимся радиационному воздействию вследствие ядерных испытаний на Семипалатинском полигоне</w:t>
      </w:r>
      <w:r>
        <w:t>» ;</w:t>
      </w:r>
    </w:p>
    <w:p w:rsidR="00E458B2" w:rsidRDefault="00CD1D3C">
      <w:pPr>
        <w:pStyle w:val="21"/>
        <w:framePr w:w="9511" w:h="14411" w:hRule="exact" w:wrap="around" w:vAnchor="page" w:hAnchor="page" w:x="1212" w:y="1214"/>
        <w:numPr>
          <w:ilvl w:val="0"/>
          <w:numId w:val="3"/>
        </w:numPr>
        <w:shd w:val="clear" w:color="auto" w:fill="auto"/>
        <w:spacing w:before="0" w:after="243" w:line="277" w:lineRule="exact"/>
        <w:ind w:left="40" w:right="260"/>
        <w:jc w:val="left"/>
      </w:pPr>
      <w:r>
        <w:t xml:space="preserve"> физических лиц</w:t>
      </w:r>
      <w:proofErr w:type="gramStart"/>
      <w:r>
        <w:t xml:space="preserve"> ,</w:t>
      </w:r>
      <w:proofErr w:type="gramEnd"/>
      <w:r>
        <w:t xml:space="preserve"> принимавших в составе подразделений особого риска непосредственное участие в испытаниях ядерного и термоядерного оружия , ликвидации аварий ядерных установок на средствах вооружения и военных объектах ;</w:t>
      </w:r>
    </w:p>
    <w:p w:rsidR="00E458B2" w:rsidRDefault="00CD1D3C">
      <w:pPr>
        <w:pStyle w:val="21"/>
        <w:framePr w:w="9511" w:h="14411" w:hRule="exact" w:wrap="around" w:vAnchor="page" w:hAnchor="page" w:x="1212" w:y="1214"/>
        <w:shd w:val="clear" w:color="auto" w:fill="auto"/>
        <w:spacing w:before="0" w:after="237" w:line="274" w:lineRule="exact"/>
        <w:ind w:left="40" w:right="260"/>
        <w:jc w:val="left"/>
      </w:pPr>
      <w:r>
        <w:t>-физических лиц</w:t>
      </w:r>
      <w:proofErr w:type="gramStart"/>
      <w:r>
        <w:t xml:space="preserve"> ,</w:t>
      </w:r>
      <w:proofErr w:type="gramEnd"/>
      <w:r>
        <w:t xml:space="preserve"> получивших ил</w:t>
      </w:r>
      <w:r>
        <w:t>и перенесших лучевую болезнь или ставших инвалидами в результате испытаний , учений и иных работ , связанных с любыми видами ядерных установок , включая ядерное оружие и космическую технику .</w:t>
      </w:r>
    </w:p>
    <w:p w:rsidR="00E458B2" w:rsidRDefault="00CD1D3C">
      <w:pPr>
        <w:pStyle w:val="21"/>
        <w:framePr w:w="9511" w:h="14411" w:hRule="exact" w:wrap="around" w:vAnchor="page" w:hAnchor="page" w:x="1212" w:y="1214"/>
        <w:shd w:val="clear" w:color="auto" w:fill="auto"/>
        <w:spacing w:before="0" w:after="243" w:line="277" w:lineRule="exact"/>
        <w:ind w:left="40" w:right="380" w:firstLine="300"/>
        <w:jc w:val="left"/>
      </w:pPr>
      <w:r>
        <w:t>Налогоплательщики</w:t>
      </w:r>
      <w:proofErr w:type="gramStart"/>
      <w:r>
        <w:t xml:space="preserve"> ,</w:t>
      </w:r>
      <w:proofErr w:type="gramEnd"/>
      <w:r>
        <w:t xml:space="preserve"> имеющие право на налоговые льготы , должны п</w:t>
      </w:r>
      <w:r>
        <w:t>редоставить документы подтверждающие такое право в налоговые органы в срок до 01 февраля года, следующего за истекшим налоговым периодом .</w:t>
      </w:r>
    </w:p>
    <w:p w:rsidR="00E458B2" w:rsidRDefault="00CD1D3C">
      <w:pPr>
        <w:pStyle w:val="21"/>
        <w:framePr w:w="9511" w:h="14411" w:hRule="exact" w:wrap="around" w:vAnchor="page" w:hAnchor="page" w:x="1212" w:y="1214"/>
        <w:numPr>
          <w:ilvl w:val="0"/>
          <w:numId w:val="1"/>
        </w:numPr>
        <w:shd w:val="clear" w:color="auto" w:fill="auto"/>
        <w:spacing w:before="0" w:after="237" w:line="274" w:lineRule="exact"/>
        <w:ind w:left="40" w:right="260"/>
        <w:jc w:val="left"/>
      </w:pPr>
      <w:r>
        <w:t>Исчисление налога и авансовых платежей осуществляется в порядке</w:t>
      </w:r>
      <w:proofErr w:type="gramStart"/>
      <w:r>
        <w:t xml:space="preserve"> ,</w:t>
      </w:r>
      <w:proofErr w:type="gramEnd"/>
      <w:r>
        <w:t xml:space="preserve"> определенном статьей 396 Налогового кодекса Российс</w:t>
      </w:r>
      <w:r>
        <w:t>кой Федерации и в сроки , определенном настоящим решением .</w:t>
      </w:r>
    </w:p>
    <w:p w:rsidR="00E458B2" w:rsidRDefault="00CD1D3C">
      <w:pPr>
        <w:pStyle w:val="21"/>
        <w:framePr w:w="9511" w:h="14411" w:hRule="exact" w:wrap="around" w:vAnchor="page" w:hAnchor="page" w:x="1212" w:y="1214"/>
        <w:numPr>
          <w:ilvl w:val="0"/>
          <w:numId w:val="1"/>
        </w:numPr>
        <w:shd w:val="clear" w:color="auto" w:fill="auto"/>
        <w:spacing w:before="0" w:after="0" w:line="277" w:lineRule="exact"/>
        <w:ind w:left="40" w:right="260"/>
        <w:jc w:val="left"/>
      </w:pPr>
      <w:r>
        <w:t>Физические лица уплачивают налог на основании налогового уведомления в срок 01 ноября года, следующего за истекшим налоговым периодом.</w:t>
      </w:r>
    </w:p>
    <w:p w:rsidR="00E458B2" w:rsidRDefault="00CD1D3C">
      <w:pPr>
        <w:pStyle w:val="40"/>
        <w:framePr w:w="9511" w:h="14411" w:hRule="exact" w:wrap="around" w:vAnchor="page" w:hAnchor="page" w:x="1212" w:y="1214"/>
        <w:shd w:val="clear" w:color="auto" w:fill="auto"/>
        <w:spacing w:after="0" w:line="150" w:lineRule="exact"/>
        <w:ind w:left="2960"/>
      </w:pPr>
      <w:r>
        <w:t>•</w:t>
      </w:r>
    </w:p>
    <w:p w:rsidR="00E458B2" w:rsidRDefault="00CD1D3C">
      <w:pPr>
        <w:pStyle w:val="21"/>
        <w:framePr w:w="9511" w:h="14411" w:hRule="exact" w:wrap="around" w:vAnchor="page" w:hAnchor="page" w:x="1212" w:y="1214"/>
        <w:numPr>
          <w:ilvl w:val="0"/>
          <w:numId w:val="1"/>
        </w:numPr>
        <w:shd w:val="clear" w:color="auto" w:fill="auto"/>
        <w:spacing w:before="0" w:after="237" w:line="274" w:lineRule="exact"/>
        <w:ind w:left="40" w:right="260"/>
        <w:jc w:val="left"/>
      </w:pPr>
      <w:r>
        <w:t xml:space="preserve"> Организации и физические лица, являющиеся индивидуальными предпринимателями, уплачивают авансовые платежи по налогу в срок не позднее последнего числа месяца следующего за истекшим отчетным периодом как одну четвертую налоговой ставки процентной доли када</w:t>
      </w:r>
      <w:r>
        <w:t>стровой стоимости земельного участка по состоянию на первое января года, являющегося налоговым периодом. Налог уплачивается по истечении налогового периода не позднее 1 февраля года, следующего за истекшим налоговым периодом</w:t>
      </w:r>
      <w:proofErr w:type="gramStart"/>
      <w:r>
        <w:t>.»</w:t>
      </w:r>
      <w:proofErr w:type="gramEnd"/>
    </w:p>
    <w:p w:rsidR="00E458B2" w:rsidRDefault="00CD1D3C">
      <w:pPr>
        <w:pStyle w:val="21"/>
        <w:framePr w:w="9511" w:h="14411" w:hRule="exact" w:wrap="around" w:vAnchor="page" w:hAnchor="page" w:x="1212" w:y="1214"/>
        <w:shd w:val="clear" w:color="auto" w:fill="auto"/>
        <w:spacing w:before="0" w:after="240" w:line="277" w:lineRule="exact"/>
        <w:ind w:left="40" w:right="260"/>
        <w:jc w:val="left"/>
      </w:pPr>
      <w:r>
        <w:t>По истечении налогового перио</w:t>
      </w:r>
      <w:r>
        <w:t xml:space="preserve">да налогоплательщики </w:t>
      </w:r>
      <w:proofErr w:type="gramStart"/>
      <w:r>
        <w:t>-о</w:t>
      </w:r>
      <w:proofErr w:type="gramEnd"/>
      <w:r>
        <w:t>рганизации , физические лица, являющиеся индивидуальными предпринимателями уплачивают сумму исчисленного налога за вычетом авансовых платежей .</w:t>
      </w:r>
    </w:p>
    <w:p w:rsidR="00E458B2" w:rsidRDefault="00CD1D3C">
      <w:pPr>
        <w:pStyle w:val="21"/>
        <w:framePr w:w="9511" w:h="14411" w:hRule="exact" w:wrap="around" w:vAnchor="page" w:hAnchor="page" w:x="1212" w:y="1214"/>
        <w:shd w:val="clear" w:color="auto" w:fill="auto"/>
        <w:spacing w:before="0" w:after="0" w:line="277" w:lineRule="exact"/>
        <w:ind w:left="40" w:right="260"/>
        <w:jc w:val="left"/>
      </w:pPr>
      <w:r>
        <w:t>Организации</w:t>
      </w:r>
      <w:proofErr w:type="gramStart"/>
      <w:r>
        <w:t xml:space="preserve"> ,</w:t>
      </w:r>
      <w:proofErr w:type="gramEnd"/>
      <w:r>
        <w:t xml:space="preserve"> физические лица, являющиеся индивидуальными предпринимателями по истечении </w:t>
      </w:r>
      <w:r>
        <w:t>отчетного периода представляют в налоговый орган налоговый расчет по авансовым платежам по налогу , по истечении налогового периода не позднее 1 февраля</w:t>
      </w:r>
    </w:p>
    <w:p w:rsidR="00E458B2" w:rsidRDefault="00E458B2">
      <w:pPr>
        <w:rPr>
          <w:sz w:val="2"/>
          <w:szCs w:val="2"/>
        </w:rPr>
        <w:sectPr w:rsidR="00E458B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458B2" w:rsidRDefault="00CD1D3C">
      <w:pPr>
        <w:pStyle w:val="21"/>
        <w:framePr w:w="9529" w:h="4417" w:hRule="exact" w:wrap="around" w:vAnchor="page" w:hAnchor="page" w:x="1203" w:y="1214"/>
        <w:shd w:val="clear" w:color="auto" w:fill="auto"/>
        <w:spacing w:before="0" w:after="243" w:line="281" w:lineRule="exact"/>
        <w:ind w:left="20" w:right="600"/>
        <w:jc w:val="left"/>
      </w:pPr>
      <w:proofErr w:type="gramStart"/>
      <w:r>
        <w:lastRenderedPageBreak/>
        <w:t>года, следующего за истекшим налоговым периодом представляют</w:t>
      </w:r>
      <w:proofErr w:type="gramEnd"/>
      <w:r>
        <w:t xml:space="preserve"> в налоговый орган </w:t>
      </w:r>
      <w:r>
        <w:t>налоговую декларацию по налогу.</w:t>
      </w:r>
    </w:p>
    <w:p w:rsidR="00E458B2" w:rsidRDefault="00CD1D3C">
      <w:pPr>
        <w:pStyle w:val="21"/>
        <w:framePr w:w="9529" w:h="4417" w:hRule="exact" w:wrap="around" w:vAnchor="page" w:hAnchor="page" w:x="1203" w:y="1214"/>
        <w:numPr>
          <w:ilvl w:val="0"/>
          <w:numId w:val="1"/>
        </w:numPr>
        <w:shd w:val="clear" w:color="auto" w:fill="auto"/>
        <w:spacing w:before="0" w:after="240" w:line="277" w:lineRule="exact"/>
        <w:ind w:left="20" w:right="240"/>
        <w:jc w:val="left"/>
      </w:pPr>
      <w:r>
        <w:t xml:space="preserve">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Воронежской области от ЗОЛ 1.2010 года № 34 «Об установлении земельного налога »,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Подгор</w:t>
      </w:r>
      <w:r>
        <w:t xml:space="preserve">енского муниципального района Воронежской области от 25.08.2011 года № 20 </w:t>
      </w:r>
      <w:r>
        <w:rPr>
          <w:rStyle w:val="0pt0"/>
        </w:rPr>
        <w:t>«О</w:t>
      </w:r>
      <w:r>
        <w:t xml:space="preserve"> внесении изменений и дополнений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поселения от 30.11.2010 г. № 34 «Об установлении земельного налога»</w:t>
      </w:r>
      <w:proofErr w:type="gramStart"/>
      <w:r>
        <w:t xml:space="preserve"> ,</w:t>
      </w:r>
      <w:proofErr w:type="gramEnd"/>
      <w:r>
        <w:t xml:space="preserve"> признать утратившим</w:t>
      </w:r>
      <w:r>
        <w:t xml:space="preserve"> силу</w:t>
      </w:r>
      <w:proofErr w:type="gramStart"/>
      <w:r>
        <w:t xml:space="preserve"> .</w:t>
      </w:r>
      <w:proofErr w:type="gramEnd"/>
    </w:p>
    <w:p w:rsidR="00E458B2" w:rsidRDefault="00CD1D3C">
      <w:pPr>
        <w:pStyle w:val="21"/>
        <w:framePr w:w="9529" w:h="4417" w:hRule="exact" w:wrap="around" w:vAnchor="page" w:hAnchor="page" w:x="1203" w:y="1214"/>
        <w:numPr>
          <w:ilvl w:val="0"/>
          <w:numId w:val="1"/>
        </w:numPr>
        <w:shd w:val="clear" w:color="auto" w:fill="auto"/>
        <w:spacing w:before="0" w:after="294" w:line="277" w:lineRule="exact"/>
        <w:ind w:left="20" w:right="240"/>
        <w:jc w:val="left"/>
      </w:pPr>
      <w:r>
        <w:t xml:space="preserve">Настоящее решение подлежит опубликованию в Вестнике муниципальных правовых актов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Воронежской области</w:t>
      </w:r>
      <w:proofErr w:type="gramStart"/>
      <w:r>
        <w:t xml:space="preserve"> .</w:t>
      </w:r>
      <w:proofErr w:type="gramEnd"/>
    </w:p>
    <w:p w:rsidR="00E458B2" w:rsidRDefault="00CD1D3C">
      <w:pPr>
        <w:pStyle w:val="21"/>
        <w:framePr w:w="9529" w:h="4417" w:hRule="exact" w:wrap="around" w:vAnchor="page" w:hAnchor="page" w:x="1203" w:y="1214"/>
        <w:numPr>
          <w:ilvl w:val="0"/>
          <w:numId w:val="1"/>
        </w:numPr>
        <w:shd w:val="clear" w:color="auto" w:fill="auto"/>
        <w:spacing w:before="0" w:after="0" w:line="210" w:lineRule="exact"/>
        <w:ind w:left="20"/>
        <w:jc w:val="left"/>
      </w:pPr>
      <w:r>
        <w:t>Настоящее решение вступает в силу с 01 января 2013 года</w:t>
      </w:r>
      <w:proofErr w:type="gramStart"/>
      <w:r>
        <w:t xml:space="preserve"> .</w:t>
      </w:r>
      <w:proofErr w:type="gramEnd"/>
    </w:p>
    <w:p w:rsidR="00E458B2" w:rsidRDefault="00CD1D3C">
      <w:pPr>
        <w:framePr w:wrap="none" w:vAnchor="page" w:hAnchor="page" w:x="1228" w:y="654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</w:instrText>
      </w:r>
      <w:r>
        <w:instrText>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243.75pt">
            <v:imagedata r:id="rId8" r:href="rId9"/>
          </v:shape>
        </w:pict>
      </w:r>
      <w:r>
        <w:fldChar w:fldCharType="end"/>
      </w:r>
    </w:p>
    <w:p w:rsidR="00E458B2" w:rsidRDefault="00E458B2">
      <w:pPr>
        <w:rPr>
          <w:sz w:val="2"/>
          <w:szCs w:val="2"/>
        </w:rPr>
      </w:pPr>
    </w:p>
    <w:sectPr w:rsidR="00E458B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3C" w:rsidRDefault="00CD1D3C">
      <w:r>
        <w:separator/>
      </w:r>
    </w:p>
  </w:endnote>
  <w:endnote w:type="continuationSeparator" w:id="0">
    <w:p w:rsidR="00CD1D3C" w:rsidRDefault="00CD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3C" w:rsidRDefault="00CD1D3C"/>
  </w:footnote>
  <w:footnote w:type="continuationSeparator" w:id="0">
    <w:p w:rsidR="00CD1D3C" w:rsidRDefault="00CD1D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2633"/>
    <w:multiLevelType w:val="multilevel"/>
    <w:tmpl w:val="594C4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73D8E"/>
    <w:multiLevelType w:val="multilevel"/>
    <w:tmpl w:val="87EA9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4365EC"/>
    <w:multiLevelType w:val="multilevel"/>
    <w:tmpl w:val="91F4E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458B2"/>
    <w:rsid w:val="00C7062D"/>
    <w:rsid w:val="00CD1D3C"/>
    <w:rsid w:val="00E4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7" w:lineRule="exac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1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7" w:lineRule="exac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81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2019-03-29T07:55:00Z</dcterms:created>
  <dcterms:modified xsi:type="dcterms:W3CDTF">2019-03-29T07:56:00Z</dcterms:modified>
</cp:coreProperties>
</file>