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1472"/>
        <w:gridCol w:w="1393"/>
        <w:gridCol w:w="1393"/>
        <w:gridCol w:w="1343"/>
      </w:tblGrid>
      <w:tr w:rsidR="0036317F" w:rsidTr="007C5BAA">
        <w:trPr>
          <w:trHeight w:val="1017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0FA4" w:rsidRPr="00B34212" w:rsidRDefault="001E0FA4" w:rsidP="001755F5">
            <w:pPr>
              <w:jc w:val="center"/>
              <w:rPr>
                <w:rFonts w:eastAsia="Batang" w:cstheme="minorHAnsi"/>
                <w:b/>
                <w:color w:val="365F91" w:themeColor="accent1" w:themeShade="BF"/>
                <w:sz w:val="36"/>
                <w:szCs w:val="36"/>
              </w:rPr>
            </w:pPr>
            <w:r w:rsidRPr="00B34212">
              <w:rPr>
                <w:rFonts w:eastAsia="Batang" w:cstheme="minorHAnsi"/>
                <w:b/>
                <w:color w:val="365F91" w:themeColor="accent1" w:themeShade="BF"/>
                <w:sz w:val="36"/>
                <w:szCs w:val="36"/>
              </w:rPr>
              <w:t xml:space="preserve">Assessing District and School </w:t>
            </w:r>
            <w:r w:rsidR="0036317F" w:rsidRPr="00B34212">
              <w:rPr>
                <w:rFonts w:eastAsia="Batang" w:cstheme="minorHAnsi"/>
                <w:b/>
                <w:color w:val="365F91" w:themeColor="accent1" w:themeShade="BF"/>
                <w:sz w:val="36"/>
                <w:szCs w:val="36"/>
              </w:rPr>
              <w:t xml:space="preserve">Capacity </w:t>
            </w:r>
          </w:p>
          <w:p w:rsidR="0036317F" w:rsidRPr="00B34212" w:rsidRDefault="0036317F" w:rsidP="001E0FA4">
            <w:pPr>
              <w:jc w:val="center"/>
              <w:rPr>
                <w:rFonts w:eastAsia="Batang" w:cstheme="minorHAnsi"/>
                <w:b/>
                <w:color w:val="365F91" w:themeColor="accent1" w:themeShade="BF"/>
                <w:sz w:val="36"/>
                <w:szCs w:val="36"/>
              </w:rPr>
            </w:pPr>
            <w:r w:rsidRPr="00B34212">
              <w:rPr>
                <w:rFonts w:eastAsia="Batang" w:cstheme="minorHAnsi"/>
                <w:b/>
                <w:color w:val="365F91" w:themeColor="accent1" w:themeShade="BF"/>
                <w:sz w:val="36"/>
                <w:szCs w:val="36"/>
              </w:rPr>
              <w:t>for Teacher Leadership</w:t>
            </w:r>
          </w:p>
        </w:tc>
      </w:tr>
      <w:tr w:rsidR="0036317F" w:rsidTr="007C5BAA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36317F" w:rsidRPr="00B34212" w:rsidRDefault="0036317F" w:rsidP="006A5160">
            <w:pPr>
              <w:jc w:val="center"/>
              <w:rPr>
                <w:rFonts w:cstheme="minorHAnsi"/>
                <w:i/>
              </w:rPr>
            </w:pPr>
            <w:r w:rsidRPr="00B34212">
              <w:rPr>
                <w:rFonts w:cstheme="minorHAnsi"/>
                <w:i/>
              </w:rPr>
              <w:t xml:space="preserve">The following </w:t>
            </w:r>
            <w:r w:rsidR="006A5160" w:rsidRPr="00B34212">
              <w:rPr>
                <w:rFonts w:cstheme="minorHAnsi"/>
                <w:i/>
              </w:rPr>
              <w:t>tool</w:t>
            </w:r>
            <w:r w:rsidRPr="00B34212">
              <w:rPr>
                <w:rFonts w:cstheme="minorHAnsi"/>
                <w:i/>
              </w:rPr>
              <w:t xml:space="preserve"> can be utilized </w:t>
            </w:r>
            <w:r w:rsidR="006A5160" w:rsidRPr="00B34212">
              <w:rPr>
                <w:rFonts w:cstheme="minorHAnsi"/>
                <w:i/>
              </w:rPr>
              <w:t>to assess</w:t>
            </w:r>
            <w:r w:rsidRPr="00B34212">
              <w:rPr>
                <w:rFonts w:cstheme="minorHAnsi"/>
                <w:i/>
              </w:rPr>
              <w:t xml:space="preserve"> current </w:t>
            </w:r>
            <w:r w:rsidR="006A5160" w:rsidRPr="00B34212">
              <w:rPr>
                <w:rFonts w:cstheme="minorHAnsi"/>
                <w:i/>
              </w:rPr>
              <w:t xml:space="preserve">implementation or </w:t>
            </w:r>
            <w:r w:rsidRPr="00B34212">
              <w:rPr>
                <w:rFonts w:cstheme="minorHAnsi"/>
                <w:i/>
              </w:rPr>
              <w:t xml:space="preserve">potential </w:t>
            </w:r>
            <w:r w:rsidR="006A5160" w:rsidRPr="00B34212">
              <w:rPr>
                <w:rFonts w:cstheme="minorHAnsi"/>
                <w:i/>
              </w:rPr>
              <w:t xml:space="preserve">capacity for a comprehensive </w:t>
            </w:r>
            <w:r w:rsidRPr="00B34212">
              <w:rPr>
                <w:rFonts w:cstheme="minorHAnsi"/>
                <w:i/>
              </w:rPr>
              <w:t>teacher leaders</w:t>
            </w:r>
            <w:r w:rsidR="006A5160" w:rsidRPr="00B34212">
              <w:rPr>
                <w:rFonts w:cstheme="minorHAnsi"/>
                <w:i/>
              </w:rPr>
              <w:t>hip program at the school or district level</w:t>
            </w:r>
            <w:r w:rsidRPr="00B34212">
              <w:rPr>
                <w:rFonts w:cstheme="minorHAnsi"/>
                <w:i/>
              </w:rPr>
              <w:t>.</w:t>
            </w:r>
          </w:p>
        </w:tc>
      </w:tr>
      <w:tr w:rsidR="00710873" w:rsidTr="000537C0"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16" w:rsidRPr="00B34212" w:rsidRDefault="00D42D16">
            <w:pPr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16" w:rsidRPr="00B34212" w:rsidRDefault="00D42D16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16" w:rsidRPr="00B34212" w:rsidRDefault="00D42D16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16" w:rsidRPr="00B34212" w:rsidRDefault="00D42D16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16" w:rsidRPr="00B34212" w:rsidRDefault="00D42D16">
            <w:pPr>
              <w:rPr>
                <w:rFonts w:cstheme="minorHAnsi"/>
              </w:rPr>
            </w:pPr>
          </w:p>
        </w:tc>
      </w:tr>
      <w:tr w:rsidR="00710873" w:rsidTr="001755F5">
        <w:tc>
          <w:tcPr>
            <w:tcW w:w="394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42D16" w:rsidRPr="00B34212" w:rsidRDefault="00D42D16">
            <w:pPr>
              <w:rPr>
                <w:rFonts w:eastAsia="Batang" w:cstheme="minorHAnsi"/>
                <w:i/>
                <w:sz w:val="28"/>
                <w:szCs w:val="28"/>
              </w:rPr>
            </w:pPr>
            <w:r w:rsidRPr="00B34212">
              <w:rPr>
                <w:rFonts w:eastAsia="Batang" w:cstheme="minorHAnsi"/>
                <w:i/>
                <w:color w:val="000000" w:themeColor="text1"/>
                <w:sz w:val="28"/>
                <w:szCs w:val="28"/>
              </w:rPr>
              <w:t>Culture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42D16" w:rsidRPr="00B34212" w:rsidRDefault="00276DDC" w:rsidP="00276DD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Consistently (2)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42D16" w:rsidRPr="00B34212" w:rsidRDefault="00276DDC" w:rsidP="00276DD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Sometimes (1)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 w:rsidP="00276DD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Rarely</w:t>
            </w:r>
          </w:p>
          <w:p w:rsidR="00D42D16" w:rsidRPr="00B34212" w:rsidRDefault="00276DDC" w:rsidP="00276DD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(0)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42D16" w:rsidRPr="00B34212" w:rsidRDefault="00276DDC" w:rsidP="00276DDC">
            <w:pPr>
              <w:jc w:val="center"/>
              <w:rPr>
                <w:rFonts w:cstheme="minorHAnsi"/>
                <w:b/>
                <w:i/>
              </w:rPr>
            </w:pPr>
            <w:r w:rsidRPr="00B34212">
              <w:rPr>
                <w:rFonts w:cstheme="minorHAnsi"/>
                <w:b/>
                <w:i/>
              </w:rPr>
              <w:t>Comments</w:t>
            </w:r>
          </w:p>
        </w:tc>
      </w:tr>
      <w:tr w:rsidR="00710873" w:rsidTr="00AA2C7C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1.a. School/</w:t>
            </w:r>
            <w:r w:rsidR="00276DDC" w:rsidRPr="00B34212">
              <w:rPr>
                <w:rFonts w:cstheme="minorHAnsi"/>
              </w:rPr>
              <w:t>district leaders utilize collaborative team practices for instruction</w:t>
            </w:r>
            <w:r w:rsidR="006A5160" w:rsidRPr="00B34212">
              <w:rPr>
                <w:rFonts w:cstheme="minorHAnsi"/>
              </w:rPr>
              <w:t>al planning</w:t>
            </w:r>
            <w:r w:rsidR="00276DDC" w:rsidRPr="00B34212">
              <w:rPr>
                <w:rFonts w:cstheme="minorHAnsi"/>
              </w:rPr>
              <w:t>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 w:val="restart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1.b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>district leaders utilize data during professional learning team meetings.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1.c. School/</w:t>
            </w:r>
            <w:r w:rsidR="00276DDC" w:rsidRPr="00B34212">
              <w:rPr>
                <w:rFonts w:cstheme="minorHAnsi"/>
              </w:rPr>
              <w:t>district leaders provide substantial opportunities for professional development for all staff</w:t>
            </w:r>
            <w:r w:rsidRPr="00B34212">
              <w:rPr>
                <w:rFonts w:cstheme="minorHAnsi"/>
              </w:rPr>
              <w:t xml:space="preserve"> members</w:t>
            </w:r>
            <w:r w:rsidR="00276DDC" w:rsidRPr="00B34212">
              <w:rPr>
                <w:rFonts w:cstheme="minorHAnsi"/>
              </w:rPr>
              <w:t>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1.d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>district leaders establish clear criteria for effectiveness in teaching practices.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0537C0">
        <w:tc>
          <w:tcPr>
            <w:tcW w:w="39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1.e. School/</w:t>
            </w:r>
            <w:r w:rsidR="00276DDC" w:rsidRPr="00B34212">
              <w:rPr>
                <w:rFonts w:cstheme="minorHAnsi"/>
              </w:rPr>
              <w:t xml:space="preserve">district leaders provide recognition and authority for the most effective teachers. 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0537C0"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</w:tr>
      <w:tr w:rsidR="00710873" w:rsidTr="000537C0">
        <w:tc>
          <w:tcPr>
            <w:tcW w:w="394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1755F5" w:rsidP="001755F5">
            <w:pPr>
              <w:rPr>
                <w:rFonts w:eastAsia="Batang" w:cstheme="minorHAnsi"/>
                <w:i/>
                <w:sz w:val="28"/>
                <w:szCs w:val="28"/>
              </w:rPr>
            </w:pPr>
            <w:r w:rsidRPr="00B34212">
              <w:rPr>
                <w:rFonts w:eastAsia="Batang" w:cstheme="minorHAnsi"/>
                <w:i/>
                <w:sz w:val="28"/>
                <w:szCs w:val="28"/>
              </w:rPr>
              <w:t>Selection &amp; Equity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Consistently (2)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Sometimes (1)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Rarely</w:t>
            </w:r>
          </w:p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(0)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  <w:i/>
              </w:rPr>
            </w:pPr>
            <w:r w:rsidRPr="00B34212">
              <w:rPr>
                <w:rFonts w:cstheme="minorHAnsi"/>
                <w:b/>
                <w:i/>
              </w:rPr>
              <w:t>Comments</w:t>
            </w:r>
          </w:p>
        </w:tc>
      </w:tr>
      <w:tr w:rsidR="00710873" w:rsidTr="00AA2C7C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276DDC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2.a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 xml:space="preserve">district leaders have a clear </w:t>
            </w:r>
            <w:r w:rsidR="001E0FA4" w:rsidRPr="00B34212">
              <w:rPr>
                <w:rFonts w:cstheme="minorHAnsi"/>
              </w:rPr>
              <w:t xml:space="preserve">and </w:t>
            </w:r>
            <w:r w:rsidRPr="00B34212">
              <w:rPr>
                <w:rFonts w:cstheme="minorHAnsi"/>
              </w:rPr>
              <w:t>consistent definition of what it means to be a teacher leader.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 w:val="restart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276DDC" w:rsidP="00D42D16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2.b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>district leaders have equitable processes to select teacher leaders.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276DDC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2.c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>district leaders regularly assess the comprehensive and inclusive skills of teachers, including skills beyond those evaluated.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AA2C7C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1E0FA4" w:rsidP="00F74810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 xml:space="preserve">2.d. </w:t>
            </w:r>
            <w:r w:rsidR="00276DDC" w:rsidRPr="00B34212">
              <w:rPr>
                <w:rFonts w:cstheme="minorHAnsi"/>
              </w:rPr>
              <w:t>All teachers are aware of the opportunities that exist for teacher leadership.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1755F5">
        <w:tc>
          <w:tcPr>
            <w:tcW w:w="394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1E0FA4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2.e. School/</w:t>
            </w:r>
            <w:r w:rsidR="00276DDC" w:rsidRPr="00B34212">
              <w:rPr>
                <w:rFonts w:cstheme="minorHAnsi"/>
              </w:rPr>
              <w:t>district leaders clearly identify teacher leaders and their roles to teacher colleagues.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1755F5"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</w:tr>
      <w:tr w:rsidR="006A5160" w:rsidTr="001755F5"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60" w:rsidRPr="00B34212" w:rsidRDefault="006A5160" w:rsidP="0012458D">
            <w:pPr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60" w:rsidRDefault="006A5160">
            <w:pPr>
              <w:rPr>
                <w:rFonts w:cstheme="minorHAnsi"/>
              </w:rPr>
            </w:pPr>
          </w:p>
          <w:p w:rsidR="00821CA4" w:rsidRPr="00B34212" w:rsidRDefault="00821CA4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60" w:rsidRPr="00B34212" w:rsidRDefault="006A5160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60" w:rsidRPr="00B34212" w:rsidRDefault="006A5160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160" w:rsidRPr="00B34212" w:rsidRDefault="006A5160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1E0FA4">
            <w:pPr>
              <w:rPr>
                <w:rFonts w:eastAsia="Batang" w:cstheme="minorHAnsi"/>
                <w:i/>
                <w:sz w:val="28"/>
                <w:szCs w:val="28"/>
              </w:rPr>
            </w:pPr>
            <w:r w:rsidRPr="00B34212">
              <w:rPr>
                <w:rFonts w:eastAsia="Batang" w:cstheme="minorHAnsi"/>
                <w:i/>
                <w:sz w:val="28"/>
                <w:szCs w:val="28"/>
              </w:rPr>
              <w:t>Support</w:t>
            </w:r>
            <w:r w:rsidR="00276DDC" w:rsidRPr="00B34212">
              <w:rPr>
                <w:rFonts w:eastAsia="Batang" w:cstheme="minorHAnsi"/>
                <w:i/>
                <w:sz w:val="28"/>
                <w:szCs w:val="28"/>
              </w:rPr>
              <w:t xml:space="preserve"> Systems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Consistently (2)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Sometimes (1)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Rarely</w:t>
            </w:r>
          </w:p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(0)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  <w:i/>
              </w:rPr>
            </w:pPr>
            <w:r w:rsidRPr="00B34212">
              <w:rPr>
                <w:rFonts w:cstheme="minorHAnsi"/>
                <w:b/>
                <w:i/>
              </w:rPr>
              <w:t>Comments</w:t>
            </w:r>
          </w:p>
        </w:tc>
      </w:tr>
      <w:tr w:rsidR="00710873" w:rsidTr="00821CA4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3.a</w:t>
            </w:r>
            <w:r w:rsidR="001E0FA4" w:rsidRPr="00B34212">
              <w:rPr>
                <w:rFonts w:cstheme="minorHAnsi"/>
              </w:rPr>
              <w:t xml:space="preserve">. </w:t>
            </w:r>
            <w:r w:rsidRPr="00B34212">
              <w:rPr>
                <w:rFonts w:cstheme="minorHAnsi"/>
              </w:rPr>
              <w:t>Teacher leaders are provided with personalized professional development opportunities.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 w:val="restart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 xml:space="preserve">3.b. </w:t>
            </w:r>
            <w:r w:rsidR="00276DDC" w:rsidRPr="00B34212">
              <w:rPr>
                <w:rFonts w:cstheme="minorHAnsi"/>
              </w:rPr>
              <w:t>Teacher leaders have some degree of decision-making ability or oversight.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276DDC" w:rsidP="00F74810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3.c</w:t>
            </w:r>
            <w:r w:rsidR="001E0FA4" w:rsidRPr="00B34212">
              <w:rPr>
                <w:rFonts w:cstheme="minorHAnsi"/>
              </w:rPr>
              <w:t xml:space="preserve">. </w:t>
            </w:r>
            <w:r w:rsidRPr="00B34212">
              <w:rPr>
                <w:rFonts w:cstheme="minorHAnsi"/>
              </w:rPr>
              <w:t>Teacher leaders have opportunities to collaborate with local, regional</w:t>
            </w:r>
            <w:r w:rsidR="001E0FA4" w:rsidRPr="00B34212">
              <w:rPr>
                <w:rFonts w:cstheme="minorHAnsi"/>
              </w:rPr>
              <w:t>,</w:t>
            </w:r>
            <w:r w:rsidRPr="00B34212">
              <w:rPr>
                <w:rFonts w:cstheme="minorHAnsi"/>
              </w:rPr>
              <w:t xml:space="preserve"> or state networks and share their learning with colleagues at the school or district level.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DBE5F1" w:themeFill="accent1" w:themeFillTint="33"/>
          </w:tcPr>
          <w:p w:rsidR="00276DDC" w:rsidRPr="00B34212" w:rsidRDefault="001E0FA4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3.d. School/</w:t>
            </w:r>
            <w:r w:rsidR="00276DDC" w:rsidRPr="00B34212">
              <w:rPr>
                <w:rFonts w:cstheme="minorHAnsi"/>
              </w:rPr>
              <w:t>district leaders systematically align district and school initiatives with opportunities for teacher leadership.</w:t>
            </w:r>
          </w:p>
        </w:tc>
        <w:tc>
          <w:tcPr>
            <w:tcW w:w="1484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1E0FA4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3.e. School/</w:t>
            </w:r>
            <w:r w:rsidR="00276DDC" w:rsidRPr="00B34212">
              <w:rPr>
                <w:rFonts w:cstheme="minorHAnsi"/>
              </w:rPr>
              <w:t xml:space="preserve">district leaders provide teacher leaders with opportunities for skill development in peer coaching and mentoring. 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0537C0"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B1" w:rsidRPr="00B34212" w:rsidRDefault="002359B1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eastAsia="Batang" w:cstheme="minorHAnsi"/>
                <w:i/>
                <w:sz w:val="28"/>
                <w:szCs w:val="28"/>
              </w:rPr>
            </w:pPr>
            <w:r w:rsidRPr="00B34212">
              <w:rPr>
                <w:rFonts w:eastAsia="Batang" w:cstheme="minorHAnsi"/>
                <w:i/>
                <w:sz w:val="28"/>
                <w:szCs w:val="28"/>
              </w:rPr>
              <w:t>Utilization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Consistently (2)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Sometimes (1)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Rarely</w:t>
            </w:r>
          </w:p>
          <w:p w:rsidR="00276DDC" w:rsidRPr="00B34212" w:rsidRDefault="00276DDC" w:rsidP="00CE3082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(0)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 w:rsidP="00CE3082">
            <w:pPr>
              <w:jc w:val="center"/>
              <w:rPr>
                <w:rFonts w:cstheme="minorHAnsi"/>
                <w:b/>
                <w:i/>
              </w:rPr>
            </w:pPr>
            <w:r w:rsidRPr="00B34212">
              <w:rPr>
                <w:rFonts w:cstheme="minorHAnsi"/>
                <w:b/>
                <w:i/>
              </w:rPr>
              <w:t>Comments</w:t>
            </w:r>
          </w:p>
        </w:tc>
      </w:tr>
      <w:tr w:rsidR="00710873" w:rsidTr="00821CA4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276DDC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4.a</w:t>
            </w:r>
            <w:r w:rsidR="001E0FA4" w:rsidRPr="00B34212">
              <w:rPr>
                <w:rFonts w:cstheme="minorHAnsi"/>
              </w:rPr>
              <w:t>. School/</w:t>
            </w:r>
            <w:r w:rsidRPr="00B34212">
              <w:rPr>
                <w:rFonts w:cstheme="minorHAnsi"/>
              </w:rPr>
              <w:t xml:space="preserve">district </w:t>
            </w:r>
            <w:proofErr w:type="gramStart"/>
            <w:r w:rsidRPr="00B34212">
              <w:rPr>
                <w:rFonts w:cstheme="minorHAnsi"/>
              </w:rPr>
              <w:t>leaders  strategically</w:t>
            </w:r>
            <w:proofErr w:type="gramEnd"/>
            <w:r w:rsidRPr="00B34212">
              <w:rPr>
                <w:rFonts w:cstheme="minorHAnsi"/>
              </w:rPr>
              <w:t xml:space="preserve"> utilize teacher leaders to generate ideas for school improvement.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 w:val="restart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1E0FA4" w:rsidP="00D4422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 xml:space="preserve">4.b. </w:t>
            </w:r>
            <w:r w:rsidR="00276DDC" w:rsidRPr="00B34212">
              <w:rPr>
                <w:rFonts w:cstheme="minorHAnsi"/>
              </w:rPr>
              <w:t>Teacher leaders are strategically utilized to facilitate distributed leadership and shared ownership in schools.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4.c</w:t>
            </w:r>
            <w:r w:rsidR="001E0FA4" w:rsidRPr="00B34212">
              <w:rPr>
                <w:rFonts w:cstheme="minorHAnsi"/>
              </w:rPr>
              <w:t xml:space="preserve">. </w:t>
            </w:r>
            <w:r w:rsidRPr="00B34212">
              <w:rPr>
                <w:rFonts w:cstheme="minorHAnsi"/>
              </w:rPr>
              <w:t>Teacher leaders have access to, and regularly use</w:t>
            </w:r>
            <w:r w:rsidR="001E0FA4" w:rsidRPr="00B34212">
              <w:rPr>
                <w:rFonts w:cstheme="minorHAnsi"/>
              </w:rPr>
              <w:t>,</w:t>
            </w:r>
            <w:r w:rsidRPr="00B34212">
              <w:rPr>
                <w:rFonts w:cstheme="minorHAnsi"/>
              </w:rPr>
              <w:t xml:space="preserve"> data to determine needs, generate agendas, facilitate professional learning</w:t>
            </w:r>
            <w:r w:rsidR="001E0FA4" w:rsidRPr="00B34212">
              <w:rPr>
                <w:rFonts w:cstheme="minorHAnsi"/>
              </w:rPr>
              <w:t>,</w:t>
            </w:r>
            <w:r w:rsidRPr="00B34212">
              <w:rPr>
                <w:rFonts w:cstheme="minorHAnsi"/>
              </w:rPr>
              <w:t xml:space="preserve"> and drive school improvement.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1E0FA4" w:rsidP="001E0FA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>4.d. School/</w:t>
            </w:r>
            <w:r w:rsidR="00276DDC" w:rsidRPr="00B34212">
              <w:rPr>
                <w:rFonts w:cstheme="minorHAnsi"/>
              </w:rPr>
              <w:t>district schedules are created to leverage teacher leaders for the professional growth of other teachers.</w:t>
            </w:r>
          </w:p>
        </w:tc>
        <w:tc>
          <w:tcPr>
            <w:tcW w:w="1484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710873" w:rsidTr="00821CA4">
        <w:tc>
          <w:tcPr>
            <w:tcW w:w="3949" w:type="dxa"/>
            <w:shd w:val="clear" w:color="auto" w:fill="EAF1DD" w:themeFill="accent3" w:themeFillTint="33"/>
          </w:tcPr>
          <w:p w:rsidR="00276DDC" w:rsidRPr="00B34212" w:rsidRDefault="001E0FA4" w:rsidP="00D44224">
            <w:pPr>
              <w:rPr>
                <w:rFonts w:cstheme="minorHAnsi"/>
              </w:rPr>
            </w:pPr>
            <w:r w:rsidRPr="00B34212">
              <w:rPr>
                <w:rFonts w:cstheme="minorHAnsi"/>
              </w:rPr>
              <w:t xml:space="preserve">4.e. </w:t>
            </w:r>
            <w:r w:rsidR="00276DDC" w:rsidRPr="00B34212">
              <w:rPr>
                <w:rFonts w:cstheme="minorHAnsi"/>
              </w:rPr>
              <w:t>Teacher leaders are comfortable and empowered to bring forward new ideas, discuss discordant issues or challenge ineffective practices.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76DDC" w:rsidRPr="00B34212" w:rsidRDefault="00276DDC">
            <w:pPr>
              <w:rPr>
                <w:rFonts w:cstheme="minorHAnsi"/>
              </w:rPr>
            </w:pPr>
          </w:p>
        </w:tc>
      </w:tr>
      <w:tr w:rsidR="001755F5" w:rsidRPr="00B34212" w:rsidTr="001755F5">
        <w:trPr>
          <w:gridAfter w:val="1"/>
          <w:wAfter w:w="1357" w:type="dxa"/>
        </w:trPr>
        <w:tc>
          <w:tcPr>
            <w:tcW w:w="3949" w:type="dxa"/>
          </w:tcPr>
          <w:p w:rsidR="001755F5" w:rsidRPr="00B34212" w:rsidRDefault="001755F5" w:rsidP="00B933F9">
            <w:pPr>
              <w:jc w:val="right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lastRenderedPageBreak/>
              <w:t>Total of each column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755F5" w:rsidRPr="00B34212" w:rsidRDefault="001755F5">
            <w:pPr>
              <w:rPr>
                <w:rFonts w:cstheme="minorHAnsi"/>
              </w:rPr>
            </w:pPr>
          </w:p>
          <w:p w:rsidR="001E0FA4" w:rsidRPr="00B34212" w:rsidRDefault="001E0FA4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755F5" w:rsidRPr="00B34212" w:rsidRDefault="001755F5">
            <w:pPr>
              <w:rPr>
                <w:rFonts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:rsidR="001755F5" w:rsidRPr="00B34212" w:rsidRDefault="001755F5">
            <w:pPr>
              <w:rPr>
                <w:rFonts w:cstheme="minorHAnsi"/>
              </w:rPr>
            </w:pPr>
          </w:p>
        </w:tc>
      </w:tr>
      <w:tr w:rsidR="001755F5" w:rsidRPr="00B34212" w:rsidTr="001755F5">
        <w:trPr>
          <w:gridAfter w:val="1"/>
          <w:wAfter w:w="1357" w:type="dxa"/>
        </w:trPr>
        <w:tc>
          <w:tcPr>
            <w:tcW w:w="3949" w:type="dxa"/>
            <w:tcBorders>
              <w:right w:val="single" w:sz="4" w:space="0" w:color="auto"/>
            </w:tcBorders>
          </w:tcPr>
          <w:p w:rsidR="001755F5" w:rsidRPr="00B34212" w:rsidRDefault="001755F5" w:rsidP="00B9237F">
            <w:pPr>
              <w:jc w:val="right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Total of all columns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5" w:rsidRPr="00B34212" w:rsidRDefault="001755F5">
            <w:pPr>
              <w:rPr>
                <w:rFonts w:cstheme="minorHAnsi"/>
              </w:rPr>
            </w:pPr>
          </w:p>
          <w:p w:rsidR="001E0FA4" w:rsidRPr="00B34212" w:rsidRDefault="001E0FA4">
            <w:pPr>
              <w:rPr>
                <w:rFonts w:cstheme="minorHAnsi"/>
              </w:rPr>
            </w:pPr>
          </w:p>
        </w:tc>
      </w:tr>
      <w:tr w:rsidR="001755F5" w:rsidTr="00821CA4">
        <w:trPr>
          <w:trHeight w:val="2165"/>
        </w:trPr>
        <w:tc>
          <w:tcPr>
            <w:tcW w:w="39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55F5" w:rsidRPr="00B34212" w:rsidRDefault="001755F5" w:rsidP="0092505E">
            <w:pPr>
              <w:jc w:val="center"/>
              <w:rPr>
                <w:rFonts w:cstheme="minorHAnsi"/>
                <w:i/>
              </w:rPr>
            </w:pPr>
            <w:r w:rsidRPr="00B34212">
              <w:rPr>
                <w:rFonts w:cstheme="minorHAnsi"/>
                <w:i/>
              </w:rPr>
              <w:t>Compar</w:t>
            </w:r>
            <w:r w:rsidR="001E0FA4" w:rsidRPr="00B34212">
              <w:rPr>
                <w:rFonts w:cstheme="minorHAnsi"/>
                <w:i/>
              </w:rPr>
              <w:t>e your score with the suggested</w:t>
            </w:r>
            <w:r w:rsidRPr="00B34212">
              <w:rPr>
                <w:rFonts w:cstheme="minorHAnsi"/>
                <w:i/>
              </w:rPr>
              <w:t xml:space="preserve"> ranges.  Provided score ranges are simply guidelines.  For example, scores with more than </w:t>
            </w:r>
            <w:r w:rsidR="001E0FA4" w:rsidRPr="00B34212">
              <w:rPr>
                <w:rFonts w:cstheme="minorHAnsi"/>
                <w:i/>
              </w:rPr>
              <w:t>two</w:t>
            </w:r>
            <w:r w:rsidRPr="00B34212">
              <w:rPr>
                <w:rFonts w:cstheme="minorHAnsi"/>
                <w:i/>
              </w:rPr>
              <w:t xml:space="preserve"> ‘rarely’ ratings might fit more accurately with ‘Good Capacity’, even if the total score fits in the ‘High Capacity’ range.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High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Capacity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  <w:u w:val="single"/>
              </w:rPr>
            </w:pPr>
            <w:r w:rsidRPr="00B34212">
              <w:rPr>
                <w:rFonts w:cstheme="minorHAnsi"/>
                <w:b/>
                <w:u w:val="single"/>
              </w:rPr>
              <w:t>34-40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sz w:val="18"/>
                <w:szCs w:val="18"/>
              </w:rPr>
              <w:t>Exemplar model of teacher leadership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Good Capacity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  <w:u w:val="single"/>
              </w:rPr>
            </w:pPr>
            <w:r w:rsidRPr="00B34212">
              <w:rPr>
                <w:rFonts w:cstheme="minorHAnsi"/>
                <w:b/>
                <w:u w:val="single"/>
              </w:rPr>
              <w:t>28-34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sz w:val="18"/>
                <w:szCs w:val="18"/>
              </w:rPr>
              <w:t>Partial/medium implementation of teacher leadership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Some Capacity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  <w:u w:val="single"/>
              </w:rPr>
            </w:pPr>
            <w:r w:rsidRPr="00B34212">
              <w:rPr>
                <w:rFonts w:cstheme="minorHAnsi"/>
                <w:b/>
                <w:u w:val="single"/>
              </w:rPr>
              <w:t>22-28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sz w:val="18"/>
                <w:szCs w:val="18"/>
              </w:rPr>
              <w:t>Some processes in place to move toward implementation of teacher leadership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b/>
              </w:rPr>
              <w:t>Low Capacity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  <w:u w:val="single"/>
              </w:rPr>
            </w:pPr>
            <w:r w:rsidRPr="00B34212">
              <w:rPr>
                <w:rFonts w:cstheme="minorHAnsi"/>
                <w:b/>
                <w:u w:val="single"/>
              </w:rPr>
              <w:t>0-22</w:t>
            </w:r>
          </w:p>
          <w:p w:rsidR="001755F5" w:rsidRPr="00B34212" w:rsidRDefault="001755F5" w:rsidP="00AA2C7C">
            <w:pPr>
              <w:jc w:val="center"/>
              <w:rPr>
                <w:rFonts w:cstheme="minorHAnsi"/>
                <w:b/>
              </w:rPr>
            </w:pPr>
            <w:r w:rsidRPr="00B34212">
              <w:rPr>
                <w:rFonts w:cstheme="minorHAnsi"/>
                <w:sz w:val="18"/>
                <w:szCs w:val="18"/>
              </w:rPr>
              <w:t>Few processes currently in place to sustain teacher leadership</w:t>
            </w:r>
          </w:p>
        </w:tc>
      </w:tr>
      <w:tr w:rsidR="001755F5" w:rsidTr="00553A37">
        <w:trPr>
          <w:trHeight w:val="498"/>
        </w:trPr>
        <w:tc>
          <w:tcPr>
            <w:tcW w:w="9576" w:type="dxa"/>
            <w:gridSpan w:val="5"/>
          </w:tcPr>
          <w:p w:rsidR="001755F5" w:rsidRPr="00B34212" w:rsidRDefault="001E0FA4">
            <w:pPr>
              <w:rPr>
                <w:rFonts w:cstheme="minorHAnsi"/>
                <w:b/>
                <w:szCs w:val="18"/>
              </w:rPr>
            </w:pPr>
            <w:r w:rsidRPr="00B34212">
              <w:rPr>
                <w:rFonts w:cstheme="minorHAnsi"/>
                <w:b/>
                <w:szCs w:val="18"/>
              </w:rPr>
              <w:t>Notes:</w:t>
            </w: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sz w:val="18"/>
                <w:szCs w:val="18"/>
              </w:rPr>
            </w:pPr>
          </w:p>
          <w:p w:rsidR="001E0FA4" w:rsidRPr="00B34212" w:rsidRDefault="001E0FA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6317F" w:rsidRDefault="0036317F"/>
    <w:sectPr w:rsidR="003631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F7" w:rsidRDefault="000E12F7" w:rsidP="0012458D">
      <w:pPr>
        <w:spacing w:after="0" w:line="240" w:lineRule="auto"/>
      </w:pPr>
      <w:r>
        <w:separator/>
      </w:r>
    </w:p>
  </w:endnote>
  <w:endnote w:type="continuationSeparator" w:id="0">
    <w:p w:rsidR="000E12F7" w:rsidRDefault="000E12F7" w:rsidP="001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8D" w:rsidRDefault="0012458D" w:rsidP="001E0FA4">
    <w:pPr>
      <w:pStyle w:val="Footer"/>
      <w:jc w:val="center"/>
    </w:pPr>
    <w:r>
      <w:rPr>
        <w:noProof/>
      </w:rPr>
      <w:drawing>
        <wp:inline distT="0" distB="0" distL="0" distR="0">
          <wp:extent cx="1385668" cy="76856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69" cy="77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FA4">
      <w:rPr>
        <w:noProof/>
      </w:rPr>
      <w:drawing>
        <wp:inline distT="0" distB="0" distL="0" distR="0">
          <wp:extent cx="856035" cy="7451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ing Loop (compressed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519" cy="78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F7" w:rsidRDefault="000E12F7" w:rsidP="0012458D">
      <w:pPr>
        <w:spacing w:after="0" w:line="240" w:lineRule="auto"/>
      </w:pPr>
      <w:r>
        <w:separator/>
      </w:r>
    </w:p>
  </w:footnote>
  <w:footnote w:type="continuationSeparator" w:id="0">
    <w:p w:rsidR="000E12F7" w:rsidRDefault="000E12F7" w:rsidP="001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43" w:rsidRPr="004B3443" w:rsidRDefault="004B3443" w:rsidP="004B3443">
    <w:pPr>
      <w:pStyle w:val="Header"/>
      <w:jc w:val="center"/>
      <w:rPr>
        <w:rFonts w:ascii="Franklin Gothic Demi Cond" w:hAnsi="Franklin Gothic Demi Cond"/>
        <w:sz w:val="32"/>
      </w:rPr>
    </w:pPr>
    <w:r>
      <w:rPr>
        <w:rFonts w:ascii="Franklin Gothic Demi Cond" w:hAnsi="Franklin Gothic Demi Cond"/>
        <w:sz w:val="32"/>
      </w:rPr>
      <w:t>Game Setup: Self-Analysis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7F"/>
    <w:rsid w:val="00000A98"/>
    <w:rsid w:val="000117E3"/>
    <w:rsid w:val="000537C0"/>
    <w:rsid w:val="000E12F7"/>
    <w:rsid w:val="0012458D"/>
    <w:rsid w:val="001755F5"/>
    <w:rsid w:val="001E0FA4"/>
    <w:rsid w:val="00230393"/>
    <w:rsid w:val="002359B1"/>
    <w:rsid w:val="00276DDC"/>
    <w:rsid w:val="0036317F"/>
    <w:rsid w:val="004B3443"/>
    <w:rsid w:val="00587ABF"/>
    <w:rsid w:val="00595BA1"/>
    <w:rsid w:val="005E2952"/>
    <w:rsid w:val="006A5160"/>
    <w:rsid w:val="00710873"/>
    <w:rsid w:val="007C5BAA"/>
    <w:rsid w:val="00821CA4"/>
    <w:rsid w:val="008C0DBC"/>
    <w:rsid w:val="008E3DA5"/>
    <w:rsid w:val="0092505E"/>
    <w:rsid w:val="009519B5"/>
    <w:rsid w:val="00A50E66"/>
    <w:rsid w:val="00AA2C7C"/>
    <w:rsid w:val="00B34212"/>
    <w:rsid w:val="00B567A8"/>
    <w:rsid w:val="00B7429C"/>
    <w:rsid w:val="00B9237F"/>
    <w:rsid w:val="00B933F9"/>
    <w:rsid w:val="00C5175E"/>
    <w:rsid w:val="00CE1748"/>
    <w:rsid w:val="00D42D16"/>
    <w:rsid w:val="00D44224"/>
    <w:rsid w:val="00E36301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57BF"/>
  <w15:docId w15:val="{700908B2-9837-4DE8-8472-6C214E5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8D"/>
  </w:style>
  <w:style w:type="paragraph" w:styleId="Footer">
    <w:name w:val="footer"/>
    <w:basedOn w:val="Normal"/>
    <w:link w:val="FooterChar"/>
    <w:uiPriority w:val="99"/>
    <w:unhideWhenUsed/>
    <w:rsid w:val="001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8D"/>
  </w:style>
  <w:style w:type="paragraph" w:styleId="BalloonText">
    <w:name w:val="Balloon Text"/>
    <w:basedOn w:val="Normal"/>
    <w:link w:val="BalloonTextChar"/>
    <w:uiPriority w:val="99"/>
    <w:semiHidden/>
    <w:unhideWhenUsed/>
    <w:rsid w:val="0012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1CEB-EEFF-4F8A-A3E1-E6BF392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Bohn, Jessica B</dc:creator>
  <cp:lastModifiedBy>Allison Rodman</cp:lastModifiedBy>
  <cp:revision>6</cp:revision>
  <cp:lastPrinted>2016-07-07T22:02:00Z</cp:lastPrinted>
  <dcterms:created xsi:type="dcterms:W3CDTF">2016-07-12T00:48:00Z</dcterms:created>
  <dcterms:modified xsi:type="dcterms:W3CDTF">2016-11-06T11:35:00Z</dcterms:modified>
</cp:coreProperties>
</file>