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DA" w:rsidRDefault="00985FDA" w:rsidP="00985FDA">
      <w:pPr>
        <w:pStyle w:val="2"/>
      </w:pPr>
      <w:bookmarkStart w:id="0" w:name="_GoBack"/>
      <w:r>
        <w:t>Статья 247. Владение и пользование имуществом, находящимся в долевой собственности</w:t>
      </w:r>
    </w:p>
    <w:bookmarkEnd w:id="0"/>
    <w:p w:rsidR="00985FDA" w:rsidRDefault="00985FDA" w:rsidP="00985FDA">
      <w:r w:rsidRPr="00985FDA">
        <w:t>[Гражданский кодекс РФ]</w:t>
      </w:r>
      <w:r>
        <w:t xml:space="preserve"> </w:t>
      </w:r>
      <w:r w:rsidRPr="00985FDA">
        <w:t>[Глава 16]</w:t>
      </w:r>
      <w:r>
        <w:t xml:space="preserve"> </w:t>
      </w:r>
      <w:r w:rsidRPr="00985FDA">
        <w:t>[Статья 247]</w:t>
      </w:r>
      <w:r>
        <w:t xml:space="preserve"> </w:t>
      </w:r>
    </w:p>
    <w:p w:rsidR="00985FDA" w:rsidRDefault="00985FDA" w:rsidP="00985FDA">
      <w:pPr>
        <w:pStyle w:val="a4"/>
      </w:pPr>
      <w:r>
        <w:t xml:space="preserve">1. Владение и пользование имуществом, находящимся в долевой собственности, осуществляются по соглашению всех ее участников, а при </w:t>
      </w:r>
      <w:proofErr w:type="spellStart"/>
      <w:r>
        <w:t>недостижении</w:t>
      </w:r>
      <w:proofErr w:type="spellEnd"/>
      <w:r>
        <w:t xml:space="preserve"> согласия - в порядке, устанавливаемом судом.</w:t>
      </w:r>
    </w:p>
    <w:p w:rsidR="00985FDA" w:rsidRDefault="00985FDA" w:rsidP="00985FDA">
      <w:pPr>
        <w:pStyle w:val="a4"/>
      </w:pPr>
      <w:r>
        <w:t>2. 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</w:p>
    <w:p w:rsidR="00BC5E36" w:rsidRPr="00985FDA" w:rsidRDefault="00BC5E36" w:rsidP="00985FDA"/>
    <w:sectPr w:rsidR="00BC5E36" w:rsidRPr="0098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A731D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85FD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A8BB-7FE2-425B-ABEA-FFA07CE6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2015-12-29T07:40:00Z</dcterms:created>
  <dcterms:modified xsi:type="dcterms:W3CDTF">2015-12-29T07:40:00Z</dcterms:modified>
</cp:coreProperties>
</file>