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4DF12" w14:textId="77777777" w:rsidR="00274981" w:rsidRDefault="00274981">
      <w:pPr>
        <w:rPr>
          <w:sz w:val="36"/>
        </w:rPr>
      </w:pPr>
      <w:proofErr w:type="spellStart"/>
      <w:r w:rsidRPr="00274981">
        <w:rPr>
          <w:sz w:val="36"/>
        </w:rPr>
        <w:t>Morlais</w:t>
      </w:r>
      <w:proofErr w:type="spellEnd"/>
      <w:r w:rsidRPr="00274981">
        <w:rPr>
          <w:sz w:val="36"/>
        </w:rPr>
        <w:t xml:space="preserve"> &amp; kayak</w:t>
      </w:r>
      <w:r>
        <w:rPr>
          <w:sz w:val="36"/>
        </w:rPr>
        <w:t xml:space="preserve">s – Penryn </w:t>
      </w:r>
      <w:proofErr w:type="spellStart"/>
      <w:r>
        <w:rPr>
          <w:sz w:val="36"/>
        </w:rPr>
        <w:t>Mawr</w:t>
      </w:r>
      <w:proofErr w:type="spellEnd"/>
      <w:r>
        <w:rPr>
          <w:sz w:val="36"/>
        </w:rPr>
        <w:t xml:space="preserve"> to North Stack</w:t>
      </w:r>
    </w:p>
    <w:p w14:paraId="470EA4CF" w14:textId="77777777" w:rsidR="00A41F32" w:rsidRDefault="00B826A4">
      <w:r w:rsidRPr="00B826A4">
        <w:rPr>
          <w:noProof/>
        </w:rPr>
        <w:drawing>
          <wp:inline distT="0" distB="0" distL="0" distR="0" wp14:anchorId="529EE9CA" wp14:editId="357BBD1B">
            <wp:extent cx="5731510" cy="40087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08755"/>
                    </a:xfrm>
                    <a:prstGeom prst="rect">
                      <a:avLst/>
                    </a:prstGeom>
                    <a:noFill/>
                    <a:ln>
                      <a:noFill/>
                    </a:ln>
                  </pic:spPr>
                </pic:pic>
              </a:graphicData>
            </a:graphic>
          </wp:inline>
        </w:drawing>
      </w:r>
    </w:p>
    <w:p w14:paraId="17D568ED" w14:textId="77777777" w:rsidR="0016025E" w:rsidRDefault="00274981">
      <w:r>
        <w:t xml:space="preserve">An application for the TWA - </w:t>
      </w:r>
      <w:proofErr w:type="spellStart"/>
      <w:r>
        <w:t>Morlais</w:t>
      </w:r>
      <w:proofErr w:type="spellEnd"/>
      <w:r>
        <w:t xml:space="preserve"> Demonstration Zone </w:t>
      </w:r>
      <w:r w:rsidR="00D01459">
        <w:t xml:space="preserve">(MDZ) </w:t>
      </w:r>
      <w:r>
        <w:t>has been submitted to the Planning Inspectorate as it is deemed a Development of National Significance. The closing date for submission of objections is the 31 October 2019. The submitted documents (including objections</w:t>
      </w:r>
      <w:r w:rsidR="0016025E">
        <w:t>)</w:t>
      </w:r>
      <w:r>
        <w:t xml:space="preserve"> are posted on the Planning Inspectorate webpage at:</w:t>
      </w:r>
    </w:p>
    <w:p w14:paraId="712709C3" w14:textId="77777777" w:rsidR="0016025E" w:rsidRDefault="00A264D4">
      <w:hyperlink r:id="rId6" w:history="1">
        <w:r w:rsidR="0016025E">
          <w:rPr>
            <w:rStyle w:val="Hyperlink"/>
          </w:rPr>
          <w:t>https://dns.planninginspectorate.gov.uk/projects/wales/twa-morlais-demonstration-zone/</w:t>
        </w:r>
      </w:hyperlink>
    </w:p>
    <w:p w14:paraId="01AE6A7D" w14:textId="77777777" w:rsidR="00274981" w:rsidRDefault="00274981">
      <w:r>
        <w:t>Letter</w:t>
      </w:r>
      <w:r w:rsidR="00422ABB">
        <w:t>s</w:t>
      </w:r>
      <w:r>
        <w:t xml:space="preserve"> of objection need to go to: </w:t>
      </w:r>
      <w:hyperlink r:id="rId7" w:history="1">
        <w:r>
          <w:rPr>
            <w:rStyle w:val="Hyperlink"/>
            <w:rFonts w:ascii="Helvetica" w:hAnsi="Helvetica" w:cs="Helvetica"/>
            <w:color w:val="DA4453"/>
            <w:sz w:val="21"/>
            <w:szCs w:val="21"/>
            <w:shd w:val="clear" w:color="auto" w:fill="FFFFFF"/>
          </w:rPr>
          <w:t>TWA.morlaistidalarray@planninginspectorate.gov.uk</w:t>
        </w:r>
      </w:hyperlink>
    </w:p>
    <w:p w14:paraId="1B37FF93" w14:textId="77777777" w:rsidR="0016025E" w:rsidRDefault="00274981">
      <w:r>
        <w:t>There are 1</w:t>
      </w:r>
      <w:r w:rsidR="0016025E">
        <w:t>26</w:t>
      </w:r>
      <w:r>
        <w:t xml:space="preserve"> documents in the application</w:t>
      </w:r>
      <w:r w:rsidR="007B422E">
        <w:t xml:space="preserve"> and this outline does not review them all!</w:t>
      </w:r>
    </w:p>
    <w:p w14:paraId="4E546CCA" w14:textId="77777777" w:rsidR="00624D81" w:rsidRDefault="00624D81">
      <w:pPr>
        <w:rPr>
          <w:b/>
        </w:rPr>
      </w:pPr>
      <w:r>
        <w:rPr>
          <w:b/>
        </w:rPr>
        <w:t xml:space="preserve">TWA </w:t>
      </w:r>
      <w:r w:rsidR="00CF2717">
        <w:rPr>
          <w:b/>
        </w:rPr>
        <w:t xml:space="preserve">- </w:t>
      </w:r>
      <w:proofErr w:type="spellStart"/>
      <w:r w:rsidRPr="00624D81">
        <w:rPr>
          <w:b/>
        </w:rPr>
        <w:t>Morlais</w:t>
      </w:r>
      <w:proofErr w:type="spellEnd"/>
      <w:r w:rsidRPr="00624D81">
        <w:rPr>
          <w:b/>
        </w:rPr>
        <w:t xml:space="preserve"> </w:t>
      </w:r>
      <w:r w:rsidR="00CF2717">
        <w:rPr>
          <w:b/>
        </w:rPr>
        <w:t>demonstration zone</w:t>
      </w:r>
    </w:p>
    <w:p w14:paraId="17DE6FAE" w14:textId="77777777" w:rsidR="006271D4" w:rsidRDefault="00CF2717">
      <w:r>
        <w:t xml:space="preserve">This is a project proposed by </w:t>
      </w:r>
      <w:proofErr w:type="spellStart"/>
      <w:r>
        <w:t>Menter</w:t>
      </w:r>
      <w:proofErr w:type="spellEnd"/>
      <w:r>
        <w:t xml:space="preserve"> Mon which is a not for profit social and local enterprise which works to deliver regeneration, environmental and cultural projects for the benefit of local communities. The </w:t>
      </w:r>
      <w:proofErr w:type="spellStart"/>
      <w:r>
        <w:t>Morlais</w:t>
      </w:r>
      <w:proofErr w:type="spellEnd"/>
      <w:r>
        <w:t xml:space="preserve"> project is based in one of several marine energy demonstration zones intended to encourage and accelerate the development of marine energy which have been identified by the Crown Estate from whom the project area is leased. </w:t>
      </w:r>
      <w:proofErr w:type="spellStart"/>
      <w:r>
        <w:t>Menter</w:t>
      </w:r>
      <w:proofErr w:type="spellEnd"/>
      <w:r>
        <w:t xml:space="preserve"> Mon </w:t>
      </w:r>
      <w:proofErr w:type="spellStart"/>
      <w:r>
        <w:t>Morlais</w:t>
      </w:r>
      <w:proofErr w:type="spellEnd"/>
      <w:r>
        <w:t xml:space="preserve"> Ltd has been set up to enable the project and establish the infrastructure to support up to 240 </w:t>
      </w:r>
      <w:proofErr w:type="gramStart"/>
      <w:r>
        <w:t xml:space="preserve">MW </w:t>
      </w:r>
      <w:r w:rsidR="00371DA3">
        <w:t xml:space="preserve"> </w:t>
      </w:r>
      <w:r>
        <w:t>generation</w:t>
      </w:r>
      <w:proofErr w:type="gramEnd"/>
      <w:r>
        <w:t xml:space="preserve"> capacity. This takes the form of </w:t>
      </w:r>
      <w:r w:rsidR="006271D4">
        <w:t xml:space="preserve">several </w:t>
      </w:r>
      <w:r>
        <w:t>array</w:t>
      </w:r>
      <w:r w:rsidR="00371DA3">
        <w:t>s</w:t>
      </w:r>
      <w:r>
        <w:t xml:space="preserve"> which can</w:t>
      </w:r>
      <w:r w:rsidR="00371DA3">
        <w:t xml:space="preserve"> be let to test different technologies for capturing tidal energy. </w:t>
      </w:r>
      <w:r w:rsidR="00326BC6">
        <w:t xml:space="preserve">These arrays will be let to </w:t>
      </w:r>
      <w:r w:rsidR="00534C3B">
        <w:t xml:space="preserve">developers to test and scale up their devices. </w:t>
      </w:r>
    </w:p>
    <w:p w14:paraId="4B6F2813" w14:textId="77777777" w:rsidR="006271D4" w:rsidRDefault="006271D4">
      <w:r w:rsidRPr="006271D4">
        <w:rPr>
          <w:noProof/>
        </w:rPr>
        <w:lastRenderedPageBreak/>
        <w:drawing>
          <wp:inline distT="0" distB="0" distL="0" distR="0" wp14:anchorId="67128820" wp14:editId="4CFD333A">
            <wp:extent cx="3474720" cy="30213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3021330"/>
                    </a:xfrm>
                    <a:prstGeom prst="rect">
                      <a:avLst/>
                    </a:prstGeom>
                    <a:noFill/>
                    <a:ln>
                      <a:noFill/>
                    </a:ln>
                  </pic:spPr>
                </pic:pic>
              </a:graphicData>
            </a:graphic>
          </wp:inline>
        </w:drawing>
      </w:r>
    </w:p>
    <w:p w14:paraId="02612DC8" w14:textId="77777777" w:rsidR="00624D81" w:rsidRDefault="00534C3B">
      <w:r>
        <w:t>There are several potential impacts which are perhaps of most interest to kayakers:</w:t>
      </w:r>
    </w:p>
    <w:p w14:paraId="6FFFB53C" w14:textId="0D0EB2C0" w:rsidR="00395D1C" w:rsidRDefault="00395D1C" w:rsidP="00534C3B">
      <w:pPr>
        <w:pStyle w:val="ListParagraph"/>
        <w:numPr>
          <w:ilvl w:val="0"/>
          <w:numId w:val="1"/>
        </w:numPr>
      </w:pPr>
      <w:r>
        <w:t>Lack of engagement with local sea kayakers and no</w:t>
      </w:r>
      <w:r w:rsidR="00A264D4">
        <w:t xml:space="preserve"> meaningful</w:t>
      </w:r>
      <w:r>
        <w:t xml:space="preserve"> consultation with national governing bodies e.g. Canoe Wales has resulted in an inadequa</w:t>
      </w:r>
      <w:bookmarkStart w:id="0" w:name="_GoBack"/>
      <w:bookmarkEnd w:id="0"/>
      <w:r>
        <w:t xml:space="preserve">te representation of sea kayaking activity in the area and no consideration of impacts on human-powered small vessels </w:t>
      </w:r>
    </w:p>
    <w:p w14:paraId="3FD8A347" w14:textId="77777777" w:rsidR="00534C3B" w:rsidRDefault="00534C3B" w:rsidP="00534C3B">
      <w:pPr>
        <w:pStyle w:val="ListParagraph"/>
        <w:numPr>
          <w:ilvl w:val="0"/>
          <w:numId w:val="1"/>
        </w:numPr>
      </w:pPr>
      <w:r>
        <w:t xml:space="preserve">Changes in tide flow rates and direction around the devices which are modelled as changing flow regimes of </w:t>
      </w:r>
      <w:proofErr w:type="spellStart"/>
      <w:r>
        <w:t>overfalls</w:t>
      </w:r>
      <w:proofErr w:type="spellEnd"/>
      <w:r>
        <w:t xml:space="preserve">, races and eddies between Penrhyn </w:t>
      </w:r>
      <w:proofErr w:type="spellStart"/>
      <w:r>
        <w:t>Mawr</w:t>
      </w:r>
      <w:proofErr w:type="spellEnd"/>
      <w:r>
        <w:t xml:space="preserve"> and North Stack.  </w:t>
      </w:r>
    </w:p>
    <w:p w14:paraId="74FCB022" w14:textId="77777777" w:rsidR="00534C3B" w:rsidRDefault="00534C3B" w:rsidP="00534C3B">
      <w:pPr>
        <w:pStyle w:val="ListParagraph"/>
        <w:numPr>
          <w:ilvl w:val="0"/>
          <w:numId w:val="1"/>
        </w:numPr>
      </w:pPr>
      <w:r>
        <w:t>Hazard and visual intrusion of moored barges if these are deployed</w:t>
      </w:r>
    </w:p>
    <w:p w14:paraId="1CFE0449" w14:textId="77777777" w:rsidR="00534C3B" w:rsidRDefault="00534C3B" w:rsidP="00534C3B">
      <w:pPr>
        <w:pStyle w:val="ListParagraph"/>
        <w:numPr>
          <w:ilvl w:val="0"/>
          <w:numId w:val="1"/>
        </w:numPr>
      </w:pPr>
      <w:r>
        <w:t xml:space="preserve">Restrictions on passage of kayaks through area especially during construction when a 500 m safety zone around construction sites will be imposed </w:t>
      </w:r>
    </w:p>
    <w:p w14:paraId="57F728C7" w14:textId="77777777" w:rsidR="00534C3B" w:rsidRDefault="00534C3B" w:rsidP="00534C3B">
      <w:pPr>
        <w:pStyle w:val="ListParagraph"/>
        <w:numPr>
          <w:ilvl w:val="0"/>
          <w:numId w:val="1"/>
        </w:numPr>
      </w:pPr>
      <w:r>
        <w:t xml:space="preserve">Potential impact on the long-established sea kayak-based scene and enterprises in Holyhead and Anglesey </w:t>
      </w:r>
    </w:p>
    <w:p w14:paraId="3FE44657" w14:textId="77777777" w:rsidR="00395D1C" w:rsidRDefault="00395D1C" w:rsidP="00395D1C">
      <w:r>
        <w:t xml:space="preserve">This short summary picks out some pertinent bits of the </w:t>
      </w:r>
      <w:proofErr w:type="spellStart"/>
      <w:r>
        <w:t>Morlais</w:t>
      </w:r>
      <w:proofErr w:type="spellEnd"/>
      <w:r>
        <w:t xml:space="preserve"> submission for consideration of the severity and significance on impacts on sea kayaking activity between Penrhyn </w:t>
      </w:r>
      <w:proofErr w:type="spellStart"/>
      <w:r>
        <w:t>Mawr</w:t>
      </w:r>
      <w:proofErr w:type="spellEnd"/>
      <w:r>
        <w:t xml:space="preserve"> and North Stack. </w:t>
      </w:r>
    </w:p>
    <w:p w14:paraId="336B4E99" w14:textId="77777777" w:rsidR="00A55118" w:rsidRPr="00A55118" w:rsidRDefault="000E4852" w:rsidP="00A55118">
      <w:pPr>
        <w:rPr>
          <w:b/>
        </w:rPr>
      </w:pPr>
      <w:r>
        <w:rPr>
          <w:b/>
        </w:rPr>
        <w:t>Chapter 6 - Consultation</w:t>
      </w:r>
    </w:p>
    <w:p w14:paraId="36B31900" w14:textId="7F5B5543" w:rsidR="00274981" w:rsidRDefault="00274981">
      <w:r>
        <w:t xml:space="preserve">Trawling through these </w:t>
      </w:r>
      <w:r w:rsidR="0016025E">
        <w:t xml:space="preserve">documents </w:t>
      </w:r>
      <w:r>
        <w:t xml:space="preserve">reveals that the interest of sea kayakers </w:t>
      </w:r>
      <w:r w:rsidR="0016025E">
        <w:t>has not</w:t>
      </w:r>
      <w:r>
        <w:t xml:space="preserve"> been well represented in </w:t>
      </w:r>
      <w:r w:rsidR="0016025E">
        <w:t>the consultation process</w:t>
      </w:r>
      <w:r w:rsidR="00A55118">
        <w:t xml:space="preserve">. </w:t>
      </w:r>
      <w:r w:rsidR="0016025E">
        <w:t xml:space="preserve"> </w:t>
      </w:r>
      <w:r w:rsidR="00E2240F">
        <w:t xml:space="preserve">There are several documents which report on consultation for the project and it appears that in </w:t>
      </w:r>
      <w:proofErr w:type="gramStart"/>
      <w:r w:rsidR="00E2240F">
        <w:t>all of</w:t>
      </w:r>
      <w:proofErr w:type="gramEnd"/>
      <w:r w:rsidR="00E2240F">
        <w:t xml:space="preserve"> this there were no invited involvement of local kayak clubs (e.g. Snowdonia Canoe Club, </w:t>
      </w:r>
      <w:proofErr w:type="spellStart"/>
      <w:r w:rsidR="00E2240F">
        <w:t>Amlwch</w:t>
      </w:r>
      <w:proofErr w:type="spellEnd"/>
      <w:r w:rsidR="00E2240F">
        <w:t xml:space="preserve"> canoe Club etc.), more distant clubs which regularly visit Holyhead (e.g. Liverpool</w:t>
      </w:r>
      <w:r w:rsidR="000E4852">
        <w:t xml:space="preserve"> Canoe Club</w:t>
      </w:r>
      <w:r w:rsidR="00E2240F">
        <w:t>)</w:t>
      </w:r>
      <w:r w:rsidR="00CF3192">
        <w:t xml:space="preserve">. </w:t>
      </w:r>
      <w:r w:rsidR="00E2240F">
        <w:t>Canoe Wales</w:t>
      </w:r>
      <w:r w:rsidR="00CF3192">
        <w:t xml:space="preserve">, </w:t>
      </w:r>
      <w:r w:rsidR="00E2240F">
        <w:t>British Canoeing</w:t>
      </w:r>
      <w:r w:rsidR="000E4852">
        <w:t xml:space="preserve"> </w:t>
      </w:r>
      <w:r w:rsidR="00CF3192">
        <w:t xml:space="preserve">and </w:t>
      </w:r>
      <w:r w:rsidR="00134B38">
        <w:t xml:space="preserve">several local </w:t>
      </w:r>
      <w:r w:rsidR="000E4852">
        <w:t>sea kayak guides asked to attend consultation events</w:t>
      </w:r>
      <w:r w:rsidR="00134B38">
        <w:t xml:space="preserve"> but it is not clear if they attend or made any </w:t>
      </w:r>
      <w:proofErr w:type="gramStart"/>
      <w:r w:rsidR="00134B38">
        <w:t>inputs</w:t>
      </w:r>
      <w:proofErr w:type="gramEnd"/>
      <w:r w:rsidR="00134B38">
        <w:t xml:space="preserve"> but this was at a pre-application stage before the tidal flow modelling had been done and it was still the intention to have all devices moored to the sea bed</w:t>
      </w:r>
      <w:r w:rsidR="000E4852">
        <w:t>.</w:t>
      </w:r>
      <w:r w:rsidR="00134B38">
        <w:t xml:space="preserve"> </w:t>
      </w:r>
    </w:p>
    <w:p w14:paraId="0FD2F18A" w14:textId="77777777" w:rsidR="000E4852" w:rsidRDefault="00A264D4">
      <w:hyperlink r:id="rId9" w:history="1">
        <w:r w:rsidR="007B422E" w:rsidRPr="00FD6C5C">
          <w:rPr>
            <w:rStyle w:val="Hyperlink"/>
          </w:rPr>
          <w:t>https://dns.planninginspectorate.gov.uk/wp-content/ipc/uploads/projects/DNS/3234121/DNS-3234121-000066-ES%20Volume%2001%20-%20Ch06_F3.0_Consultation.pdf</w:t>
        </w:r>
      </w:hyperlink>
    </w:p>
    <w:p w14:paraId="2A88FB20" w14:textId="77777777" w:rsidR="00A55118" w:rsidRDefault="00A264D4" w:rsidP="00A55118">
      <w:hyperlink r:id="rId10" w:history="1">
        <w:r w:rsidR="00A55118">
          <w:rPr>
            <w:rStyle w:val="Hyperlink"/>
          </w:rPr>
          <w:t>https://dns.planninginspectorate.gov.uk/wp-content/ipc/uploads/projects/DNS/3234121/DNS-3234121-000003-010%20Consultation%20Report.pdf</w:t>
        </w:r>
      </w:hyperlink>
    </w:p>
    <w:p w14:paraId="6416B2BF" w14:textId="77777777" w:rsidR="00125FA1" w:rsidRDefault="00125FA1" w:rsidP="00125FA1">
      <w:pPr>
        <w:rPr>
          <w:b/>
        </w:rPr>
      </w:pPr>
      <w:r w:rsidRPr="00E73420">
        <w:rPr>
          <w:b/>
        </w:rPr>
        <w:t xml:space="preserve">Chapter 7 – </w:t>
      </w:r>
      <w:proofErr w:type="spellStart"/>
      <w:r w:rsidRPr="00E73420">
        <w:rPr>
          <w:b/>
        </w:rPr>
        <w:t>Metocean</w:t>
      </w:r>
      <w:proofErr w:type="spellEnd"/>
      <w:r w:rsidRPr="00E73420">
        <w:rPr>
          <w:b/>
        </w:rPr>
        <w:t xml:space="preserve"> conditions and coastal processes</w:t>
      </w:r>
    </w:p>
    <w:p w14:paraId="55D42519" w14:textId="77777777" w:rsidR="00125FA1" w:rsidRDefault="00125FA1" w:rsidP="00125FA1">
      <w:r>
        <w:t xml:space="preserve">Using a tidal flow model shows the impact of four energy production scenarios on tidal rates and currents from Penrhyn </w:t>
      </w:r>
      <w:proofErr w:type="spellStart"/>
      <w:r>
        <w:t>Mawr</w:t>
      </w:r>
      <w:proofErr w:type="spellEnd"/>
      <w:r>
        <w:t xml:space="preserve"> to North Stack. </w:t>
      </w:r>
    </w:p>
    <w:p w14:paraId="46A01682" w14:textId="77777777" w:rsidR="00125FA1" w:rsidRDefault="00125FA1" w:rsidP="00125FA1">
      <w:r>
        <w:t xml:space="preserve">Figures are peak depth averaged flow speeds for mean spring tide range. </w:t>
      </w:r>
    </w:p>
    <w:p w14:paraId="068C5EAF" w14:textId="77777777" w:rsidR="00125FA1" w:rsidRDefault="00125FA1" w:rsidP="00125FA1">
      <w:r>
        <w:t>1 m s</w:t>
      </w:r>
      <w:r w:rsidRPr="00D07445">
        <w:rPr>
          <w:vertAlign w:val="superscript"/>
        </w:rPr>
        <w:t>-1</w:t>
      </w:r>
      <w:r>
        <w:t xml:space="preserve"> = 1.94 knots = 3.6 km hr</w:t>
      </w:r>
      <w:r w:rsidRPr="00D07445">
        <w:rPr>
          <w:vertAlign w:val="superscript"/>
        </w:rPr>
        <w:t>-1</w:t>
      </w:r>
      <w:r>
        <w:t xml:space="preserve"> </w:t>
      </w:r>
    </w:p>
    <w:p w14:paraId="521910CD" w14:textId="77777777" w:rsidR="00125FA1" w:rsidRDefault="00125FA1" w:rsidP="00125FA1">
      <w:r>
        <w:t>Baseline – Peak flow speed for mean spring tide</w:t>
      </w:r>
    </w:p>
    <w:p w14:paraId="26A66F47" w14:textId="77777777" w:rsidR="00125FA1" w:rsidRDefault="00125FA1" w:rsidP="00125FA1">
      <w:pPr>
        <w:rPr>
          <w:b/>
        </w:rPr>
      </w:pPr>
      <w:r w:rsidRPr="00D15FD5">
        <w:rPr>
          <w:b/>
          <w:noProof/>
        </w:rPr>
        <w:drawing>
          <wp:inline distT="0" distB="0" distL="0" distR="0" wp14:anchorId="28A31EB9" wp14:editId="14DE7334">
            <wp:extent cx="4371975" cy="5057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5057775"/>
                    </a:xfrm>
                    <a:prstGeom prst="rect">
                      <a:avLst/>
                    </a:prstGeom>
                    <a:noFill/>
                    <a:ln>
                      <a:noFill/>
                    </a:ln>
                  </pic:spPr>
                </pic:pic>
              </a:graphicData>
            </a:graphic>
          </wp:inline>
        </w:drawing>
      </w:r>
    </w:p>
    <w:p w14:paraId="5A07B25C" w14:textId="77777777" w:rsidR="00125FA1" w:rsidRDefault="00125FA1" w:rsidP="00125FA1">
      <w:r w:rsidRPr="00194DD3">
        <w:t xml:space="preserve">There are some obvious features on this </w:t>
      </w:r>
      <w:r>
        <w:t xml:space="preserve">which are well known to kayakers – the red streak of the Penrhyn </w:t>
      </w:r>
      <w:proofErr w:type="spellStart"/>
      <w:r>
        <w:t>Mawr</w:t>
      </w:r>
      <w:proofErr w:type="spellEnd"/>
      <w:r>
        <w:t xml:space="preserve"> </w:t>
      </w:r>
      <w:proofErr w:type="spellStart"/>
      <w:r>
        <w:t>overfall</w:t>
      </w:r>
      <w:proofErr w:type="spellEnd"/>
      <w:r>
        <w:t xml:space="preserve"> and the races at North and South stack as well as the slower water within the bays. The figures that follow indicate the changes from this baseline situation – greens and blue flows will be slower in this area than at present; yellows and oranges it will be faster. </w:t>
      </w:r>
    </w:p>
    <w:p w14:paraId="74525CC5" w14:textId="77777777" w:rsidR="00125FA1" w:rsidRDefault="00125FA1" w:rsidP="00125FA1">
      <w:pPr>
        <w:spacing w:after="0"/>
      </w:pPr>
      <w:r>
        <w:lastRenderedPageBreak/>
        <w:t>Scenario 1 – 60 MW – difference from baseline flow: Flood &amp; Ebb</w:t>
      </w:r>
    </w:p>
    <w:p w14:paraId="16BDDA3E" w14:textId="77777777" w:rsidR="00125FA1" w:rsidRDefault="00125FA1" w:rsidP="00125FA1">
      <w:r w:rsidRPr="00D15FD5">
        <w:t xml:space="preserve"> </w:t>
      </w:r>
      <w:r w:rsidRPr="00D15FD5">
        <w:rPr>
          <w:noProof/>
        </w:rPr>
        <w:drawing>
          <wp:inline distT="0" distB="0" distL="0" distR="0" wp14:anchorId="34F65D1F" wp14:editId="6A5F2FD2">
            <wp:extent cx="2800350" cy="3992350"/>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5875" cy="4000227"/>
                    </a:xfrm>
                    <a:prstGeom prst="rect">
                      <a:avLst/>
                    </a:prstGeom>
                    <a:noFill/>
                    <a:ln>
                      <a:solidFill>
                        <a:schemeClr val="accent1"/>
                      </a:solidFill>
                    </a:ln>
                  </pic:spPr>
                </pic:pic>
              </a:graphicData>
            </a:graphic>
          </wp:inline>
        </w:drawing>
      </w:r>
      <w:r w:rsidRPr="00D15FD5">
        <w:rPr>
          <w:noProof/>
        </w:rPr>
        <w:drawing>
          <wp:inline distT="0" distB="0" distL="0" distR="0" wp14:anchorId="60BA8904" wp14:editId="6F2756B6">
            <wp:extent cx="2762250" cy="3988667"/>
            <wp:effectExtent l="19050" t="19050" r="1905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035" cy="3995576"/>
                    </a:xfrm>
                    <a:prstGeom prst="rect">
                      <a:avLst/>
                    </a:prstGeom>
                    <a:noFill/>
                    <a:ln>
                      <a:solidFill>
                        <a:schemeClr val="accent1"/>
                      </a:solidFill>
                    </a:ln>
                  </pic:spPr>
                </pic:pic>
              </a:graphicData>
            </a:graphic>
          </wp:inline>
        </w:drawing>
      </w:r>
    </w:p>
    <w:p w14:paraId="0C6A4CED" w14:textId="77777777" w:rsidR="00125FA1" w:rsidRDefault="00125FA1" w:rsidP="00125FA1">
      <w:pPr>
        <w:spacing w:after="0"/>
      </w:pPr>
      <w:r>
        <w:t>Scenario 2 – 120 MW: Flood &amp; Ebb</w:t>
      </w:r>
    </w:p>
    <w:p w14:paraId="6515CFC0" w14:textId="77777777" w:rsidR="00125FA1" w:rsidRDefault="00125FA1" w:rsidP="00125FA1">
      <w:r w:rsidRPr="00D15FD5">
        <w:rPr>
          <w:noProof/>
        </w:rPr>
        <w:drawing>
          <wp:inline distT="0" distB="0" distL="0" distR="0" wp14:anchorId="53367269" wp14:editId="6AD00E5E">
            <wp:extent cx="2838450" cy="4077047"/>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615" cy="4091648"/>
                    </a:xfrm>
                    <a:prstGeom prst="rect">
                      <a:avLst/>
                    </a:prstGeom>
                    <a:noFill/>
                    <a:ln>
                      <a:solidFill>
                        <a:schemeClr val="accent1"/>
                      </a:solidFill>
                    </a:ln>
                  </pic:spPr>
                </pic:pic>
              </a:graphicData>
            </a:graphic>
          </wp:inline>
        </w:drawing>
      </w:r>
      <w:r>
        <w:t xml:space="preserve"> </w:t>
      </w:r>
      <w:r w:rsidRPr="00935DB6">
        <w:rPr>
          <w:noProof/>
        </w:rPr>
        <w:drawing>
          <wp:inline distT="0" distB="0" distL="0" distR="0" wp14:anchorId="4AC41F63" wp14:editId="60F500E4">
            <wp:extent cx="2771775" cy="4044305"/>
            <wp:effectExtent l="19050" t="19050" r="952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715" cy="4052972"/>
                    </a:xfrm>
                    <a:prstGeom prst="rect">
                      <a:avLst/>
                    </a:prstGeom>
                    <a:noFill/>
                    <a:ln>
                      <a:solidFill>
                        <a:schemeClr val="accent1"/>
                      </a:solidFill>
                    </a:ln>
                  </pic:spPr>
                </pic:pic>
              </a:graphicData>
            </a:graphic>
          </wp:inline>
        </w:drawing>
      </w:r>
    </w:p>
    <w:p w14:paraId="10CFE6AC" w14:textId="77777777" w:rsidR="00125FA1" w:rsidRDefault="00125FA1" w:rsidP="00125FA1">
      <w:pPr>
        <w:spacing w:after="0"/>
      </w:pPr>
      <w:r>
        <w:lastRenderedPageBreak/>
        <w:t>Scenario 3 – 180 MW: Flood &amp; Ebb</w:t>
      </w:r>
    </w:p>
    <w:p w14:paraId="12D119DF" w14:textId="77777777" w:rsidR="00125FA1" w:rsidRDefault="00125FA1" w:rsidP="00125FA1">
      <w:r w:rsidRPr="00935DB6">
        <w:rPr>
          <w:noProof/>
        </w:rPr>
        <w:drawing>
          <wp:inline distT="0" distB="0" distL="0" distR="0" wp14:anchorId="32300232" wp14:editId="76D10A0F">
            <wp:extent cx="2714625" cy="3939429"/>
            <wp:effectExtent l="19050" t="19050" r="9525"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371" cy="3966633"/>
                    </a:xfrm>
                    <a:prstGeom prst="rect">
                      <a:avLst/>
                    </a:prstGeom>
                    <a:noFill/>
                    <a:ln>
                      <a:solidFill>
                        <a:schemeClr val="accent1"/>
                      </a:solidFill>
                    </a:ln>
                  </pic:spPr>
                </pic:pic>
              </a:graphicData>
            </a:graphic>
          </wp:inline>
        </w:drawing>
      </w:r>
      <w:r w:rsidRPr="00935DB6">
        <w:t xml:space="preserve"> </w:t>
      </w:r>
      <w:r w:rsidRPr="00935DB6">
        <w:rPr>
          <w:noProof/>
        </w:rPr>
        <w:drawing>
          <wp:inline distT="0" distB="0" distL="0" distR="0" wp14:anchorId="4C7BCFBE" wp14:editId="44DD9440">
            <wp:extent cx="2743200" cy="3944706"/>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892" cy="3951453"/>
                    </a:xfrm>
                    <a:prstGeom prst="rect">
                      <a:avLst/>
                    </a:prstGeom>
                    <a:noFill/>
                    <a:ln>
                      <a:solidFill>
                        <a:schemeClr val="accent1"/>
                      </a:solidFill>
                    </a:ln>
                  </pic:spPr>
                </pic:pic>
              </a:graphicData>
            </a:graphic>
          </wp:inline>
        </w:drawing>
      </w:r>
    </w:p>
    <w:p w14:paraId="7ADA3B20" w14:textId="77777777" w:rsidR="00125FA1" w:rsidRDefault="00125FA1" w:rsidP="00125FA1">
      <w:pPr>
        <w:spacing w:after="0"/>
      </w:pPr>
      <w:r>
        <w:t>Scenario 4 240 MW</w:t>
      </w:r>
      <w:r w:rsidR="00F32DF5">
        <w:t xml:space="preserve"> = 620 devices</w:t>
      </w:r>
      <w:r>
        <w:t>: Flood &amp; Ebb</w:t>
      </w:r>
    </w:p>
    <w:p w14:paraId="211B46E5" w14:textId="77777777" w:rsidR="00125FA1" w:rsidRDefault="00125FA1" w:rsidP="00125FA1">
      <w:r w:rsidRPr="00935DB6">
        <w:rPr>
          <w:noProof/>
        </w:rPr>
        <w:drawing>
          <wp:inline distT="0" distB="0" distL="0" distR="0" wp14:anchorId="038D2821" wp14:editId="59493B66">
            <wp:extent cx="2809875" cy="4049742"/>
            <wp:effectExtent l="19050" t="19050" r="952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3103" cy="4083220"/>
                    </a:xfrm>
                    <a:prstGeom prst="rect">
                      <a:avLst/>
                    </a:prstGeom>
                    <a:noFill/>
                    <a:ln>
                      <a:solidFill>
                        <a:schemeClr val="accent1"/>
                      </a:solidFill>
                    </a:ln>
                  </pic:spPr>
                </pic:pic>
              </a:graphicData>
            </a:graphic>
          </wp:inline>
        </w:drawing>
      </w:r>
      <w:r w:rsidRPr="00935DB6">
        <w:t xml:space="preserve"> </w:t>
      </w:r>
      <w:r w:rsidRPr="00935DB6">
        <w:rPr>
          <w:noProof/>
        </w:rPr>
        <w:drawing>
          <wp:inline distT="0" distB="0" distL="0" distR="0" wp14:anchorId="6978A7D8" wp14:editId="54CC09F8">
            <wp:extent cx="2828925" cy="4112764"/>
            <wp:effectExtent l="19050" t="19050" r="952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97" cy="4117521"/>
                    </a:xfrm>
                    <a:prstGeom prst="rect">
                      <a:avLst/>
                    </a:prstGeom>
                    <a:noFill/>
                    <a:ln>
                      <a:solidFill>
                        <a:schemeClr val="accent1"/>
                      </a:solidFill>
                    </a:ln>
                  </pic:spPr>
                </pic:pic>
              </a:graphicData>
            </a:graphic>
          </wp:inline>
        </w:drawing>
      </w:r>
    </w:p>
    <w:p w14:paraId="2E7B73DE" w14:textId="77777777" w:rsidR="00125FA1" w:rsidRDefault="00125FA1" w:rsidP="00125FA1">
      <w:r>
        <w:lastRenderedPageBreak/>
        <w:t xml:space="preserve">See </w:t>
      </w:r>
      <w:hyperlink r:id="rId20" w:history="1">
        <w:r>
          <w:rPr>
            <w:rStyle w:val="Hyperlink"/>
          </w:rPr>
          <w:t>https://www.youtube.com/watch?v=7FtMP-7ua_E&amp;t=262s</w:t>
        </w:r>
      </w:hyperlink>
      <w:r>
        <w:t xml:space="preserve"> for a model running across a spring-neap cycle. It would be useful to know if changes in speed will affect all flow rates or </w:t>
      </w:r>
      <w:proofErr w:type="gramStart"/>
      <w:r>
        <w:t>be more or less</w:t>
      </w:r>
      <w:proofErr w:type="gramEnd"/>
      <w:r>
        <w:t xml:space="preserve"> intense in neaps or springs. And whether increased speeds and changes in streams will give larger waves or changes to waves on </w:t>
      </w:r>
      <w:proofErr w:type="spellStart"/>
      <w:r>
        <w:t>overfalls</w:t>
      </w:r>
      <w:proofErr w:type="spellEnd"/>
      <w:r>
        <w:t xml:space="preserve"> and races. Though it may not be possible to model flows at this scale. </w:t>
      </w:r>
    </w:p>
    <w:p w14:paraId="5118D9B9" w14:textId="77777777" w:rsidR="00125FA1" w:rsidRDefault="00A264D4" w:rsidP="00125FA1">
      <w:pPr>
        <w:rPr>
          <w:b/>
        </w:rPr>
      </w:pPr>
      <w:hyperlink r:id="rId21" w:history="1">
        <w:r w:rsidR="00125FA1" w:rsidRPr="00FD6C5C">
          <w:rPr>
            <w:rStyle w:val="Hyperlink"/>
          </w:rPr>
          <w:t>https://dns.planninginspectorate.gov.uk/wp-content/ipc/uploads/projects/DNS/3234121/DNS-3234121-000067-ES%20Volume%2001%20-%20Ch07_F3.0_Metocean%20Conditions%20and%20Coastal%20Processes.pdf</w:t>
        </w:r>
      </w:hyperlink>
    </w:p>
    <w:p w14:paraId="41657263" w14:textId="77777777" w:rsidR="00125FA1" w:rsidRDefault="00125FA1" w:rsidP="00125FA1">
      <w:r>
        <w:t>Full resolution figures:</w:t>
      </w:r>
    </w:p>
    <w:p w14:paraId="6BE2142F" w14:textId="77777777" w:rsidR="00125FA1" w:rsidRDefault="00A264D4" w:rsidP="00125FA1">
      <w:hyperlink r:id="rId22" w:history="1">
        <w:r w:rsidR="00125FA1">
          <w:rPr>
            <w:rStyle w:val="Hyperlink"/>
          </w:rPr>
          <w:t>https://dns.planninginspectorate.gov.uk/wp-content/ipc/uploads/projects/DNS/3234121/DNS-3234121-000091-ES%20Volume%2002%20-%20Chapter07_F3.0.pdf</w:t>
        </w:r>
      </w:hyperlink>
      <w:r w:rsidR="00125FA1">
        <w:t xml:space="preserve"> </w:t>
      </w:r>
    </w:p>
    <w:p w14:paraId="5B2D2F35" w14:textId="77777777" w:rsidR="00125FA1" w:rsidRDefault="00125FA1" w:rsidP="00125FA1">
      <w:r>
        <w:t>Original report done by HR Wallingford – details of modelling and flow regimes</w:t>
      </w:r>
    </w:p>
    <w:p w14:paraId="6F78DFE3" w14:textId="77777777" w:rsidR="00125FA1" w:rsidRDefault="00A264D4" w:rsidP="00125FA1">
      <w:hyperlink r:id="rId23" w:history="1">
        <w:r w:rsidR="00125FA1">
          <w:rPr>
            <w:rStyle w:val="Hyperlink"/>
          </w:rPr>
          <w:t>https://dns.planninginspectorate.gov.uk/wp-content/ipc/uploads/projects/DNS/3234121/DNS-3234121-000111-ES%20Volume%2003%20-%20Ch07.pdf</w:t>
        </w:r>
      </w:hyperlink>
    </w:p>
    <w:p w14:paraId="0B320D4A" w14:textId="77777777" w:rsidR="00274981" w:rsidRDefault="00A41F32">
      <w:pPr>
        <w:rPr>
          <w:b/>
        </w:rPr>
      </w:pPr>
      <w:r w:rsidRPr="00A41F32">
        <w:rPr>
          <w:b/>
        </w:rPr>
        <w:t>Chapter 15 – Shipping and navigation</w:t>
      </w:r>
    </w:p>
    <w:p w14:paraId="1A34933F" w14:textId="77777777" w:rsidR="00A41F32" w:rsidRDefault="00A41F32">
      <w:r>
        <w:t xml:space="preserve">Most of the consideration is given to data derived from AIS supplemented with radar tracking for </w:t>
      </w:r>
      <w:r w:rsidR="00E73420">
        <w:t>26 Aug to 9 Sept 2017 to represent ‘summer’ and 5-19</w:t>
      </w:r>
      <w:r w:rsidR="00E73420" w:rsidRPr="00E73420">
        <w:rPr>
          <w:vertAlign w:val="superscript"/>
        </w:rPr>
        <w:t>th</w:t>
      </w:r>
      <w:r w:rsidR="00E73420">
        <w:t xml:space="preserve"> April </w:t>
      </w:r>
      <w:r>
        <w:t>201</w:t>
      </w:r>
      <w:r w:rsidR="00E73420">
        <w:t>9</w:t>
      </w:r>
      <w:r>
        <w:t xml:space="preserve"> to represent ‘winter’ traffic. </w:t>
      </w:r>
    </w:p>
    <w:p w14:paraId="6E0196AD" w14:textId="77777777" w:rsidR="00E73420" w:rsidRDefault="00E73420">
      <w:r>
        <w:t>In these data kayaks would fall into the category of Recreational vessels &lt; 3 m in length</w:t>
      </w:r>
      <w:r w:rsidR="00D877E3">
        <w:t xml:space="preserve"> – and this is what they have as representation of this. </w:t>
      </w:r>
    </w:p>
    <w:p w14:paraId="4DFE4CEE" w14:textId="77777777" w:rsidR="00E73420" w:rsidRDefault="00D877E3">
      <w:r w:rsidRPr="00D877E3">
        <w:rPr>
          <w:noProof/>
        </w:rPr>
        <w:drawing>
          <wp:inline distT="0" distB="0" distL="0" distR="0" wp14:anchorId="32A75CA4" wp14:editId="5999C87B">
            <wp:extent cx="5731510" cy="3946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46525"/>
                    </a:xfrm>
                    <a:prstGeom prst="rect">
                      <a:avLst/>
                    </a:prstGeom>
                    <a:noFill/>
                    <a:ln>
                      <a:noFill/>
                    </a:ln>
                  </pic:spPr>
                </pic:pic>
              </a:graphicData>
            </a:graphic>
          </wp:inline>
        </w:drawing>
      </w:r>
    </w:p>
    <w:p w14:paraId="2FDA1776" w14:textId="0BFA096D" w:rsidR="00F32DF5" w:rsidRDefault="00F32DF5" w:rsidP="00722AE2">
      <w:r>
        <w:lastRenderedPageBreak/>
        <w:t xml:space="preserve">It is noted in the report that 52% of transits through the MDZ </w:t>
      </w:r>
      <w:r w:rsidR="00D01459">
        <w:t>is recreational vessels &lt; 3m length including y</w:t>
      </w:r>
      <w:r w:rsidR="00626F53">
        <w:t>achts</w:t>
      </w:r>
      <w:r w:rsidR="00D01459">
        <w:t xml:space="preserve">, powerboats, kayaks and canoes. This makes this class of vessel the most prolific receptor (of the MDZ impacts). Nevertheless, the only hazard to these vessels that is considered in the impact assessment is </w:t>
      </w:r>
      <w:r w:rsidR="00A91965">
        <w:t xml:space="preserve">the risk of collision with MDZ infrastructure. </w:t>
      </w:r>
      <w:r w:rsidR="00722AE2">
        <w:t>During construction this is deemed to be a moderate risk and the proposal is to restrict n</w:t>
      </w:r>
      <w:r w:rsidR="00995C1A">
        <w:t>a</w:t>
      </w:r>
      <w:r w:rsidR="00722AE2">
        <w:t>vigation in Safety Zones of 500 m around all offshore works during construction and decommissioning</w:t>
      </w:r>
      <w:r w:rsidR="00995C1A">
        <w:t xml:space="preserve"> (which may make it difficult to cross Abrahams Bosom and get past South Stack for </w:t>
      </w:r>
      <w:proofErr w:type="gramStart"/>
      <w:r w:rsidR="00995C1A">
        <w:t>a period of time</w:t>
      </w:r>
      <w:proofErr w:type="gramEnd"/>
      <w:r w:rsidR="00995C1A">
        <w:t>)</w:t>
      </w:r>
      <w:r w:rsidR="00722AE2">
        <w:t>. Impacts during operation are deemed to be low and t</w:t>
      </w:r>
      <w:r w:rsidR="00A91965">
        <w:t>here is no mention of the potential impact of changes in tidal flows described in Chapter 7.</w:t>
      </w:r>
      <w:r w:rsidR="002A69B6">
        <w:t xml:space="preserve"> </w:t>
      </w:r>
    </w:p>
    <w:p w14:paraId="5CC2CAE7" w14:textId="77777777" w:rsidR="00F32DF5" w:rsidRDefault="00B826A4">
      <w:r>
        <w:t xml:space="preserve">The impact of changes in flow rates on recreational vessels using the ‘inner’ passage i.e. between the demonstration zone and the coast has not been adequately addressed as </w:t>
      </w:r>
      <w:proofErr w:type="gramStart"/>
      <w:r>
        <w:t>it is clear that the</w:t>
      </w:r>
      <w:proofErr w:type="gramEnd"/>
      <w:r>
        <w:t xml:space="preserve"> complex pattern of </w:t>
      </w:r>
      <w:proofErr w:type="spellStart"/>
      <w:r>
        <w:t>overfalls</w:t>
      </w:r>
      <w:proofErr w:type="spellEnd"/>
      <w:r>
        <w:t>, races and eddies is likely to be significantly disrupted. The resolution of the model outputs presented in Chapter 7 is too coarse to properly assess the significance of changes to tidal flows.</w:t>
      </w:r>
    </w:p>
    <w:p w14:paraId="37EEF33C" w14:textId="77777777" w:rsidR="004C788B" w:rsidRDefault="004C788B">
      <w:r>
        <w:t xml:space="preserve">The hazard represented by any infrastructure coming above the water in areas of fast tidal flows is underplayed for kayaks and other small </w:t>
      </w:r>
      <w:r w:rsidR="00626F53">
        <w:t xml:space="preserve">vessels e.g. small sailing boats </w:t>
      </w:r>
      <w:r>
        <w:t xml:space="preserve">which have limited power and steerage. For such boats in an emergency they are largely at the mercy of the tides and weather and risk being swept into the arrays and colliding with barges, </w:t>
      </w:r>
      <w:r w:rsidR="004B4DE1">
        <w:t xml:space="preserve">buoys and inspection platforms </w:t>
      </w:r>
      <w:proofErr w:type="gramStart"/>
      <w:r w:rsidR="004B4DE1">
        <w:t>etc..</w:t>
      </w:r>
      <w:proofErr w:type="gramEnd"/>
      <w:r w:rsidR="004B4DE1">
        <w:t xml:space="preserve"> </w:t>
      </w:r>
    </w:p>
    <w:p w14:paraId="64F60D2D" w14:textId="77777777" w:rsidR="002C6099" w:rsidRDefault="00A264D4" w:rsidP="002C6099">
      <w:hyperlink r:id="rId25" w:history="1">
        <w:r w:rsidR="002C6099">
          <w:rPr>
            <w:rStyle w:val="Hyperlink"/>
          </w:rPr>
          <w:t>https://dns.planninginspectorate.gov.uk/wp-content/ipc/uploads/projects/DNS/3234121/DNS-3234121-000075-ES%20Volume%2001%20-%20Ch15_F3.0_Shipping%20and%20Navigation.pdf</w:t>
        </w:r>
      </w:hyperlink>
    </w:p>
    <w:p w14:paraId="4E646305" w14:textId="77777777" w:rsidR="00E2699F" w:rsidRDefault="00E73420">
      <w:r>
        <w:t>Full resolution figures in</w:t>
      </w:r>
      <w:r w:rsidR="002C6099">
        <w:t>:</w:t>
      </w:r>
      <w:r>
        <w:t xml:space="preserve"> </w:t>
      </w:r>
    </w:p>
    <w:p w14:paraId="7C379154" w14:textId="77777777" w:rsidR="00E73420" w:rsidRDefault="00A264D4">
      <w:hyperlink r:id="rId26" w:history="1">
        <w:r w:rsidR="00E2699F" w:rsidRPr="00FD6C5C">
          <w:rPr>
            <w:rStyle w:val="Hyperlink"/>
          </w:rPr>
          <w:t>https://dns.planninginspectorate.gov.uk/wp-content/ipc/uploads/projects/DNS/3234121/DNS-3234121-000099-ES%20Volume%2002%20-%20Chapter15_F3.0.pdf</w:t>
        </w:r>
      </w:hyperlink>
    </w:p>
    <w:p w14:paraId="7ACF2D89" w14:textId="77777777" w:rsidR="00B826A4" w:rsidRDefault="00B826A4">
      <w:r>
        <w:t>Consultants’ navigation risk assessment</w:t>
      </w:r>
    </w:p>
    <w:p w14:paraId="7912E1DE" w14:textId="77777777" w:rsidR="00B826A4" w:rsidRDefault="00A264D4">
      <w:hyperlink r:id="rId27" w:history="1">
        <w:r w:rsidR="00D63428" w:rsidRPr="006242C8">
          <w:rPr>
            <w:rStyle w:val="Hyperlink"/>
          </w:rPr>
          <w:t>https://dns.planninginspectorate.gov.uk/wp-content/ipc/uploads/projects/DNS/3234121/DNS-3234121-000118-ES%20Volume%2003%20-%20Ch15.pdf</w:t>
        </w:r>
      </w:hyperlink>
    </w:p>
    <w:p w14:paraId="647000A6" w14:textId="77777777" w:rsidR="0001525E" w:rsidRDefault="0001525E">
      <w:pPr>
        <w:rPr>
          <w:b/>
        </w:rPr>
      </w:pPr>
      <w:r>
        <w:rPr>
          <w:b/>
        </w:rPr>
        <w:t>Chapter 24 – Seascape, landscape and visual impact assessment</w:t>
      </w:r>
    </w:p>
    <w:p w14:paraId="37D5DC03" w14:textId="77777777" w:rsidR="0001525E" w:rsidRDefault="00326BC6">
      <w:r>
        <w:t xml:space="preserve">This chapter deals with visual impact of the scheme – from land </w:t>
      </w:r>
      <w:proofErr w:type="spellStart"/>
      <w:r>
        <w:t>view points</w:t>
      </w:r>
      <w:proofErr w:type="spellEnd"/>
      <w:r>
        <w:t xml:space="preserve">. There are a wide range of different types of technology that could be deployed but </w:t>
      </w:r>
      <w:proofErr w:type="gramStart"/>
      <w:r>
        <w:t>basically</w:t>
      </w:r>
      <w:proofErr w:type="gramEnd"/>
      <w:r>
        <w:t xml:space="preserve"> they can either be moored to the sea bed which would not be visible or suspended from moored barges which </w:t>
      </w:r>
      <w:r w:rsidR="00301EF4">
        <w:t xml:space="preserve">is considered by </w:t>
      </w:r>
      <w:proofErr w:type="spellStart"/>
      <w:r w:rsidR="00301EF4">
        <w:t>Morlais</w:t>
      </w:r>
      <w:proofErr w:type="spellEnd"/>
      <w:r w:rsidR="00301EF4">
        <w:t xml:space="preserve"> </w:t>
      </w:r>
      <w:r w:rsidR="006271D4">
        <w:t xml:space="preserve">are ‘not predicted to be significant’. Moored barges are to be kept more the 1 km from coast and there will be an attempt to </w:t>
      </w:r>
      <w:r w:rsidR="00D63428">
        <w:t>reduce the</w:t>
      </w:r>
      <w:r w:rsidR="006271D4">
        <w:t xml:space="preserve"> visual impact </w:t>
      </w:r>
      <w:r w:rsidR="00D63428">
        <w:t xml:space="preserve">of above water infrastructure by restricting the arrays which can use barges. </w:t>
      </w:r>
    </w:p>
    <w:p w14:paraId="226634A9" w14:textId="77777777" w:rsidR="006271D4" w:rsidRDefault="006271D4" w:rsidP="00995C1A">
      <w:r w:rsidRPr="006271D4">
        <w:rPr>
          <w:noProof/>
        </w:rPr>
        <w:lastRenderedPageBreak/>
        <w:drawing>
          <wp:inline distT="0" distB="0" distL="0" distR="0" wp14:anchorId="4C1BC5FC" wp14:editId="1DD036E6">
            <wp:extent cx="5527233" cy="30851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8581" cy="3108185"/>
                    </a:xfrm>
                    <a:prstGeom prst="rect">
                      <a:avLst/>
                    </a:prstGeom>
                    <a:noFill/>
                    <a:ln>
                      <a:noFill/>
                    </a:ln>
                  </pic:spPr>
                </pic:pic>
              </a:graphicData>
            </a:graphic>
          </wp:inline>
        </w:drawing>
      </w:r>
    </w:p>
    <w:p w14:paraId="45FEFB81" w14:textId="77777777" w:rsidR="00D63428" w:rsidRDefault="00D63428" w:rsidP="00D63428">
      <w:r>
        <w:t xml:space="preserve">Nevertheless, if all locations for visible structures are </w:t>
      </w:r>
      <w:proofErr w:type="gramStart"/>
      <w:r>
        <w:t>occupied</w:t>
      </w:r>
      <w:proofErr w:type="gramEnd"/>
      <w:r>
        <w:t xml:space="preserve"> they would certainly be visible from South Stack and most likely from the water. </w:t>
      </w:r>
    </w:p>
    <w:p w14:paraId="620361F9" w14:textId="77777777" w:rsidR="00D63428" w:rsidRDefault="00D63428" w:rsidP="00D63428">
      <w:r w:rsidRPr="00D63428">
        <w:rPr>
          <w:noProof/>
        </w:rPr>
        <w:drawing>
          <wp:inline distT="0" distB="0" distL="0" distR="0" wp14:anchorId="15DC44F1" wp14:editId="3E4D9A88">
            <wp:extent cx="5884270" cy="1534602"/>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020" cy="1548359"/>
                    </a:xfrm>
                    <a:prstGeom prst="rect">
                      <a:avLst/>
                    </a:prstGeom>
                    <a:noFill/>
                    <a:ln>
                      <a:noFill/>
                    </a:ln>
                  </pic:spPr>
                </pic:pic>
              </a:graphicData>
            </a:graphic>
          </wp:inline>
        </w:drawing>
      </w:r>
    </w:p>
    <w:p w14:paraId="36D26CB1" w14:textId="77777777" w:rsidR="0001525E" w:rsidRDefault="00A264D4">
      <w:hyperlink r:id="rId30" w:history="1">
        <w:r w:rsidR="0001525E">
          <w:rPr>
            <w:rStyle w:val="Hyperlink"/>
          </w:rPr>
          <w:t>https://dns.planninginspectorate.gov.uk/wp-content/ipc/uploads/projects/DNS/3234121/DNS-3234121-000084-ES%20Volume%2001%20-%20Ch24_F3.0_Seascape,%20Landscape%20and%20Visual%20Impact%20Assessment.pdf</w:t>
        </w:r>
      </w:hyperlink>
    </w:p>
    <w:p w14:paraId="41A096F8" w14:textId="77777777" w:rsidR="00E73420" w:rsidRPr="00D877E3" w:rsidRDefault="00D877E3">
      <w:pPr>
        <w:rPr>
          <w:b/>
        </w:rPr>
      </w:pPr>
      <w:r w:rsidRPr="00D877E3">
        <w:rPr>
          <w:b/>
        </w:rPr>
        <w:t>Chapter 25 – Socio-economics, tourism and recreation</w:t>
      </w:r>
    </w:p>
    <w:p w14:paraId="48CC8BAC" w14:textId="77777777" w:rsidR="00D877E3" w:rsidRDefault="00E2699F">
      <w:r>
        <w:t>Mostly concerned with regional tourism figures which shows water sports as being a relatively small component of total visitor</w:t>
      </w:r>
      <w:r w:rsidR="002C6099">
        <w:t>’</w:t>
      </w:r>
      <w:r>
        <w:t xml:space="preserve">s reasons for visiting North Wales / Anglesey. </w:t>
      </w:r>
      <w:r w:rsidR="00817CD3">
        <w:t>This is what th</w:t>
      </w:r>
      <w:r>
        <w:t xml:space="preserve">ey say </w:t>
      </w:r>
      <w:r w:rsidR="00817CD3">
        <w:t>about sea kayaking:</w:t>
      </w:r>
    </w:p>
    <w:p w14:paraId="6A172EAE" w14:textId="77777777" w:rsidR="002C6099" w:rsidRDefault="00817CD3" w:rsidP="002C6099">
      <w:r>
        <w:t>“Anglesey is a popular destination for sea kayaking for novices and experienced paddlers. Sea kayaking takes place all around the island’s coastal waters, but the north coast of Anglesey has a challenging combination of steep cliffs, strong tidal streams, offshore islands and sheltered bays. The area of sea around Holy Island including the MDZ is particularly challenging in nature and generally only recommended for experienced kayakers (</w:t>
      </w:r>
      <w:proofErr w:type="spellStart"/>
      <w:r>
        <w:t>Krawiecki</w:t>
      </w:r>
      <w:proofErr w:type="spellEnd"/>
      <w:r>
        <w:t xml:space="preserve"> and Biggs, 2013). The sea kayaking community, including local clubs and local kayaking training providers, will be kept informed of the development of the site particularly during construction period and the cable laying closer to shore. This will be backed up by the introduction of relevant signage.”</w:t>
      </w:r>
      <w:r w:rsidR="002C6099" w:rsidRPr="002C6099">
        <w:t xml:space="preserve"> </w:t>
      </w:r>
    </w:p>
    <w:p w14:paraId="1666CA51" w14:textId="77777777" w:rsidR="00817CD3" w:rsidRDefault="002C6099">
      <w:r>
        <w:lastRenderedPageBreak/>
        <w:t>There is no mention of the sea kayak scene centred around Holyhead and the contribution this makes to visits to Anglesey e.g. the Anglesey Sea Kayak Symposium</w:t>
      </w:r>
      <w:r w:rsidR="00BB2293">
        <w:t xml:space="preserve"> (</w:t>
      </w:r>
      <w:hyperlink r:id="rId31" w:history="1">
        <w:r w:rsidR="00BB2293">
          <w:rPr>
            <w:rStyle w:val="Hyperlink"/>
          </w:rPr>
          <w:t>https://www.angleseyseakayaksymposium.co.uk/</w:t>
        </w:r>
      </w:hyperlink>
      <w:r w:rsidR="00BB2293">
        <w:t>)</w:t>
      </w:r>
      <w:r>
        <w:t xml:space="preserve"> which draws people from across the world; two sea kayak manufacturers, specialist shops, accommodation </w:t>
      </w:r>
      <w:r w:rsidR="00BB2293">
        <w:t xml:space="preserve">and centres </w:t>
      </w:r>
      <w:r>
        <w:t xml:space="preserve">and ~10 sea kayak guide and training companies. </w:t>
      </w:r>
      <w:r w:rsidR="00BB2293">
        <w:t xml:space="preserve">There are also many repeat visits by canoe clubs from across the UK. Numbers on all of this would be useful to make the case to the </w:t>
      </w:r>
      <w:proofErr w:type="spellStart"/>
      <w:r w:rsidR="00BB2293">
        <w:t>Morlais</w:t>
      </w:r>
      <w:proofErr w:type="spellEnd"/>
      <w:r w:rsidR="00BB2293">
        <w:t xml:space="preserve"> developers that </w:t>
      </w:r>
      <w:r w:rsidR="00125FA1">
        <w:t>sea kayaking is a significant activity on Anglesey and should be represented in the consultations.</w:t>
      </w:r>
    </w:p>
    <w:p w14:paraId="006C37A2" w14:textId="77777777" w:rsidR="002C6099" w:rsidRDefault="00A264D4" w:rsidP="002C6099">
      <w:pPr>
        <w:rPr>
          <w:rStyle w:val="Hyperlink"/>
        </w:rPr>
      </w:pPr>
      <w:hyperlink r:id="rId32" w:history="1">
        <w:r w:rsidR="002C6099">
          <w:rPr>
            <w:rStyle w:val="Hyperlink"/>
          </w:rPr>
          <w:t>https://dns.planninginspectorate.gov.uk/wp-content/ipc/uploads/projects/DNS/3234121/DNS-3234121-000085-ES%20Volume%2001%20-%20Ch25_F3.0_Socio-Economics,%20Tourism%20and%20Recreation.pdf</w:t>
        </w:r>
      </w:hyperlink>
    </w:p>
    <w:sectPr w:rsidR="002C60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6" type="#_x0000_t75" style="width:3pt;height:.75pt;visibility:visible;mso-wrap-style:square" o:bullet="t">
        <v:imagedata r:id="rId1" o:title=""/>
      </v:shape>
    </w:pict>
  </w:numPicBullet>
  <w:abstractNum w:abstractNumId="0" w15:restartNumberingAfterBreak="0">
    <w:nsid w:val="3B8F0BD6"/>
    <w:multiLevelType w:val="hybridMultilevel"/>
    <w:tmpl w:val="AB241A62"/>
    <w:lvl w:ilvl="0" w:tplc="656A2B46">
      <w:start w:val="1"/>
      <w:numFmt w:val="bullet"/>
      <w:lvlText w:val=""/>
      <w:lvlPicBulletId w:val="0"/>
      <w:lvlJc w:val="left"/>
      <w:pPr>
        <w:tabs>
          <w:tab w:val="num" w:pos="720"/>
        </w:tabs>
        <w:ind w:left="720" w:hanging="360"/>
      </w:pPr>
      <w:rPr>
        <w:rFonts w:ascii="Symbol" w:hAnsi="Symbol" w:hint="default"/>
      </w:rPr>
    </w:lvl>
    <w:lvl w:ilvl="1" w:tplc="6916F8A2" w:tentative="1">
      <w:start w:val="1"/>
      <w:numFmt w:val="bullet"/>
      <w:lvlText w:val=""/>
      <w:lvlJc w:val="left"/>
      <w:pPr>
        <w:tabs>
          <w:tab w:val="num" w:pos="1440"/>
        </w:tabs>
        <w:ind w:left="1440" w:hanging="360"/>
      </w:pPr>
      <w:rPr>
        <w:rFonts w:ascii="Symbol" w:hAnsi="Symbol" w:hint="default"/>
      </w:rPr>
    </w:lvl>
    <w:lvl w:ilvl="2" w:tplc="0E2AE7C0" w:tentative="1">
      <w:start w:val="1"/>
      <w:numFmt w:val="bullet"/>
      <w:lvlText w:val=""/>
      <w:lvlJc w:val="left"/>
      <w:pPr>
        <w:tabs>
          <w:tab w:val="num" w:pos="2160"/>
        </w:tabs>
        <w:ind w:left="2160" w:hanging="360"/>
      </w:pPr>
      <w:rPr>
        <w:rFonts w:ascii="Symbol" w:hAnsi="Symbol" w:hint="default"/>
      </w:rPr>
    </w:lvl>
    <w:lvl w:ilvl="3" w:tplc="58F4E942" w:tentative="1">
      <w:start w:val="1"/>
      <w:numFmt w:val="bullet"/>
      <w:lvlText w:val=""/>
      <w:lvlJc w:val="left"/>
      <w:pPr>
        <w:tabs>
          <w:tab w:val="num" w:pos="2880"/>
        </w:tabs>
        <w:ind w:left="2880" w:hanging="360"/>
      </w:pPr>
      <w:rPr>
        <w:rFonts w:ascii="Symbol" w:hAnsi="Symbol" w:hint="default"/>
      </w:rPr>
    </w:lvl>
    <w:lvl w:ilvl="4" w:tplc="15082200" w:tentative="1">
      <w:start w:val="1"/>
      <w:numFmt w:val="bullet"/>
      <w:lvlText w:val=""/>
      <w:lvlJc w:val="left"/>
      <w:pPr>
        <w:tabs>
          <w:tab w:val="num" w:pos="3600"/>
        </w:tabs>
        <w:ind w:left="3600" w:hanging="360"/>
      </w:pPr>
      <w:rPr>
        <w:rFonts w:ascii="Symbol" w:hAnsi="Symbol" w:hint="default"/>
      </w:rPr>
    </w:lvl>
    <w:lvl w:ilvl="5" w:tplc="CD54C852" w:tentative="1">
      <w:start w:val="1"/>
      <w:numFmt w:val="bullet"/>
      <w:lvlText w:val=""/>
      <w:lvlJc w:val="left"/>
      <w:pPr>
        <w:tabs>
          <w:tab w:val="num" w:pos="4320"/>
        </w:tabs>
        <w:ind w:left="4320" w:hanging="360"/>
      </w:pPr>
      <w:rPr>
        <w:rFonts w:ascii="Symbol" w:hAnsi="Symbol" w:hint="default"/>
      </w:rPr>
    </w:lvl>
    <w:lvl w:ilvl="6" w:tplc="A82C4EF2" w:tentative="1">
      <w:start w:val="1"/>
      <w:numFmt w:val="bullet"/>
      <w:lvlText w:val=""/>
      <w:lvlJc w:val="left"/>
      <w:pPr>
        <w:tabs>
          <w:tab w:val="num" w:pos="5040"/>
        </w:tabs>
        <w:ind w:left="5040" w:hanging="360"/>
      </w:pPr>
      <w:rPr>
        <w:rFonts w:ascii="Symbol" w:hAnsi="Symbol" w:hint="default"/>
      </w:rPr>
    </w:lvl>
    <w:lvl w:ilvl="7" w:tplc="F0B0246C" w:tentative="1">
      <w:start w:val="1"/>
      <w:numFmt w:val="bullet"/>
      <w:lvlText w:val=""/>
      <w:lvlJc w:val="left"/>
      <w:pPr>
        <w:tabs>
          <w:tab w:val="num" w:pos="5760"/>
        </w:tabs>
        <w:ind w:left="5760" w:hanging="360"/>
      </w:pPr>
      <w:rPr>
        <w:rFonts w:ascii="Symbol" w:hAnsi="Symbol" w:hint="default"/>
      </w:rPr>
    </w:lvl>
    <w:lvl w:ilvl="8" w:tplc="9FDC50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2A034FB"/>
    <w:multiLevelType w:val="hybridMultilevel"/>
    <w:tmpl w:val="9BA6C01A"/>
    <w:lvl w:ilvl="0" w:tplc="4C9A00CA">
      <w:start w:val="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981"/>
    <w:rsid w:val="0001525E"/>
    <w:rsid w:val="00091799"/>
    <w:rsid w:val="000E4852"/>
    <w:rsid w:val="00125FA1"/>
    <w:rsid w:val="00134B38"/>
    <w:rsid w:val="0016025E"/>
    <w:rsid w:val="00164F48"/>
    <w:rsid w:val="00194DD3"/>
    <w:rsid w:val="00274981"/>
    <w:rsid w:val="002A69B6"/>
    <w:rsid w:val="002C6099"/>
    <w:rsid w:val="00301EF4"/>
    <w:rsid w:val="00326BC6"/>
    <w:rsid w:val="00371DA3"/>
    <w:rsid w:val="00395D1C"/>
    <w:rsid w:val="00422ABB"/>
    <w:rsid w:val="004B4DE1"/>
    <w:rsid w:val="004C788B"/>
    <w:rsid w:val="00534C3B"/>
    <w:rsid w:val="0059519B"/>
    <w:rsid w:val="00624D81"/>
    <w:rsid w:val="00626F53"/>
    <w:rsid w:val="006271D4"/>
    <w:rsid w:val="00722AE2"/>
    <w:rsid w:val="007B422E"/>
    <w:rsid w:val="007C7488"/>
    <w:rsid w:val="00817CD3"/>
    <w:rsid w:val="00935DB6"/>
    <w:rsid w:val="00995C1A"/>
    <w:rsid w:val="009F23B6"/>
    <w:rsid w:val="00A264D4"/>
    <w:rsid w:val="00A41F32"/>
    <w:rsid w:val="00A55118"/>
    <w:rsid w:val="00A91965"/>
    <w:rsid w:val="00AC5B3D"/>
    <w:rsid w:val="00B826A4"/>
    <w:rsid w:val="00BB2293"/>
    <w:rsid w:val="00CF2717"/>
    <w:rsid w:val="00CF3192"/>
    <w:rsid w:val="00D01459"/>
    <w:rsid w:val="00D07445"/>
    <w:rsid w:val="00D15FD5"/>
    <w:rsid w:val="00D63428"/>
    <w:rsid w:val="00D8116E"/>
    <w:rsid w:val="00D8555A"/>
    <w:rsid w:val="00D877E3"/>
    <w:rsid w:val="00DE1A7C"/>
    <w:rsid w:val="00E2240F"/>
    <w:rsid w:val="00E2699F"/>
    <w:rsid w:val="00E73420"/>
    <w:rsid w:val="00F32DF5"/>
    <w:rsid w:val="00FE0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AF143C"/>
  <w15:chartTrackingRefBased/>
  <w15:docId w15:val="{7615F213-71CB-4739-B7B8-ECE9E4F0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981"/>
    <w:rPr>
      <w:color w:val="0000FF"/>
      <w:u w:val="single"/>
    </w:rPr>
  </w:style>
  <w:style w:type="character" w:styleId="UnresolvedMention">
    <w:name w:val="Unresolved Mention"/>
    <w:basedOn w:val="DefaultParagraphFont"/>
    <w:uiPriority w:val="99"/>
    <w:semiHidden/>
    <w:unhideWhenUsed/>
    <w:rsid w:val="00274981"/>
    <w:rPr>
      <w:color w:val="605E5C"/>
      <w:shd w:val="clear" w:color="auto" w:fill="E1DFDD"/>
    </w:rPr>
  </w:style>
  <w:style w:type="character" w:styleId="FollowedHyperlink">
    <w:name w:val="FollowedHyperlink"/>
    <w:basedOn w:val="DefaultParagraphFont"/>
    <w:uiPriority w:val="99"/>
    <w:semiHidden/>
    <w:unhideWhenUsed/>
    <w:rsid w:val="00274981"/>
    <w:rPr>
      <w:color w:val="800080" w:themeColor="followedHyperlink"/>
      <w:u w:val="single"/>
    </w:rPr>
  </w:style>
  <w:style w:type="paragraph" w:styleId="BalloonText">
    <w:name w:val="Balloon Text"/>
    <w:basedOn w:val="Normal"/>
    <w:link w:val="BalloonTextChar"/>
    <w:uiPriority w:val="99"/>
    <w:semiHidden/>
    <w:unhideWhenUsed/>
    <w:rsid w:val="00D87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7E3"/>
    <w:rPr>
      <w:rFonts w:ascii="Segoe UI" w:hAnsi="Segoe UI" w:cs="Segoe UI"/>
      <w:sz w:val="18"/>
      <w:szCs w:val="18"/>
    </w:rPr>
  </w:style>
  <w:style w:type="paragraph" w:styleId="ListParagraph">
    <w:name w:val="List Paragraph"/>
    <w:basedOn w:val="Normal"/>
    <w:uiPriority w:val="34"/>
    <w:qFormat/>
    <w:rsid w:val="00534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dns.planninginspectorate.gov.uk/wp-content/ipc/uploads/projects/DNS/3234121/DNS-3234121-000099-ES%20Volume%2002%20-%20Chapter15_F3.0.pdf" TargetMode="External"/><Relationship Id="rId3" Type="http://schemas.openxmlformats.org/officeDocument/2006/relationships/settings" Target="settings.xml"/><Relationship Id="rId21" Type="http://schemas.openxmlformats.org/officeDocument/2006/relationships/hyperlink" Target="https://dns.planninginspectorate.gov.uk/wp-content/ipc/uploads/projects/DNS/3234121/DNS-3234121-000067-ES%20Volume%2001%20-%20Ch07_F3.0_Metocean%20Conditions%20and%20Coastal%20Processes.pdf" TargetMode="External"/><Relationship Id="rId34" Type="http://schemas.openxmlformats.org/officeDocument/2006/relationships/theme" Target="theme/theme1.xml"/><Relationship Id="rId7" Type="http://schemas.openxmlformats.org/officeDocument/2006/relationships/hyperlink" Target="mailto:TWA.morlaistidalarray@planninginspectorate.gov.uk"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dns.planninginspectorate.gov.uk/wp-content/ipc/uploads/projects/DNS/3234121/DNS-3234121-000075-ES%20Volume%2001%20-%20Ch15_F3.0_Shipping%20and%20Navigation.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www.youtube.com/watch?v=7FtMP-7ua_E&amp;t=262s" TargetMode="External"/><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hyperlink" Target="https://dns.planninginspectorate.gov.uk/projects/wales/twa-morlais-demonstration-zone/" TargetMode="Externa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hyperlink" Target="https://dns.planninginspectorate.gov.uk/wp-content/ipc/uploads/projects/DNS/3234121/DNS-3234121-000085-ES%20Volume%2001%20-%20Ch25_F3.0_Socio-Economics,%20Tourism%20and%20Recreation.pdf" TargetMode="External"/><Relationship Id="rId5" Type="http://schemas.openxmlformats.org/officeDocument/2006/relationships/image" Target="media/image2.emf"/><Relationship Id="rId15" Type="http://schemas.openxmlformats.org/officeDocument/2006/relationships/image" Target="media/image8.emf"/><Relationship Id="rId23" Type="http://schemas.openxmlformats.org/officeDocument/2006/relationships/hyperlink" Target="https://dns.planninginspectorate.gov.uk/wp-content/ipc/uploads/projects/DNS/3234121/DNS-3234121-000111-ES%20Volume%2003%20-%20Ch07.pdf" TargetMode="External"/><Relationship Id="rId28" Type="http://schemas.openxmlformats.org/officeDocument/2006/relationships/image" Target="media/image14.emf"/><Relationship Id="rId10" Type="http://schemas.openxmlformats.org/officeDocument/2006/relationships/hyperlink" Target="https://dns.planninginspectorate.gov.uk/wp-content/ipc/uploads/projects/DNS/3234121/DNS-3234121-000003-010%20Consultation%20Report.pdf" TargetMode="External"/><Relationship Id="rId19" Type="http://schemas.openxmlformats.org/officeDocument/2006/relationships/image" Target="media/image12.emf"/><Relationship Id="rId31" Type="http://schemas.openxmlformats.org/officeDocument/2006/relationships/hyperlink" Target="https://www.angleseyseakayaksymposium.co.uk/" TargetMode="External"/><Relationship Id="rId4" Type="http://schemas.openxmlformats.org/officeDocument/2006/relationships/webSettings" Target="webSettings.xml"/><Relationship Id="rId9" Type="http://schemas.openxmlformats.org/officeDocument/2006/relationships/hyperlink" Target="https://dns.planninginspectorate.gov.uk/wp-content/ipc/uploads/projects/DNS/3234121/DNS-3234121-000066-ES%20Volume%2001%20-%20Ch06_F3.0_Consultation.pdf" TargetMode="External"/><Relationship Id="rId14" Type="http://schemas.openxmlformats.org/officeDocument/2006/relationships/image" Target="media/image7.emf"/><Relationship Id="rId22" Type="http://schemas.openxmlformats.org/officeDocument/2006/relationships/hyperlink" Target="https://dns.planninginspectorate.gov.uk/wp-content/ipc/uploads/projects/DNS/3234121/DNS-3234121-000091-ES%20Volume%2002%20-%20Chapter07_F3.0.pdf" TargetMode="External"/><Relationship Id="rId27" Type="http://schemas.openxmlformats.org/officeDocument/2006/relationships/hyperlink" Target="https://dns.planninginspectorate.gov.uk/wp-content/ipc/uploads/projects/DNS/3234121/DNS-3234121-000118-ES%20Volume%2003%20-%20Ch15.pdf" TargetMode="External"/><Relationship Id="rId30" Type="http://schemas.openxmlformats.org/officeDocument/2006/relationships/hyperlink" Target="https://dns.planninginspectorate.gov.uk/wp-content/ipc/uploads/projects/DNS/3234121/DNS-3234121-000084-ES%20Volume%2001%20-%20Ch24_F3.0_Seascape,%20Landscape%20and%20Visual%20Impact%20Assessment.pdf" TargetMode="External"/><Relationship Id="rId8"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1121</TotalTime>
  <Pages>9</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10</cp:revision>
  <cp:lastPrinted>2019-10-24T01:27:00Z</cp:lastPrinted>
  <dcterms:created xsi:type="dcterms:W3CDTF">2019-10-22T09:53:00Z</dcterms:created>
  <dcterms:modified xsi:type="dcterms:W3CDTF">2019-10-24T18:54:00Z</dcterms:modified>
</cp:coreProperties>
</file>