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7A235" w14:textId="77777777" w:rsidR="00145871" w:rsidRDefault="00A245E6" w:rsidP="00F82A4C">
      <w:pPr>
        <w:jc w:val="both"/>
        <w:rPr>
          <w:b/>
        </w:rPr>
      </w:pPr>
      <w:r w:rsidRPr="003D6275">
        <w:rPr>
          <w:b/>
        </w:rPr>
        <w:t xml:space="preserve">Delivering the Apprenticeship Standard </w:t>
      </w:r>
    </w:p>
    <w:p w14:paraId="4068AE33" w14:textId="77777777" w:rsidR="001B6ABC" w:rsidRPr="003D6275" w:rsidRDefault="001B6ABC" w:rsidP="00F82A4C">
      <w:pPr>
        <w:jc w:val="both"/>
        <w:rPr>
          <w:b/>
        </w:rPr>
      </w:pPr>
    </w:p>
    <w:p w14:paraId="115CAA40" w14:textId="702854E8" w:rsidR="00A245E6" w:rsidRDefault="00A245E6" w:rsidP="00F82A4C">
      <w:pPr>
        <w:jc w:val="both"/>
      </w:pPr>
      <w:r>
        <w:t xml:space="preserve">Where do I start? </w:t>
      </w:r>
      <w:r w:rsidR="003D6275">
        <w:t>What do I need to do?</w:t>
      </w:r>
      <w:r>
        <w:t xml:space="preserve"> How do I put together over a </w:t>
      </w:r>
      <w:proofErr w:type="spellStart"/>
      <w:r>
        <w:t>year long</w:t>
      </w:r>
      <w:proofErr w:type="spellEnd"/>
      <w:r>
        <w:t xml:space="preserve"> study programme to cover this</w:t>
      </w:r>
      <w:r w:rsidR="005560D1">
        <w:t xml:space="preserve"> standard</w:t>
      </w:r>
      <w:r>
        <w:t xml:space="preserve">? </w:t>
      </w:r>
      <w:r w:rsidR="00B85EE3">
        <w:t xml:space="preserve"> What can I show the Employer?</w:t>
      </w:r>
      <w:r>
        <w:t xml:space="preserve"> </w:t>
      </w:r>
      <w:r w:rsidR="003D6275">
        <w:t xml:space="preserve">How will we plan the delivery model now? </w:t>
      </w:r>
      <w:r w:rsidR="00BF4F96">
        <w:t>How will I</w:t>
      </w:r>
      <w:r w:rsidR="00401992">
        <w:t xml:space="preserve"> keep the apprentices motivated</w:t>
      </w:r>
      <w:r w:rsidR="005560D1">
        <w:t>, when there is no evidence of their progress</w:t>
      </w:r>
      <w:r w:rsidR="00BF4F96">
        <w:t xml:space="preserve">? </w:t>
      </w:r>
      <w:r w:rsidR="003D6275">
        <w:t xml:space="preserve">What will </w:t>
      </w:r>
      <w:r w:rsidR="005560D1">
        <w:t>Ofsted want to see</w:t>
      </w:r>
      <w:r w:rsidR="003D6275">
        <w:t xml:space="preserve">? </w:t>
      </w:r>
      <w:r w:rsidR="00145871">
        <w:t xml:space="preserve">How will we know when the </w:t>
      </w:r>
      <w:r w:rsidR="005560D1">
        <w:t xml:space="preserve">apprentice </w:t>
      </w:r>
      <w:r w:rsidR="00145871">
        <w:t>is ready</w:t>
      </w:r>
      <w:r w:rsidR="00A8052C">
        <w:t xml:space="preserve"> for the End-Point Assessment</w:t>
      </w:r>
      <w:r w:rsidR="00145871">
        <w:t xml:space="preserve">?  </w:t>
      </w:r>
      <w:r w:rsidR="003D6275">
        <w:t xml:space="preserve">  </w:t>
      </w:r>
      <w:r>
        <w:t xml:space="preserve"> </w:t>
      </w:r>
    </w:p>
    <w:p w14:paraId="201E9A46" w14:textId="77777777" w:rsidR="00BF4F96" w:rsidRPr="001B6ABC" w:rsidRDefault="00A245E6" w:rsidP="00F82A4C">
      <w:pPr>
        <w:jc w:val="both"/>
        <w:rPr>
          <w:b/>
        </w:rPr>
      </w:pPr>
      <w:r w:rsidRPr="001B6ABC">
        <w:rPr>
          <w:b/>
        </w:rPr>
        <w:t>Sound f</w:t>
      </w:r>
      <w:bookmarkStart w:id="0" w:name="_GoBack"/>
      <w:bookmarkEnd w:id="0"/>
      <w:r w:rsidRPr="001B6ABC">
        <w:rPr>
          <w:b/>
        </w:rPr>
        <w:t xml:space="preserve">amiliar? </w:t>
      </w:r>
      <w:r w:rsidR="003D6275" w:rsidRPr="001B6ABC">
        <w:rPr>
          <w:b/>
        </w:rPr>
        <w:t xml:space="preserve"> </w:t>
      </w:r>
    </w:p>
    <w:p w14:paraId="0DD7843A" w14:textId="2AACD5FB" w:rsidR="006767E5" w:rsidRDefault="003D6275" w:rsidP="00F82A4C">
      <w:pPr>
        <w:jc w:val="both"/>
      </w:pPr>
      <w:r>
        <w:t>These are just a fraction of the questions that our Training Provider</w:t>
      </w:r>
      <w:r w:rsidR="000D04B7">
        <w:t xml:space="preserve">, </w:t>
      </w:r>
      <w:r>
        <w:t>Employer</w:t>
      </w:r>
      <w:r w:rsidR="000D04B7">
        <w:t xml:space="preserve"> and College</w:t>
      </w:r>
      <w:r>
        <w:t xml:space="preserve"> customers </w:t>
      </w:r>
      <w:r w:rsidR="00310125">
        <w:t xml:space="preserve">continue to ask us, </w:t>
      </w:r>
      <w:r w:rsidR="00145871">
        <w:t xml:space="preserve">as they try to get to grips with </w:t>
      </w:r>
      <w:r w:rsidR="00310125">
        <w:t xml:space="preserve">the </w:t>
      </w:r>
      <w:r w:rsidR="002D67BF">
        <w:t xml:space="preserve">delivery of </w:t>
      </w:r>
      <w:r w:rsidR="00E601C9">
        <w:t>a</w:t>
      </w:r>
      <w:r w:rsidR="00310125">
        <w:t xml:space="preserve">pprenticeship </w:t>
      </w:r>
      <w:r w:rsidR="00E601C9">
        <w:t>s</w:t>
      </w:r>
      <w:r w:rsidR="00310125">
        <w:t>tandards</w:t>
      </w:r>
      <w:r w:rsidR="007C1490">
        <w:t xml:space="preserve"> and migrat</w:t>
      </w:r>
      <w:r w:rsidR="002D67BF">
        <w:t xml:space="preserve">ion </w:t>
      </w:r>
      <w:r w:rsidR="007C1490">
        <w:t xml:space="preserve">from </w:t>
      </w:r>
      <w:r w:rsidR="00E601C9">
        <w:t>f</w:t>
      </w:r>
      <w:r w:rsidR="007C1490">
        <w:t>rameworks</w:t>
      </w:r>
      <w:r>
        <w:t xml:space="preserve">.  </w:t>
      </w:r>
      <w:r w:rsidR="00FF26FB">
        <w:t xml:space="preserve"> </w:t>
      </w:r>
    </w:p>
    <w:p w14:paraId="06DF5F13" w14:textId="5649CFC9" w:rsidR="000D04B7" w:rsidRPr="00712A78" w:rsidRDefault="009725FD" w:rsidP="00F82A4C">
      <w:pPr>
        <w:jc w:val="both"/>
      </w:pPr>
      <w:r>
        <w:t xml:space="preserve">The landscape is </w:t>
      </w:r>
      <w:r w:rsidR="00BF4F96">
        <w:t xml:space="preserve">different </w:t>
      </w:r>
      <w:r w:rsidR="00712A78">
        <w:t xml:space="preserve">and there are many risks for </w:t>
      </w:r>
      <w:r w:rsidR="00BF4F96">
        <w:t>Providers</w:t>
      </w:r>
      <w:r w:rsidR="00712A78">
        <w:t xml:space="preserve"> and </w:t>
      </w:r>
      <w:r>
        <w:t>Employers</w:t>
      </w:r>
      <w:r w:rsidR="00712A78" w:rsidRPr="00712A78">
        <w:t xml:space="preserve"> in the delivery of standards, and the ability to be efficient and deliver effectiveness</w:t>
      </w:r>
      <w:r w:rsidR="00712A78">
        <w:t>. The</w:t>
      </w:r>
      <w:r w:rsidR="000D04B7">
        <w:t>re is often a l</w:t>
      </w:r>
      <w:r w:rsidR="000D04B7" w:rsidRPr="00712A78">
        <w:t>imited understanding by the Employer of their role and their involvement</w:t>
      </w:r>
      <w:r w:rsidR="000D04B7">
        <w:t xml:space="preserve"> throughout the apprenticeship programme.  </w:t>
      </w:r>
      <w:r w:rsidR="000D04B7" w:rsidRPr="000D04B7">
        <w:t xml:space="preserve">The recruitment of the apprentice is crucial.  </w:t>
      </w:r>
      <w:r w:rsidR="00076ADD">
        <w:t xml:space="preserve">They </w:t>
      </w:r>
      <w:r w:rsidR="000D04B7" w:rsidRPr="000D04B7">
        <w:t xml:space="preserve">must be </w:t>
      </w:r>
      <w:r w:rsidR="000D04B7">
        <w:t>recruited to the right role,</w:t>
      </w:r>
      <w:r w:rsidR="000D04B7" w:rsidRPr="000D04B7">
        <w:t xml:space="preserve"> at the right level </w:t>
      </w:r>
      <w:r w:rsidR="000D04B7">
        <w:t xml:space="preserve">in order to </w:t>
      </w:r>
      <w:r w:rsidR="008D41B0">
        <w:t xml:space="preserve">fully complete the standard and successfully pass through the gateway.  </w:t>
      </w:r>
      <w:r w:rsidR="00401992">
        <w:t xml:space="preserve">If they can’t do this in their current job, this is the wrong apprenticeship for them.  </w:t>
      </w:r>
      <w:r w:rsidR="000D04B7" w:rsidRPr="000D04B7">
        <w:t xml:space="preserve">  </w:t>
      </w:r>
    </w:p>
    <w:p w14:paraId="1CD94E14" w14:textId="0E7D4B27" w:rsidR="00F82A4C" w:rsidRDefault="00401992" w:rsidP="00F82A4C">
      <w:pPr>
        <w:jc w:val="both"/>
      </w:pPr>
      <w:r>
        <w:t>P</w:t>
      </w:r>
      <w:r w:rsidR="000D04B7" w:rsidRPr="00712A78">
        <w:t xml:space="preserve">roviders are delivering </w:t>
      </w:r>
      <w:r w:rsidR="00E601C9">
        <w:t>s</w:t>
      </w:r>
      <w:r w:rsidR="000D04B7" w:rsidRPr="00712A78">
        <w:t xml:space="preserve">tandards like a </w:t>
      </w:r>
      <w:r w:rsidR="00E601C9">
        <w:t>f</w:t>
      </w:r>
      <w:r w:rsidR="000D04B7" w:rsidRPr="00712A78">
        <w:t>ramework</w:t>
      </w:r>
      <w:r>
        <w:t xml:space="preserve">.  The standards themselves are short and lack detail and </w:t>
      </w:r>
      <w:r w:rsidR="000D04B7" w:rsidRPr="00712A78">
        <w:t>structure</w:t>
      </w:r>
      <w:r w:rsidR="00B0535E">
        <w:t xml:space="preserve"> compared to detailed qualification specifications</w:t>
      </w:r>
      <w:r w:rsidR="00F82A4C">
        <w:t xml:space="preserve">, </w:t>
      </w:r>
      <w:r w:rsidR="00B0535E">
        <w:t xml:space="preserve">amplification </w:t>
      </w:r>
      <w:r w:rsidR="00F82A4C">
        <w:t xml:space="preserve">and internal and external quality assurance requirements </w:t>
      </w:r>
      <w:r w:rsidR="00B0535E">
        <w:t>in Frameworks.  Without the structure some Providers have struggled to know h</w:t>
      </w:r>
      <w:r w:rsidR="000D04B7" w:rsidRPr="00712A78">
        <w:t>ow to organise and structure their delivery</w:t>
      </w:r>
      <w:r w:rsidR="00B0535E">
        <w:t xml:space="preserve"> to ensure the depth, breadth and level of the training</w:t>
      </w:r>
      <w:r w:rsidR="00E601C9">
        <w:t xml:space="preserve"> is successfully completed</w:t>
      </w:r>
      <w:r w:rsidR="00B0535E">
        <w:t xml:space="preserve">.  </w:t>
      </w:r>
    </w:p>
    <w:p w14:paraId="3155C5EB" w14:textId="15C905D2" w:rsidR="00076ADD" w:rsidRDefault="00B0535E" w:rsidP="00F82A4C">
      <w:pPr>
        <w:jc w:val="both"/>
      </w:pPr>
      <w:r>
        <w:t>The requirements and c</w:t>
      </w:r>
      <w:r w:rsidRPr="00712A78">
        <w:t>urren</w:t>
      </w:r>
      <w:r>
        <w:t xml:space="preserve">cy of </w:t>
      </w:r>
      <w:r w:rsidRPr="00712A78">
        <w:t>occupational experience, knowledge and skills of the delivery team</w:t>
      </w:r>
      <w:r>
        <w:t xml:space="preserve"> are different for standards compared to frameworks.  </w:t>
      </w:r>
      <w:r w:rsidR="00B9379E">
        <w:t>The emphasis is on training and less so on assessment and so this is impacting on the</w:t>
      </w:r>
      <w:r w:rsidR="00E601C9">
        <w:t xml:space="preserve"> current skill sets of the of the Provider teams, but also on their</w:t>
      </w:r>
      <w:r w:rsidR="00B9379E">
        <w:t xml:space="preserve"> recruitment strategies. </w:t>
      </w:r>
      <w:r w:rsidR="00536162">
        <w:t xml:space="preserve"> With the changeover</w:t>
      </w:r>
      <w:r w:rsidR="00A6526D">
        <w:t xml:space="preserve"> to</w:t>
      </w:r>
      <w:r w:rsidR="00E601C9">
        <w:t xml:space="preserve"> standards, Providers are reporting that </w:t>
      </w:r>
      <w:r w:rsidR="00D55110">
        <w:t>t</w:t>
      </w:r>
      <w:r w:rsidR="00B9379E">
        <w:t xml:space="preserve">he average number of visits to </w:t>
      </w:r>
      <w:r w:rsidR="0084251D">
        <w:t xml:space="preserve">train, and to </w:t>
      </w:r>
      <w:r w:rsidR="00B9379E">
        <w:t>monitor apprentice performance has increased</w:t>
      </w:r>
      <w:r w:rsidR="00076ADD">
        <w:t xml:space="preserve"> and it is taking longer than expected to get the apprentices to the gateway</w:t>
      </w:r>
      <w:r w:rsidR="00536162">
        <w:t>.</w:t>
      </w:r>
      <w:r w:rsidR="00076ADD">
        <w:t xml:space="preserve">  Completion rates</w:t>
      </w:r>
      <w:r w:rsidR="0084251D">
        <w:t xml:space="preserve"> to the Gateway,</w:t>
      </w:r>
      <w:r w:rsidR="00076ADD">
        <w:t xml:space="preserve"> in some </w:t>
      </w:r>
      <w:r w:rsidR="0084251D">
        <w:t>instances</w:t>
      </w:r>
      <w:r w:rsidR="00076ADD">
        <w:t xml:space="preserve"> are being affected</w:t>
      </w:r>
      <w:r w:rsidR="0084251D">
        <w:t>,</w:t>
      </w:r>
      <w:r w:rsidR="00076ADD">
        <w:t xml:space="preserve"> as apprentices are not making progress or can’t recognise any progress and are struggling with their learning.  All of these </w:t>
      </w:r>
      <w:r w:rsidR="005F3109">
        <w:t xml:space="preserve">issues </w:t>
      </w:r>
      <w:r w:rsidR="00076ADD">
        <w:t>will increase the risk profile of Provider</w:t>
      </w:r>
      <w:r w:rsidR="005F3109">
        <w:t xml:space="preserve">s, apprentices will be on-programme longer than expected and drop off rates will increase, meaning fewer apprentices complete, </w:t>
      </w:r>
      <w:r w:rsidR="005D21DF">
        <w:t xml:space="preserve">or </w:t>
      </w:r>
      <w:r w:rsidR="005F3109">
        <w:t xml:space="preserve">make it through gateway which will impact on timely completions.  </w:t>
      </w:r>
    </w:p>
    <w:p w14:paraId="6233F013" w14:textId="68403999" w:rsidR="00606A4D" w:rsidRDefault="00E601C9" w:rsidP="00F82A4C">
      <w:pPr>
        <w:jc w:val="both"/>
      </w:pPr>
      <w:r>
        <w:t xml:space="preserve">BIIAB </w:t>
      </w:r>
      <w:r w:rsidR="00FF26FB">
        <w:t>have heard many stories and picked up many anecdotes in our meetings across the sector</w:t>
      </w:r>
      <w:r w:rsidR="002D53A7">
        <w:t xml:space="preserve"> </w:t>
      </w:r>
      <w:r w:rsidR="005F3109">
        <w:t xml:space="preserve">over the last few years.  Whatever we hear or read in </w:t>
      </w:r>
      <w:r w:rsidR="00FF26FB">
        <w:t>the related press reports each week about the fall in numbers of apprentices, the quality of delivery and the</w:t>
      </w:r>
      <w:r w:rsidR="002D53A7">
        <w:t xml:space="preserve"> issues with funding</w:t>
      </w:r>
      <w:r w:rsidR="005F3109">
        <w:t xml:space="preserve">, the standards are what we have </w:t>
      </w:r>
      <w:r w:rsidR="005D21DF">
        <w:t xml:space="preserve">to deliver </w:t>
      </w:r>
      <w:r w:rsidR="005F3109">
        <w:t xml:space="preserve">and so the BIIAB approach </w:t>
      </w:r>
      <w:r w:rsidR="005D21DF">
        <w:t xml:space="preserve">continues to be </w:t>
      </w:r>
      <w:r w:rsidR="005F3109">
        <w:t>to provide advic</w:t>
      </w:r>
      <w:r w:rsidR="0084251D">
        <w:t>e, guidance</w:t>
      </w:r>
      <w:r w:rsidR="005F3109">
        <w:t xml:space="preserve"> and </w:t>
      </w:r>
      <w:r w:rsidR="0084251D">
        <w:t>support</w:t>
      </w:r>
      <w:r w:rsidR="005F3109">
        <w:t xml:space="preserve"> to our Customers to </w:t>
      </w:r>
      <w:r w:rsidR="005D21DF">
        <w:t xml:space="preserve">ensure that they can </w:t>
      </w:r>
      <w:r w:rsidR="005F3109">
        <w:t>mitigate risk, improve efficiencies and create effective training delivery</w:t>
      </w:r>
      <w:r>
        <w:t xml:space="preserve"> across the standards</w:t>
      </w:r>
      <w:r w:rsidR="005D21DF">
        <w:t xml:space="preserve">.  </w:t>
      </w:r>
    </w:p>
    <w:p w14:paraId="42090346" w14:textId="1E146267" w:rsidR="00E601C9" w:rsidRDefault="005D21DF" w:rsidP="00F82A4C">
      <w:pPr>
        <w:jc w:val="both"/>
      </w:pPr>
      <w:r w:rsidRPr="005D21DF">
        <w:t xml:space="preserve">The most important way we can provide this essential support is through the BIIAB </w:t>
      </w:r>
      <w:r w:rsidR="00E601C9">
        <w:t>Q</w:t>
      </w:r>
      <w:r w:rsidRPr="005D21DF">
        <w:t xml:space="preserve">uality Assured Delivery and Assessment Preparation </w:t>
      </w:r>
      <w:r w:rsidR="0084251D">
        <w:t>(</w:t>
      </w:r>
      <w:hyperlink r:id="rId6" w:history="1">
        <w:r w:rsidR="00E601C9" w:rsidRPr="000C094F">
          <w:rPr>
            <w:rStyle w:val="a3"/>
          </w:rPr>
          <w:t>QADAP</w:t>
        </w:r>
      </w:hyperlink>
      <w:r w:rsidR="0084251D">
        <w:t>)</w:t>
      </w:r>
      <w:r w:rsidR="00E601C9">
        <w:t xml:space="preserve"> </w:t>
      </w:r>
      <w:r w:rsidRPr="005D21DF">
        <w:t xml:space="preserve">service and pack. </w:t>
      </w:r>
      <w:r w:rsidR="005F4FB6" w:rsidRPr="005F4FB6">
        <w:t>The QADAP service is designed to provide a ‘full fat’ quality assurance service</w:t>
      </w:r>
      <w:r w:rsidRPr="005D21DF">
        <w:t>.</w:t>
      </w:r>
      <w:r w:rsidR="00606A4D">
        <w:t xml:space="preserve"> </w:t>
      </w:r>
      <w:r w:rsidR="00017BDA" w:rsidRPr="00017BDA">
        <w:t>Each BIIAB QADAP pack has been designed in order to be efficiently used in a Virtual Learning Environment (VLE) and they are easy to use with apprentices and Employers</w:t>
      </w:r>
      <w:r w:rsidR="005F4FB6" w:rsidRPr="005F4FB6">
        <w:t>. It enable</w:t>
      </w:r>
      <w:r w:rsidR="005F4FB6">
        <w:t>s</w:t>
      </w:r>
      <w:r w:rsidR="005F4FB6" w:rsidRPr="005F4FB6">
        <w:t xml:space="preserve"> </w:t>
      </w:r>
      <w:r w:rsidR="005F4FB6">
        <w:t xml:space="preserve">Providers, </w:t>
      </w:r>
      <w:r w:rsidR="005F4FB6" w:rsidRPr="005F4FB6">
        <w:t xml:space="preserve">from day one of working with the apprentice, to have a tailored, </w:t>
      </w:r>
      <w:r w:rsidR="005F4FB6" w:rsidRPr="005F4FB6">
        <w:lastRenderedPageBreak/>
        <w:t xml:space="preserve">consistent and standardised approach to delivery, </w:t>
      </w:r>
      <w:r w:rsidR="005F4FB6">
        <w:t>covering all that is required in the standard</w:t>
      </w:r>
      <w:r w:rsidR="00606A4D">
        <w:t xml:space="preserve"> and </w:t>
      </w:r>
      <w:r w:rsidR="005F4FB6" w:rsidRPr="005F4FB6">
        <w:t xml:space="preserve">enabling any potential gaps in the </w:t>
      </w:r>
      <w:r w:rsidR="00E601C9">
        <w:t>a</w:t>
      </w:r>
      <w:r w:rsidR="005F4FB6" w:rsidRPr="005F4FB6">
        <w:t xml:space="preserve">pprenticeship delivery to be identified, and built in from the very start of the </w:t>
      </w:r>
      <w:r w:rsidR="00E601C9">
        <w:t>a</w:t>
      </w:r>
      <w:r w:rsidR="005F4FB6" w:rsidRPr="005F4FB6">
        <w:t>pprenticeship</w:t>
      </w:r>
      <w:r w:rsidR="00606A4D">
        <w:t xml:space="preserve">.  It </w:t>
      </w:r>
      <w:r w:rsidR="005F4FB6" w:rsidRPr="005F4FB6">
        <w:t>track</w:t>
      </w:r>
      <w:r w:rsidR="00606A4D">
        <w:t>s</w:t>
      </w:r>
      <w:r w:rsidR="005F4FB6" w:rsidRPr="005F4FB6">
        <w:t xml:space="preserve"> individual apprentice progress towards the 'Gateway'</w:t>
      </w:r>
      <w:r w:rsidR="00606A4D">
        <w:t>, providing recognition of milestone achievements along the apprentices</w:t>
      </w:r>
      <w:r w:rsidR="00E601C9">
        <w:t>’</w:t>
      </w:r>
      <w:r w:rsidR="00606A4D">
        <w:t xml:space="preserve"> journey </w:t>
      </w:r>
      <w:r w:rsidR="00E601C9">
        <w:t xml:space="preserve">which encourages and motivates apprentices </w:t>
      </w:r>
      <w:r w:rsidR="005F4FB6" w:rsidRPr="005F4FB6">
        <w:t>and will prepare apprentices for the End</w:t>
      </w:r>
      <w:r w:rsidR="00E601C9">
        <w:t>-</w:t>
      </w:r>
      <w:r w:rsidR="005F4FB6" w:rsidRPr="005F4FB6">
        <w:t xml:space="preserve">Point Assessment. </w:t>
      </w:r>
      <w:r w:rsidR="005F4FB6" w:rsidRPr="005F4FB6">
        <w:br/>
      </w:r>
    </w:p>
    <w:p w14:paraId="6AF1F3C7" w14:textId="2CA31581" w:rsidR="00C313EB" w:rsidRPr="00C313EB" w:rsidRDefault="00C313EB" w:rsidP="00F82A4C">
      <w:pPr>
        <w:jc w:val="both"/>
      </w:pPr>
      <w:r>
        <w:t>One of our Customers</w:t>
      </w:r>
      <w:r w:rsidR="0084251D">
        <w:t>, Professor</w:t>
      </w:r>
      <w:r>
        <w:t xml:space="preserve"> </w:t>
      </w:r>
      <w:r w:rsidRPr="00C313EB">
        <w:t xml:space="preserve">David </w:t>
      </w:r>
      <w:proofErr w:type="spellStart"/>
      <w:r w:rsidRPr="00C313EB">
        <w:t>Foskett</w:t>
      </w:r>
      <w:proofErr w:type="spellEnd"/>
      <w:r w:rsidRPr="00C313EB">
        <w:t>, Welcome Skills,</w:t>
      </w:r>
      <w:r w:rsidR="00DB6E7C">
        <w:t xml:space="preserve"> explains how the QADAP service and packs work</w:t>
      </w:r>
      <w:r w:rsidR="00606A4D">
        <w:t>s for them</w:t>
      </w:r>
      <w:r w:rsidRPr="00C313EB">
        <w:t>: </w:t>
      </w:r>
    </w:p>
    <w:p w14:paraId="5F2209C2" w14:textId="55DDB03D" w:rsidR="00C313EB" w:rsidRPr="00C313EB" w:rsidRDefault="00C313EB" w:rsidP="00F82A4C">
      <w:pPr>
        <w:jc w:val="both"/>
      </w:pPr>
      <w:r w:rsidRPr="00C313EB">
        <w:rPr>
          <w:i/>
          <w:iCs/>
        </w:rPr>
        <w:t xml:space="preserve">'The BIIAB QADAP service and packs are invaluable as a learning, monitoring and development tool for all apprentices. The QADAP packs create a very clear study programme, that contextualises the standards in a format that is easy to understand and follow, making the applied learning enjoyable, relevant and motivational. The QADAP </w:t>
      </w:r>
      <w:r w:rsidR="0084251D">
        <w:rPr>
          <w:i/>
          <w:iCs/>
        </w:rPr>
        <w:t xml:space="preserve">service and </w:t>
      </w:r>
      <w:r w:rsidRPr="00C313EB">
        <w:rPr>
          <w:i/>
          <w:iCs/>
        </w:rPr>
        <w:t>packs make the learning achievable, helping create a successful outcome'.</w:t>
      </w:r>
    </w:p>
    <w:p w14:paraId="3905A92A" w14:textId="4A167F84" w:rsidR="005F3109" w:rsidRDefault="006828AC" w:rsidP="00F82A4C">
      <w:pPr>
        <w:jc w:val="both"/>
      </w:pPr>
      <w:r>
        <w:t>We have listened to our customers and continue to respond to the lessons learned</w:t>
      </w:r>
      <w:r w:rsidR="00826B7D">
        <w:t xml:space="preserve"> from recruitment, training delivery and preparation for End-Point Assessment.  We understand that </w:t>
      </w:r>
      <w:proofErr w:type="gramStart"/>
      <w:r w:rsidR="00826B7D">
        <w:t>people</w:t>
      </w:r>
      <w:proofErr w:type="gramEnd"/>
      <w:r w:rsidR="00826B7D">
        <w:t xml:space="preserve"> who choose an apprenticeship to continue their learning, need to have the best opportunity </w:t>
      </w:r>
      <w:r w:rsidR="00D52D34">
        <w:t xml:space="preserve">to learn the necessary skills, knowledge and behaviours </w:t>
      </w:r>
      <w:r w:rsidR="00826B7D">
        <w:t>to be successful and we want them to succeed and f</w:t>
      </w:r>
      <w:r w:rsidR="0084251D">
        <w:t>lourish in their</w:t>
      </w:r>
      <w:r w:rsidR="00826B7D">
        <w:t xml:space="preserve"> vocational career.  </w:t>
      </w:r>
      <w:r>
        <w:t xml:space="preserve">  </w:t>
      </w:r>
    </w:p>
    <w:p w14:paraId="534BC1B9" w14:textId="7CA7BBF9" w:rsidR="001B6ABC" w:rsidRDefault="001B6ABC" w:rsidP="00F82A4C">
      <w:pPr>
        <w:jc w:val="both"/>
      </w:pPr>
      <w:r>
        <w:t xml:space="preserve">For further information on our QADAP service and packs, please visit our </w:t>
      </w:r>
      <w:hyperlink r:id="rId7" w:history="1">
        <w:r w:rsidRPr="001B6ABC">
          <w:rPr>
            <w:rStyle w:val="a3"/>
          </w:rPr>
          <w:t>website</w:t>
        </w:r>
      </w:hyperlink>
      <w:r>
        <w:t xml:space="preserve"> or </w:t>
      </w:r>
      <w:hyperlink r:id="rId8" w:history="1">
        <w:r w:rsidRPr="001B6ABC">
          <w:rPr>
            <w:rStyle w:val="a3"/>
          </w:rPr>
          <w:t>contact us</w:t>
        </w:r>
      </w:hyperlink>
      <w:r>
        <w:t>.</w:t>
      </w:r>
    </w:p>
    <w:p w14:paraId="5C26D80C" w14:textId="77777777" w:rsidR="00736B95" w:rsidRDefault="00736B95" w:rsidP="00F82A4C">
      <w:pPr>
        <w:jc w:val="both"/>
      </w:pPr>
    </w:p>
    <w:p w14:paraId="69FAED3B" w14:textId="40667188" w:rsidR="00736B95" w:rsidRDefault="00736B95" w:rsidP="00F82A4C">
      <w:pPr>
        <w:jc w:val="both"/>
      </w:pPr>
      <w:r>
        <w:t xml:space="preserve">Sally Power, </w:t>
      </w:r>
      <w:r w:rsidRPr="00736B95">
        <w:rPr>
          <w:i/>
        </w:rPr>
        <w:t>Commercial Manager, BIIAB.</w:t>
      </w:r>
    </w:p>
    <w:sectPr w:rsidR="0073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F7C1E"/>
    <w:multiLevelType w:val="hybridMultilevel"/>
    <w:tmpl w:val="9C48FB4A"/>
    <w:lvl w:ilvl="0" w:tplc="E13404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F0A020">
      <w:start w:val="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8B4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ED4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28B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C25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276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AFC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46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9B5ADE"/>
    <w:multiLevelType w:val="hybridMultilevel"/>
    <w:tmpl w:val="9294CE22"/>
    <w:lvl w:ilvl="0" w:tplc="88CA1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E9B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2D8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A1A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E0F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25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638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CC8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604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6"/>
    <w:rsid w:val="00017BDA"/>
    <w:rsid w:val="00076ADD"/>
    <w:rsid w:val="000C094F"/>
    <w:rsid w:val="000D04B7"/>
    <w:rsid w:val="00142915"/>
    <w:rsid w:val="00145871"/>
    <w:rsid w:val="00153775"/>
    <w:rsid w:val="001B6ABC"/>
    <w:rsid w:val="002D53A7"/>
    <w:rsid w:val="002D5F39"/>
    <w:rsid w:val="002D67BF"/>
    <w:rsid w:val="00310125"/>
    <w:rsid w:val="003A6E1C"/>
    <w:rsid w:val="003C256B"/>
    <w:rsid w:val="003D6275"/>
    <w:rsid w:val="00401992"/>
    <w:rsid w:val="00536162"/>
    <w:rsid w:val="005560D1"/>
    <w:rsid w:val="005D21DF"/>
    <w:rsid w:val="005F3109"/>
    <w:rsid w:val="005F4FB6"/>
    <w:rsid w:val="00606A4D"/>
    <w:rsid w:val="006767E5"/>
    <w:rsid w:val="006828AC"/>
    <w:rsid w:val="00712A78"/>
    <w:rsid w:val="00736B95"/>
    <w:rsid w:val="007C1490"/>
    <w:rsid w:val="00826B7D"/>
    <w:rsid w:val="0084251D"/>
    <w:rsid w:val="008D41B0"/>
    <w:rsid w:val="009725FD"/>
    <w:rsid w:val="00977A85"/>
    <w:rsid w:val="009A007E"/>
    <w:rsid w:val="00A245E6"/>
    <w:rsid w:val="00A6526D"/>
    <w:rsid w:val="00A8052C"/>
    <w:rsid w:val="00A90173"/>
    <w:rsid w:val="00B0535E"/>
    <w:rsid w:val="00B619ED"/>
    <w:rsid w:val="00B85EE3"/>
    <w:rsid w:val="00B9379E"/>
    <w:rsid w:val="00BF4F96"/>
    <w:rsid w:val="00C313EB"/>
    <w:rsid w:val="00D52D34"/>
    <w:rsid w:val="00D55110"/>
    <w:rsid w:val="00D66582"/>
    <w:rsid w:val="00DB6E7C"/>
    <w:rsid w:val="00E50826"/>
    <w:rsid w:val="00E601C9"/>
    <w:rsid w:val="00F82A4C"/>
    <w:rsid w:val="00FF202E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EB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A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3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bi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iab.org/QAD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iab.org/QAD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Power</dc:creator>
  <cp:lastModifiedBy>user</cp:lastModifiedBy>
  <cp:revision>2</cp:revision>
  <dcterms:created xsi:type="dcterms:W3CDTF">2018-07-25T19:05:00Z</dcterms:created>
  <dcterms:modified xsi:type="dcterms:W3CDTF">2018-07-25T19:05:00Z</dcterms:modified>
</cp:coreProperties>
</file>