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4A0C" w:rsidRPr="00F64A0C" w:rsidRDefault="00F64A0C" w:rsidP="00F64A0C">
      <w:pPr>
        <w:jc w:val="both"/>
        <w:rPr>
          <w:b/>
          <w:sz w:val="24"/>
        </w:rPr>
      </w:pPr>
      <w:r w:rsidRPr="00F64A0C">
        <w:rPr>
          <w:b/>
          <w:sz w:val="24"/>
        </w:rPr>
        <w:t>Contextualización:</w:t>
      </w:r>
    </w:p>
    <w:p w:rsidR="00F64A0C" w:rsidRDefault="00F64A0C" w:rsidP="00F64A0C">
      <w:pPr>
        <w:jc w:val="both"/>
        <w:rPr>
          <w:sz w:val="24"/>
        </w:rPr>
      </w:pPr>
    </w:p>
    <w:p w:rsidR="00F64A0C" w:rsidRDefault="00F64A0C" w:rsidP="00F64A0C">
      <w:pPr>
        <w:jc w:val="both"/>
        <w:rPr>
          <w:sz w:val="24"/>
        </w:rPr>
      </w:pPr>
      <w:r>
        <w:rPr>
          <w:sz w:val="24"/>
        </w:rPr>
        <w:t>Según el Plan nacional de desarrollo 2013-2018, se toman 5 puntos  para “Llevar a México a su máximo potencial”, de los cuales destacaré solo 3 puntos que considero son los más relevantes del PND llevar a cabo para hacer al país más competitivo en comparación a otros países.</w:t>
      </w:r>
    </w:p>
    <w:p w:rsidR="00F64A0C" w:rsidRDefault="00F64A0C" w:rsidP="00F64A0C">
      <w:pPr>
        <w:pStyle w:val="Prrafodelista"/>
        <w:numPr>
          <w:ilvl w:val="0"/>
          <w:numId w:val="1"/>
        </w:numPr>
        <w:jc w:val="both"/>
        <w:rPr>
          <w:sz w:val="24"/>
        </w:rPr>
      </w:pPr>
      <w:r>
        <w:rPr>
          <w:sz w:val="24"/>
        </w:rPr>
        <w:t>México en paz.</w:t>
      </w:r>
    </w:p>
    <w:p w:rsidR="00F64A0C" w:rsidRDefault="00F64A0C" w:rsidP="00F64A0C">
      <w:pPr>
        <w:jc w:val="both"/>
        <w:rPr>
          <w:sz w:val="24"/>
        </w:rPr>
      </w:pPr>
      <w:r>
        <w:rPr>
          <w:sz w:val="24"/>
        </w:rPr>
        <w:t xml:space="preserve">Busca fortalecer las instituciones, erradicar la violencia y la corrupción mediante el fomento de la rendición de cuentas. </w:t>
      </w:r>
    </w:p>
    <w:p w:rsidR="00F64A0C" w:rsidRPr="007942BC" w:rsidRDefault="00F64A0C" w:rsidP="00F64A0C">
      <w:pPr>
        <w:jc w:val="both"/>
      </w:pPr>
      <w:r>
        <w:rPr>
          <w:sz w:val="24"/>
        </w:rPr>
        <w:t xml:space="preserve">En este punto adicional añadiría que hay que fortalecer los valores y la imagen que se tiene del cuerpo de seguridad en México ya que de acuerdo a este gráfico obtenido de un estudio sobre la percepción y la corrupción policial de distintos países por la Universidad de Oxford (véase </w:t>
      </w:r>
      <w:proofErr w:type="spellStart"/>
      <w:r>
        <w:t>Transparency</w:t>
      </w:r>
      <w:proofErr w:type="spellEnd"/>
      <w:r>
        <w:t xml:space="preserve"> International, </w:t>
      </w:r>
      <w:proofErr w:type="spellStart"/>
      <w:r>
        <w:t>International’s</w:t>
      </w:r>
      <w:proofErr w:type="spellEnd"/>
      <w:r>
        <w:t xml:space="preserve"> </w:t>
      </w:r>
      <w:proofErr w:type="spellStart"/>
      <w:r>
        <w:t>Corruption</w:t>
      </w:r>
      <w:proofErr w:type="spellEnd"/>
      <w:r>
        <w:t xml:space="preserve"> </w:t>
      </w:r>
      <w:proofErr w:type="spellStart"/>
      <w:r>
        <w:t>Perception</w:t>
      </w:r>
      <w:proofErr w:type="spellEnd"/>
      <w:r>
        <w:t xml:space="preserve"> </w:t>
      </w:r>
      <w:proofErr w:type="spellStart"/>
      <w:r>
        <w:t>Index</w:t>
      </w:r>
      <w:proofErr w:type="spellEnd"/>
      <w:r>
        <w:t xml:space="preserve"> 2006 and Global </w:t>
      </w:r>
      <w:proofErr w:type="spellStart"/>
      <w:r>
        <w:t>Corruption</w:t>
      </w:r>
      <w:proofErr w:type="spellEnd"/>
      <w:r>
        <w:t xml:space="preserve"> </w:t>
      </w:r>
      <w:proofErr w:type="spellStart"/>
      <w:r>
        <w:t>Survey</w:t>
      </w:r>
      <w:proofErr w:type="spellEnd"/>
      <w:r>
        <w:t xml:space="preserve"> 2004, 2005, 2006.); México está entre los países con mayor nivel de corrupción y también entre los que se perciben con mayor corrupción.</w:t>
      </w:r>
    </w:p>
    <w:p w:rsidR="00F64A0C" w:rsidRPr="00EB52B3" w:rsidRDefault="00F64A0C" w:rsidP="00F64A0C">
      <w:pPr>
        <w:jc w:val="center"/>
        <w:rPr>
          <w:sz w:val="24"/>
        </w:rPr>
      </w:pPr>
      <w:r>
        <w:rPr>
          <w:noProof/>
          <w:sz w:val="24"/>
        </w:rPr>
        <w:drawing>
          <wp:inline distT="0" distB="0" distL="0" distR="0">
            <wp:extent cx="5713197" cy="3867150"/>
            <wp:effectExtent l="19050" t="0" r="1803"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srcRect l="26704" t="11685" r="18477" b="22283"/>
                    <a:stretch>
                      <a:fillRect/>
                    </a:stretch>
                  </pic:blipFill>
                  <pic:spPr bwMode="auto">
                    <a:xfrm>
                      <a:off x="0" y="0"/>
                      <a:ext cx="5717560" cy="3870103"/>
                    </a:xfrm>
                    <a:prstGeom prst="rect">
                      <a:avLst/>
                    </a:prstGeom>
                    <a:noFill/>
                    <a:ln w="9525">
                      <a:noFill/>
                      <a:miter lim="800000"/>
                      <a:headEnd/>
                      <a:tailEnd/>
                    </a:ln>
                  </pic:spPr>
                </pic:pic>
              </a:graphicData>
            </a:graphic>
          </wp:inline>
        </w:drawing>
      </w:r>
    </w:p>
    <w:p w:rsidR="00F64A0C" w:rsidRDefault="00F64A0C" w:rsidP="00F64A0C">
      <w:pPr>
        <w:ind w:left="360"/>
        <w:jc w:val="both"/>
        <w:rPr>
          <w:sz w:val="24"/>
        </w:rPr>
      </w:pPr>
    </w:p>
    <w:p w:rsidR="00F64A0C" w:rsidRDefault="00F64A0C" w:rsidP="00F64A0C">
      <w:pPr>
        <w:ind w:left="360"/>
        <w:jc w:val="both"/>
        <w:rPr>
          <w:sz w:val="24"/>
        </w:rPr>
      </w:pPr>
    </w:p>
    <w:p w:rsidR="00F64A0C" w:rsidRDefault="00F64A0C" w:rsidP="00F64A0C">
      <w:pPr>
        <w:ind w:left="360"/>
        <w:jc w:val="both"/>
        <w:rPr>
          <w:sz w:val="24"/>
        </w:rPr>
      </w:pPr>
    </w:p>
    <w:p w:rsidR="00F64A0C" w:rsidRDefault="00F64A0C" w:rsidP="00F64A0C">
      <w:pPr>
        <w:ind w:left="360"/>
        <w:jc w:val="both"/>
        <w:rPr>
          <w:sz w:val="24"/>
        </w:rPr>
      </w:pPr>
    </w:p>
    <w:p w:rsidR="00F64A0C" w:rsidRDefault="00F64A0C" w:rsidP="00F64A0C">
      <w:pPr>
        <w:ind w:left="360"/>
        <w:jc w:val="both"/>
        <w:rPr>
          <w:sz w:val="24"/>
        </w:rPr>
      </w:pPr>
    </w:p>
    <w:p w:rsidR="00F64A0C" w:rsidRDefault="00F64A0C" w:rsidP="00F64A0C">
      <w:pPr>
        <w:ind w:left="360"/>
        <w:jc w:val="both"/>
        <w:rPr>
          <w:sz w:val="24"/>
        </w:rPr>
      </w:pPr>
    </w:p>
    <w:p w:rsidR="00F64A0C" w:rsidRDefault="00F64A0C" w:rsidP="00F64A0C">
      <w:pPr>
        <w:ind w:left="360"/>
        <w:jc w:val="both"/>
        <w:rPr>
          <w:sz w:val="24"/>
        </w:rPr>
      </w:pPr>
    </w:p>
    <w:p w:rsidR="00F64A0C" w:rsidRPr="00A86184" w:rsidRDefault="00F64A0C" w:rsidP="00F64A0C">
      <w:pPr>
        <w:pStyle w:val="Prrafodelista"/>
        <w:numPr>
          <w:ilvl w:val="0"/>
          <w:numId w:val="1"/>
        </w:numPr>
        <w:jc w:val="both"/>
        <w:rPr>
          <w:sz w:val="24"/>
        </w:rPr>
      </w:pPr>
      <w:r w:rsidRPr="00A86184">
        <w:rPr>
          <w:sz w:val="24"/>
        </w:rPr>
        <w:t>México incluyente.</w:t>
      </w:r>
    </w:p>
    <w:p w:rsidR="00F64A0C" w:rsidRDefault="00F64A0C" w:rsidP="00F64A0C">
      <w:pPr>
        <w:jc w:val="both"/>
      </w:pPr>
      <w:r>
        <w:t>Proveer una red de protección social que garantice el acceso al derecho a la salud a todos los mexicanos, abatiendo los incentivos a permanecer en la economía formal, es decir promoverá la formalización de los pequeños negocios informales, para proporcionar e incluir a las familias que se sostienen mediante estos pequeños negocios a las prestaciones como el Servicio del seguro social.</w:t>
      </w:r>
    </w:p>
    <w:p w:rsidR="00F64A0C" w:rsidRDefault="00F64A0C" w:rsidP="00F64A0C">
      <w:pPr>
        <w:jc w:val="both"/>
        <w:rPr>
          <w:sz w:val="24"/>
        </w:rPr>
      </w:pPr>
      <w:r>
        <w:t>En este punto solo añadiría que para fomentar la incorporación a la economía formal se deben abrir más oportunidades de empleo ya que la mayor razón para que la gente se decida por la informalidad es por la falta de oportunidades o bien llevan tiempo buscando y hay tanto nivel de desempleo que las ofertas no son suficientes, sobre todo a medida que el nivel de educación es mayor las oportunidades de empleo disminuyen, esto podemos verlo en este cuadro indicador extraído del INEGI sobre la desocupación, en donde se observa claramente que del 100% de la desocupación el 38% tienen estudios a nivel Medio superior y superior.</w:t>
      </w:r>
    </w:p>
    <w:tbl>
      <w:tblPr>
        <w:tblW w:w="10300" w:type="dxa"/>
        <w:tblInd w:w="55" w:type="dxa"/>
        <w:tblCellMar>
          <w:left w:w="70" w:type="dxa"/>
          <w:right w:w="70" w:type="dxa"/>
        </w:tblCellMar>
        <w:tblLook w:val="04A0"/>
      </w:tblPr>
      <w:tblGrid>
        <w:gridCol w:w="2060"/>
        <w:gridCol w:w="2060"/>
        <w:gridCol w:w="2060"/>
        <w:gridCol w:w="2060"/>
        <w:gridCol w:w="2060"/>
      </w:tblGrid>
      <w:tr w:rsidR="00F64A0C" w:rsidRPr="005E56C8" w:rsidTr="0003558E">
        <w:trPr>
          <w:trHeight w:val="678"/>
        </w:trPr>
        <w:tc>
          <w:tcPr>
            <w:tcW w:w="2060" w:type="dxa"/>
            <w:tcBorders>
              <w:top w:val="nil"/>
              <w:left w:val="nil"/>
              <w:bottom w:val="single" w:sz="4" w:space="0" w:color="C8C8C8"/>
              <w:right w:val="single" w:sz="4" w:space="0" w:color="C8C8C8"/>
            </w:tcBorders>
            <w:shd w:val="clear" w:color="000000" w:fill="EFEFF0"/>
            <w:vAlign w:val="center"/>
            <w:hideMark/>
          </w:tcPr>
          <w:p w:rsidR="00F64A0C" w:rsidRPr="005E56C8" w:rsidRDefault="00F64A0C" w:rsidP="0003558E">
            <w:pPr>
              <w:spacing w:after="0" w:line="240" w:lineRule="auto"/>
              <w:jc w:val="right"/>
              <w:rPr>
                <w:rFonts w:ascii="Arial" w:eastAsia="Times New Roman" w:hAnsi="Arial" w:cs="Arial"/>
                <w:b/>
                <w:bCs/>
                <w:color w:val="000000"/>
                <w:sz w:val="18"/>
                <w:szCs w:val="18"/>
              </w:rPr>
            </w:pPr>
            <w:r w:rsidRPr="005E56C8">
              <w:rPr>
                <w:rFonts w:ascii="Arial" w:eastAsia="Times New Roman" w:hAnsi="Arial" w:cs="Arial"/>
                <w:b/>
                <w:bCs/>
                <w:color w:val="000000"/>
                <w:sz w:val="18"/>
                <w:szCs w:val="18"/>
              </w:rPr>
              <w:t>Total</w:t>
            </w:r>
          </w:p>
        </w:tc>
        <w:tc>
          <w:tcPr>
            <w:tcW w:w="2060" w:type="dxa"/>
            <w:tcBorders>
              <w:top w:val="nil"/>
              <w:left w:val="nil"/>
              <w:bottom w:val="single" w:sz="4" w:space="0" w:color="C8C8C8"/>
              <w:right w:val="single" w:sz="4" w:space="0" w:color="C8C8C8"/>
            </w:tcBorders>
            <w:shd w:val="clear" w:color="000000" w:fill="EFEFF0"/>
            <w:vAlign w:val="center"/>
            <w:hideMark/>
          </w:tcPr>
          <w:p w:rsidR="00F64A0C" w:rsidRPr="005E56C8" w:rsidRDefault="00F64A0C" w:rsidP="0003558E">
            <w:pPr>
              <w:spacing w:after="0" w:line="240" w:lineRule="auto"/>
              <w:jc w:val="right"/>
              <w:rPr>
                <w:rFonts w:ascii="Arial" w:eastAsia="Times New Roman" w:hAnsi="Arial" w:cs="Arial"/>
                <w:b/>
                <w:bCs/>
                <w:color w:val="000000"/>
                <w:sz w:val="18"/>
                <w:szCs w:val="18"/>
              </w:rPr>
            </w:pPr>
            <w:r w:rsidRPr="005E56C8">
              <w:rPr>
                <w:rFonts w:ascii="Arial" w:eastAsia="Times New Roman" w:hAnsi="Arial" w:cs="Arial"/>
                <w:b/>
                <w:bCs/>
                <w:color w:val="000000"/>
                <w:sz w:val="18"/>
                <w:szCs w:val="18"/>
              </w:rPr>
              <w:t>Primaria incompleta</w:t>
            </w:r>
          </w:p>
        </w:tc>
        <w:tc>
          <w:tcPr>
            <w:tcW w:w="2060" w:type="dxa"/>
            <w:tcBorders>
              <w:top w:val="nil"/>
              <w:left w:val="nil"/>
              <w:bottom w:val="single" w:sz="4" w:space="0" w:color="C8C8C8"/>
              <w:right w:val="single" w:sz="4" w:space="0" w:color="C8C8C8"/>
            </w:tcBorders>
            <w:shd w:val="clear" w:color="000000" w:fill="EFEFF0"/>
            <w:vAlign w:val="center"/>
            <w:hideMark/>
          </w:tcPr>
          <w:p w:rsidR="00F64A0C" w:rsidRPr="005E56C8" w:rsidRDefault="00F64A0C" w:rsidP="0003558E">
            <w:pPr>
              <w:spacing w:after="0" w:line="240" w:lineRule="auto"/>
              <w:jc w:val="right"/>
              <w:rPr>
                <w:rFonts w:ascii="Arial" w:eastAsia="Times New Roman" w:hAnsi="Arial" w:cs="Arial"/>
                <w:b/>
                <w:bCs/>
                <w:color w:val="000000"/>
                <w:sz w:val="18"/>
                <w:szCs w:val="18"/>
              </w:rPr>
            </w:pPr>
            <w:r w:rsidRPr="005E56C8">
              <w:rPr>
                <w:rFonts w:ascii="Arial" w:eastAsia="Times New Roman" w:hAnsi="Arial" w:cs="Arial"/>
                <w:b/>
                <w:bCs/>
                <w:color w:val="000000"/>
                <w:sz w:val="18"/>
                <w:szCs w:val="18"/>
              </w:rPr>
              <w:t>Con primaria completa</w:t>
            </w:r>
          </w:p>
        </w:tc>
        <w:tc>
          <w:tcPr>
            <w:tcW w:w="2060" w:type="dxa"/>
            <w:tcBorders>
              <w:top w:val="nil"/>
              <w:left w:val="nil"/>
              <w:bottom w:val="single" w:sz="4" w:space="0" w:color="C8C8C8"/>
              <w:right w:val="single" w:sz="4" w:space="0" w:color="C8C8C8"/>
            </w:tcBorders>
            <w:shd w:val="clear" w:color="000000" w:fill="EFEFF0"/>
            <w:vAlign w:val="center"/>
            <w:hideMark/>
          </w:tcPr>
          <w:p w:rsidR="00F64A0C" w:rsidRPr="005E56C8" w:rsidRDefault="00F64A0C" w:rsidP="0003558E">
            <w:pPr>
              <w:spacing w:after="0" w:line="240" w:lineRule="auto"/>
              <w:jc w:val="right"/>
              <w:rPr>
                <w:rFonts w:ascii="Arial" w:eastAsia="Times New Roman" w:hAnsi="Arial" w:cs="Arial"/>
                <w:b/>
                <w:bCs/>
                <w:color w:val="000000"/>
                <w:sz w:val="18"/>
                <w:szCs w:val="18"/>
              </w:rPr>
            </w:pPr>
            <w:r w:rsidRPr="005E56C8">
              <w:rPr>
                <w:rFonts w:ascii="Arial" w:eastAsia="Times New Roman" w:hAnsi="Arial" w:cs="Arial"/>
                <w:b/>
                <w:bCs/>
                <w:color w:val="000000"/>
                <w:sz w:val="18"/>
                <w:szCs w:val="18"/>
              </w:rPr>
              <w:t>Con secundaria completa</w:t>
            </w:r>
          </w:p>
        </w:tc>
        <w:tc>
          <w:tcPr>
            <w:tcW w:w="2060" w:type="dxa"/>
            <w:tcBorders>
              <w:top w:val="nil"/>
              <w:left w:val="nil"/>
              <w:bottom w:val="single" w:sz="4" w:space="0" w:color="C8C8C8"/>
              <w:right w:val="single" w:sz="4" w:space="0" w:color="C8C8C8"/>
            </w:tcBorders>
            <w:shd w:val="clear" w:color="000000" w:fill="EFEFF0"/>
            <w:vAlign w:val="center"/>
            <w:hideMark/>
          </w:tcPr>
          <w:p w:rsidR="00F64A0C" w:rsidRPr="005E56C8" w:rsidRDefault="00F64A0C" w:rsidP="0003558E">
            <w:pPr>
              <w:spacing w:after="0" w:line="240" w:lineRule="auto"/>
              <w:jc w:val="right"/>
              <w:rPr>
                <w:rFonts w:ascii="Arial" w:eastAsia="Times New Roman" w:hAnsi="Arial" w:cs="Arial"/>
                <w:b/>
                <w:bCs/>
                <w:color w:val="000000"/>
                <w:sz w:val="18"/>
                <w:szCs w:val="18"/>
              </w:rPr>
            </w:pPr>
            <w:r w:rsidRPr="005E56C8">
              <w:rPr>
                <w:rFonts w:ascii="Arial" w:eastAsia="Times New Roman" w:hAnsi="Arial" w:cs="Arial"/>
                <w:b/>
                <w:bCs/>
                <w:color w:val="000000"/>
                <w:sz w:val="18"/>
                <w:szCs w:val="18"/>
              </w:rPr>
              <w:t>Medio superior y superior</w:t>
            </w:r>
          </w:p>
        </w:tc>
      </w:tr>
      <w:tr w:rsidR="00F64A0C" w:rsidRPr="005E56C8" w:rsidTr="0003558E">
        <w:trPr>
          <w:trHeight w:val="282"/>
        </w:trPr>
        <w:tc>
          <w:tcPr>
            <w:tcW w:w="2060" w:type="dxa"/>
            <w:tcBorders>
              <w:top w:val="nil"/>
              <w:left w:val="nil"/>
              <w:bottom w:val="nil"/>
              <w:right w:val="nil"/>
            </w:tcBorders>
            <w:shd w:val="clear" w:color="auto" w:fill="auto"/>
            <w:noWrap/>
            <w:vAlign w:val="bottom"/>
            <w:hideMark/>
          </w:tcPr>
          <w:p w:rsidR="00F64A0C" w:rsidRPr="005E56C8" w:rsidRDefault="00F64A0C" w:rsidP="0003558E">
            <w:pPr>
              <w:spacing w:after="0" w:line="240" w:lineRule="auto"/>
              <w:jc w:val="right"/>
              <w:rPr>
                <w:rFonts w:ascii="Calibri" w:eastAsia="Times New Roman" w:hAnsi="Calibri" w:cs="Times New Roman"/>
                <w:color w:val="000000"/>
              </w:rPr>
            </w:pPr>
            <w:r w:rsidRPr="005E56C8">
              <w:rPr>
                <w:rFonts w:ascii="Calibri" w:eastAsia="Times New Roman" w:hAnsi="Calibri" w:cs="Times New Roman"/>
                <w:color w:val="000000"/>
              </w:rPr>
              <w:t>100%</w:t>
            </w:r>
          </w:p>
        </w:tc>
        <w:tc>
          <w:tcPr>
            <w:tcW w:w="2060" w:type="dxa"/>
            <w:tcBorders>
              <w:top w:val="nil"/>
              <w:left w:val="nil"/>
              <w:bottom w:val="nil"/>
              <w:right w:val="nil"/>
            </w:tcBorders>
            <w:shd w:val="clear" w:color="auto" w:fill="auto"/>
            <w:noWrap/>
            <w:vAlign w:val="bottom"/>
            <w:hideMark/>
          </w:tcPr>
          <w:p w:rsidR="00F64A0C" w:rsidRPr="005E56C8" w:rsidRDefault="00F64A0C" w:rsidP="0003558E">
            <w:pPr>
              <w:spacing w:after="0" w:line="240" w:lineRule="auto"/>
              <w:jc w:val="right"/>
              <w:rPr>
                <w:rFonts w:ascii="Calibri" w:eastAsia="Times New Roman" w:hAnsi="Calibri" w:cs="Times New Roman"/>
                <w:color w:val="000000"/>
              </w:rPr>
            </w:pPr>
            <w:r w:rsidRPr="005E56C8">
              <w:rPr>
                <w:rFonts w:ascii="Calibri" w:eastAsia="Times New Roman" w:hAnsi="Calibri" w:cs="Times New Roman"/>
                <w:color w:val="000000"/>
              </w:rPr>
              <w:t>8%</w:t>
            </w:r>
          </w:p>
        </w:tc>
        <w:tc>
          <w:tcPr>
            <w:tcW w:w="2060" w:type="dxa"/>
            <w:tcBorders>
              <w:top w:val="nil"/>
              <w:left w:val="nil"/>
              <w:bottom w:val="nil"/>
              <w:right w:val="nil"/>
            </w:tcBorders>
            <w:shd w:val="clear" w:color="auto" w:fill="auto"/>
            <w:noWrap/>
            <w:vAlign w:val="bottom"/>
            <w:hideMark/>
          </w:tcPr>
          <w:p w:rsidR="00F64A0C" w:rsidRPr="005E56C8" w:rsidRDefault="00F64A0C" w:rsidP="0003558E">
            <w:pPr>
              <w:spacing w:after="0" w:line="240" w:lineRule="auto"/>
              <w:jc w:val="right"/>
              <w:rPr>
                <w:rFonts w:ascii="Calibri" w:eastAsia="Times New Roman" w:hAnsi="Calibri" w:cs="Times New Roman"/>
                <w:color w:val="000000"/>
              </w:rPr>
            </w:pPr>
            <w:r w:rsidRPr="005E56C8">
              <w:rPr>
                <w:rFonts w:ascii="Calibri" w:eastAsia="Times New Roman" w:hAnsi="Calibri" w:cs="Times New Roman"/>
                <w:color w:val="000000"/>
              </w:rPr>
              <w:t>17%</w:t>
            </w:r>
          </w:p>
        </w:tc>
        <w:tc>
          <w:tcPr>
            <w:tcW w:w="2060" w:type="dxa"/>
            <w:tcBorders>
              <w:top w:val="nil"/>
              <w:left w:val="nil"/>
              <w:bottom w:val="nil"/>
              <w:right w:val="nil"/>
            </w:tcBorders>
            <w:shd w:val="clear" w:color="auto" w:fill="auto"/>
            <w:noWrap/>
            <w:vAlign w:val="bottom"/>
            <w:hideMark/>
          </w:tcPr>
          <w:p w:rsidR="00F64A0C" w:rsidRPr="005E56C8" w:rsidRDefault="00F64A0C" w:rsidP="0003558E">
            <w:pPr>
              <w:spacing w:after="0" w:line="240" w:lineRule="auto"/>
              <w:jc w:val="right"/>
              <w:rPr>
                <w:rFonts w:ascii="Calibri" w:eastAsia="Times New Roman" w:hAnsi="Calibri" w:cs="Times New Roman"/>
                <w:color w:val="000000"/>
              </w:rPr>
            </w:pPr>
            <w:r w:rsidRPr="005E56C8">
              <w:rPr>
                <w:rFonts w:ascii="Calibri" w:eastAsia="Times New Roman" w:hAnsi="Calibri" w:cs="Times New Roman"/>
                <w:color w:val="000000"/>
              </w:rPr>
              <w:t>37%</w:t>
            </w:r>
          </w:p>
        </w:tc>
        <w:tc>
          <w:tcPr>
            <w:tcW w:w="2060" w:type="dxa"/>
            <w:tcBorders>
              <w:top w:val="nil"/>
              <w:left w:val="nil"/>
              <w:bottom w:val="nil"/>
              <w:right w:val="nil"/>
            </w:tcBorders>
            <w:shd w:val="clear" w:color="auto" w:fill="auto"/>
            <w:noWrap/>
            <w:vAlign w:val="bottom"/>
            <w:hideMark/>
          </w:tcPr>
          <w:p w:rsidR="00F64A0C" w:rsidRPr="005E56C8" w:rsidRDefault="00F64A0C" w:rsidP="0003558E">
            <w:pPr>
              <w:spacing w:after="0" w:line="240" w:lineRule="auto"/>
              <w:jc w:val="right"/>
              <w:rPr>
                <w:rFonts w:ascii="Calibri" w:eastAsia="Times New Roman" w:hAnsi="Calibri" w:cs="Times New Roman"/>
                <w:color w:val="000000"/>
              </w:rPr>
            </w:pPr>
            <w:r w:rsidRPr="005E56C8">
              <w:rPr>
                <w:rFonts w:ascii="Calibri" w:eastAsia="Times New Roman" w:hAnsi="Calibri" w:cs="Times New Roman"/>
                <w:color w:val="000000"/>
              </w:rPr>
              <w:t>38%</w:t>
            </w:r>
          </w:p>
        </w:tc>
      </w:tr>
    </w:tbl>
    <w:p w:rsidR="00F64A0C" w:rsidRDefault="00F64A0C" w:rsidP="00F64A0C">
      <w:pPr>
        <w:jc w:val="both"/>
        <w:rPr>
          <w:sz w:val="24"/>
        </w:rPr>
      </w:pPr>
    </w:p>
    <w:p w:rsidR="00F64A0C" w:rsidRDefault="00F64A0C" w:rsidP="00F64A0C">
      <w:pPr>
        <w:jc w:val="both"/>
        <w:rPr>
          <w:sz w:val="24"/>
        </w:rPr>
      </w:pPr>
      <w:r>
        <w:rPr>
          <w:sz w:val="24"/>
        </w:rPr>
        <w:t>También en el mismo indicador vemos que del 100% de la población desocupada 90% tiene experiencia laboral, pero no tienen trabajo, entonces esto nos lleva a la pregunta si la mayor parte de la población desocupada tiene estudios por arriba del promedio y tienen experiencia… ¿Por qué no tienen trabajo?; una de las respuestas a esta problemática es por que como fue mencionado anteriormente; las ofertas laborales son insuficientes. Por ello este punto me parece es emergente trabajarlo.</w:t>
      </w:r>
    </w:p>
    <w:tbl>
      <w:tblPr>
        <w:tblW w:w="9938" w:type="dxa"/>
        <w:tblInd w:w="55" w:type="dxa"/>
        <w:tblCellMar>
          <w:left w:w="70" w:type="dxa"/>
          <w:right w:w="70" w:type="dxa"/>
        </w:tblCellMar>
        <w:tblLook w:val="04A0"/>
      </w:tblPr>
      <w:tblGrid>
        <w:gridCol w:w="1200"/>
        <w:gridCol w:w="4202"/>
        <w:gridCol w:w="4536"/>
      </w:tblGrid>
      <w:tr w:rsidR="00F64A0C" w:rsidRPr="00AC3C03" w:rsidTr="0003558E">
        <w:trPr>
          <w:trHeight w:val="300"/>
        </w:trPr>
        <w:tc>
          <w:tcPr>
            <w:tcW w:w="9938" w:type="dxa"/>
            <w:gridSpan w:val="3"/>
            <w:tcBorders>
              <w:top w:val="single" w:sz="4" w:space="0" w:color="888888"/>
              <w:left w:val="single" w:sz="4" w:space="0" w:color="C8C8C8"/>
              <w:bottom w:val="single" w:sz="4" w:space="0" w:color="C8C8C8"/>
              <w:right w:val="single" w:sz="4" w:space="0" w:color="888888"/>
            </w:tcBorders>
            <w:shd w:val="clear" w:color="000000" w:fill="EFEFF0"/>
            <w:vAlign w:val="center"/>
            <w:hideMark/>
          </w:tcPr>
          <w:p w:rsidR="00F64A0C" w:rsidRPr="00AC3C03" w:rsidRDefault="00F64A0C" w:rsidP="0003558E">
            <w:pPr>
              <w:spacing w:after="0" w:line="240" w:lineRule="auto"/>
              <w:jc w:val="center"/>
              <w:rPr>
                <w:rFonts w:ascii="Arial" w:eastAsia="Times New Roman" w:hAnsi="Arial" w:cs="Arial"/>
                <w:b/>
                <w:bCs/>
                <w:color w:val="000000"/>
                <w:sz w:val="18"/>
                <w:szCs w:val="18"/>
              </w:rPr>
            </w:pPr>
            <w:r w:rsidRPr="00AC3C03">
              <w:rPr>
                <w:rFonts w:ascii="Arial" w:eastAsia="Times New Roman" w:hAnsi="Arial" w:cs="Arial"/>
                <w:b/>
                <w:bCs/>
                <w:color w:val="000000"/>
                <w:sz w:val="18"/>
                <w:szCs w:val="18"/>
              </w:rPr>
              <w:t>Antecedentes laborales</w:t>
            </w:r>
          </w:p>
        </w:tc>
      </w:tr>
      <w:tr w:rsidR="00F64A0C" w:rsidRPr="00AC3C03" w:rsidTr="0003558E">
        <w:trPr>
          <w:trHeight w:val="480"/>
        </w:trPr>
        <w:tc>
          <w:tcPr>
            <w:tcW w:w="1200" w:type="dxa"/>
            <w:tcBorders>
              <w:top w:val="nil"/>
              <w:left w:val="nil"/>
              <w:bottom w:val="single" w:sz="4" w:space="0" w:color="C8C8C8"/>
              <w:right w:val="single" w:sz="4" w:space="0" w:color="C8C8C8"/>
            </w:tcBorders>
            <w:shd w:val="clear" w:color="000000" w:fill="EFEFF0"/>
            <w:vAlign w:val="center"/>
            <w:hideMark/>
          </w:tcPr>
          <w:p w:rsidR="00F64A0C" w:rsidRPr="00AC3C03" w:rsidRDefault="00F64A0C" w:rsidP="0003558E">
            <w:pPr>
              <w:spacing w:after="0" w:line="240" w:lineRule="auto"/>
              <w:jc w:val="right"/>
              <w:rPr>
                <w:rFonts w:ascii="Arial" w:eastAsia="Times New Roman" w:hAnsi="Arial" w:cs="Arial"/>
                <w:b/>
                <w:bCs/>
                <w:color w:val="000000"/>
                <w:sz w:val="18"/>
                <w:szCs w:val="18"/>
              </w:rPr>
            </w:pPr>
            <w:r w:rsidRPr="00AC3C03">
              <w:rPr>
                <w:rFonts w:ascii="Arial" w:eastAsia="Times New Roman" w:hAnsi="Arial" w:cs="Arial"/>
                <w:b/>
                <w:bCs/>
                <w:color w:val="000000"/>
                <w:sz w:val="18"/>
                <w:szCs w:val="18"/>
              </w:rPr>
              <w:t>Total</w:t>
            </w:r>
          </w:p>
        </w:tc>
        <w:tc>
          <w:tcPr>
            <w:tcW w:w="4202" w:type="dxa"/>
            <w:tcBorders>
              <w:top w:val="nil"/>
              <w:left w:val="nil"/>
              <w:bottom w:val="single" w:sz="4" w:space="0" w:color="C8C8C8"/>
              <w:right w:val="single" w:sz="4" w:space="0" w:color="C8C8C8"/>
            </w:tcBorders>
            <w:shd w:val="clear" w:color="000000" w:fill="EFEFF0"/>
            <w:vAlign w:val="center"/>
            <w:hideMark/>
          </w:tcPr>
          <w:p w:rsidR="00F64A0C" w:rsidRPr="00AC3C03" w:rsidRDefault="00F64A0C" w:rsidP="0003558E">
            <w:pPr>
              <w:spacing w:after="0" w:line="240" w:lineRule="auto"/>
              <w:jc w:val="right"/>
              <w:rPr>
                <w:rFonts w:ascii="Arial" w:eastAsia="Times New Roman" w:hAnsi="Arial" w:cs="Arial"/>
                <w:b/>
                <w:bCs/>
                <w:color w:val="000000"/>
                <w:sz w:val="18"/>
                <w:szCs w:val="18"/>
              </w:rPr>
            </w:pPr>
            <w:r w:rsidRPr="00AC3C03">
              <w:rPr>
                <w:rFonts w:ascii="Arial" w:eastAsia="Times New Roman" w:hAnsi="Arial" w:cs="Arial"/>
                <w:b/>
                <w:bCs/>
                <w:color w:val="000000"/>
                <w:sz w:val="18"/>
                <w:szCs w:val="18"/>
              </w:rPr>
              <w:t>Con experiencia</w:t>
            </w:r>
          </w:p>
        </w:tc>
        <w:tc>
          <w:tcPr>
            <w:tcW w:w="4536" w:type="dxa"/>
            <w:tcBorders>
              <w:top w:val="nil"/>
              <w:left w:val="nil"/>
              <w:bottom w:val="single" w:sz="4" w:space="0" w:color="C8C8C8"/>
              <w:right w:val="single" w:sz="4" w:space="0" w:color="888888"/>
            </w:tcBorders>
            <w:shd w:val="clear" w:color="000000" w:fill="EFEFF0"/>
            <w:vAlign w:val="center"/>
            <w:hideMark/>
          </w:tcPr>
          <w:p w:rsidR="00F64A0C" w:rsidRPr="00AC3C03" w:rsidRDefault="00F64A0C" w:rsidP="0003558E">
            <w:pPr>
              <w:spacing w:after="0" w:line="240" w:lineRule="auto"/>
              <w:jc w:val="right"/>
              <w:rPr>
                <w:rFonts w:ascii="Arial" w:eastAsia="Times New Roman" w:hAnsi="Arial" w:cs="Arial"/>
                <w:b/>
                <w:bCs/>
                <w:color w:val="000000"/>
                <w:sz w:val="18"/>
                <w:szCs w:val="18"/>
              </w:rPr>
            </w:pPr>
            <w:r w:rsidRPr="00AC3C03">
              <w:rPr>
                <w:rFonts w:ascii="Arial" w:eastAsia="Times New Roman" w:hAnsi="Arial" w:cs="Arial"/>
                <w:b/>
                <w:bCs/>
                <w:color w:val="000000"/>
                <w:sz w:val="18"/>
                <w:szCs w:val="18"/>
              </w:rPr>
              <w:t>Sin experiencia</w:t>
            </w:r>
          </w:p>
        </w:tc>
      </w:tr>
      <w:tr w:rsidR="00F64A0C" w:rsidRPr="00AC3C03" w:rsidTr="0003558E">
        <w:trPr>
          <w:trHeight w:val="300"/>
        </w:trPr>
        <w:tc>
          <w:tcPr>
            <w:tcW w:w="1200" w:type="dxa"/>
            <w:tcBorders>
              <w:top w:val="nil"/>
              <w:left w:val="nil"/>
              <w:bottom w:val="nil"/>
              <w:right w:val="nil"/>
            </w:tcBorders>
            <w:shd w:val="clear" w:color="000000" w:fill="FFFFFF"/>
            <w:noWrap/>
            <w:vAlign w:val="bottom"/>
            <w:hideMark/>
          </w:tcPr>
          <w:p w:rsidR="00F64A0C" w:rsidRPr="00AC3C03" w:rsidRDefault="00F64A0C" w:rsidP="0003558E">
            <w:pPr>
              <w:spacing w:after="0" w:line="240" w:lineRule="auto"/>
              <w:jc w:val="right"/>
              <w:rPr>
                <w:rFonts w:ascii="Arial" w:eastAsia="Times New Roman" w:hAnsi="Arial" w:cs="Arial"/>
                <w:color w:val="000000"/>
                <w:sz w:val="18"/>
                <w:szCs w:val="18"/>
              </w:rPr>
            </w:pPr>
            <w:r w:rsidRPr="00AC3C03">
              <w:rPr>
                <w:rFonts w:ascii="Arial" w:eastAsia="Times New Roman" w:hAnsi="Arial" w:cs="Arial"/>
                <w:color w:val="000000"/>
                <w:sz w:val="18"/>
                <w:szCs w:val="18"/>
              </w:rPr>
              <w:t>1</w:t>
            </w:r>
          </w:p>
        </w:tc>
        <w:tc>
          <w:tcPr>
            <w:tcW w:w="4202" w:type="dxa"/>
            <w:tcBorders>
              <w:top w:val="nil"/>
              <w:left w:val="nil"/>
              <w:bottom w:val="nil"/>
              <w:right w:val="nil"/>
            </w:tcBorders>
            <w:shd w:val="clear" w:color="auto" w:fill="auto"/>
            <w:noWrap/>
            <w:vAlign w:val="bottom"/>
            <w:hideMark/>
          </w:tcPr>
          <w:p w:rsidR="00F64A0C" w:rsidRPr="00AC3C03" w:rsidRDefault="00F64A0C" w:rsidP="0003558E">
            <w:pPr>
              <w:spacing w:after="0" w:line="240" w:lineRule="auto"/>
              <w:jc w:val="right"/>
              <w:rPr>
                <w:rFonts w:ascii="Calibri" w:eastAsia="Times New Roman" w:hAnsi="Calibri" w:cs="Times New Roman"/>
                <w:color w:val="000000"/>
              </w:rPr>
            </w:pPr>
            <w:r w:rsidRPr="00AC3C03">
              <w:rPr>
                <w:rFonts w:ascii="Calibri" w:eastAsia="Times New Roman" w:hAnsi="Calibri" w:cs="Times New Roman"/>
                <w:color w:val="000000"/>
              </w:rPr>
              <w:t>90.17%</w:t>
            </w:r>
          </w:p>
        </w:tc>
        <w:tc>
          <w:tcPr>
            <w:tcW w:w="4536" w:type="dxa"/>
            <w:tcBorders>
              <w:top w:val="nil"/>
              <w:left w:val="nil"/>
              <w:bottom w:val="nil"/>
              <w:right w:val="nil"/>
            </w:tcBorders>
            <w:shd w:val="clear" w:color="auto" w:fill="auto"/>
            <w:noWrap/>
            <w:vAlign w:val="bottom"/>
            <w:hideMark/>
          </w:tcPr>
          <w:p w:rsidR="00F64A0C" w:rsidRPr="00AC3C03" w:rsidRDefault="00F64A0C" w:rsidP="0003558E">
            <w:pPr>
              <w:spacing w:after="0" w:line="240" w:lineRule="auto"/>
              <w:jc w:val="right"/>
              <w:rPr>
                <w:rFonts w:ascii="Calibri" w:eastAsia="Times New Roman" w:hAnsi="Calibri" w:cs="Times New Roman"/>
                <w:color w:val="000000"/>
              </w:rPr>
            </w:pPr>
            <w:r w:rsidRPr="00AC3C03">
              <w:rPr>
                <w:rFonts w:ascii="Calibri" w:eastAsia="Times New Roman" w:hAnsi="Calibri" w:cs="Times New Roman"/>
                <w:color w:val="000000"/>
              </w:rPr>
              <w:t>9.83%</w:t>
            </w:r>
          </w:p>
        </w:tc>
      </w:tr>
    </w:tbl>
    <w:p w:rsidR="00F64A0C" w:rsidRDefault="00F64A0C" w:rsidP="00F64A0C">
      <w:pPr>
        <w:jc w:val="both"/>
        <w:rPr>
          <w:sz w:val="24"/>
        </w:rPr>
      </w:pPr>
    </w:p>
    <w:p w:rsidR="00F64A0C" w:rsidRDefault="00F64A0C" w:rsidP="00F64A0C">
      <w:pPr>
        <w:jc w:val="both"/>
        <w:rPr>
          <w:b/>
          <w:sz w:val="24"/>
        </w:rPr>
      </w:pPr>
      <w:r w:rsidRPr="00F64A0C">
        <w:rPr>
          <w:b/>
          <w:sz w:val="24"/>
        </w:rPr>
        <w:t>Delimitación</w:t>
      </w:r>
    </w:p>
    <w:p w:rsidR="00F64A0C" w:rsidRPr="00F64A0C" w:rsidRDefault="00F64A0C" w:rsidP="00F64A0C">
      <w:pPr>
        <w:jc w:val="both"/>
        <w:rPr>
          <w:b/>
          <w:sz w:val="24"/>
        </w:rPr>
      </w:pPr>
      <w:r>
        <w:rPr>
          <w:b/>
          <w:sz w:val="24"/>
        </w:rPr>
        <w:t>Y el punto central de nuestra investigación.</w:t>
      </w:r>
    </w:p>
    <w:p w:rsidR="00F64A0C" w:rsidRDefault="00F64A0C" w:rsidP="00F64A0C">
      <w:pPr>
        <w:pStyle w:val="Prrafodelista"/>
        <w:numPr>
          <w:ilvl w:val="0"/>
          <w:numId w:val="1"/>
        </w:numPr>
        <w:jc w:val="both"/>
        <w:rPr>
          <w:sz w:val="24"/>
        </w:rPr>
      </w:pPr>
      <w:r>
        <w:rPr>
          <w:sz w:val="24"/>
        </w:rPr>
        <w:t>México con educación de calidad.</w:t>
      </w:r>
    </w:p>
    <w:p w:rsidR="00F64A0C" w:rsidRDefault="00F64A0C" w:rsidP="00F64A0C">
      <w:pPr>
        <w:jc w:val="both"/>
      </w:pPr>
      <w:r>
        <w:t>“Para garantizar un desarrollo integral de todos los mexicanos y así contar con un capital humano preparado, que sea fuente de innovación y lleve a todos los estudiantes a su mayor potencial humano. Esta meta busca incrementar la calidad de la educación para que la población tenga las herramientas y escriba su propia historia de éxito.”</w:t>
      </w:r>
    </w:p>
    <w:p w:rsidR="00F64A0C" w:rsidRDefault="00F64A0C" w:rsidP="00F64A0C">
      <w:pPr>
        <w:jc w:val="both"/>
      </w:pPr>
      <w:r>
        <w:t xml:space="preserve">Este punto va muy ligado al anterior ya que la otra variable que afecta el nivel de desocupación en México es que la preparación que se da en las escuelas no es compatible con las exigencias en el mercado laboral, esto es como bien se menciona en el PND hay una brecha enorme entre lo aprendido y lo que el mundo demanda. </w:t>
      </w:r>
    </w:p>
    <w:p w:rsidR="00F64A0C" w:rsidRDefault="00F64A0C" w:rsidP="001D41FF">
      <w:pPr>
        <w:jc w:val="both"/>
      </w:pPr>
    </w:p>
    <w:p w:rsidR="00F64A0C" w:rsidRPr="00F64A0C" w:rsidRDefault="00F64A0C" w:rsidP="001D41FF">
      <w:pPr>
        <w:jc w:val="both"/>
        <w:rPr>
          <w:b/>
        </w:rPr>
      </w:pPr>
      <w:r w:rsidRPr="00F64A0C">
        <w:rPr>
          <w:b/>
        </w:rPr>
        <w:lastRenderedPageBreak/>
        <w:t>Desarrollo</w:t>
      </w:r>
    </w:p>
    <w:p w:rsidR="001D41FF" w:rsidRDefault="001D41FF" w:rsidP="001D41FF">
      <w:pPr>
        <w:jc w:val="both"/>
      </w:pPr>
      <w:r>
        <w:t>Según los resultados de la prueba PISA  México resulta menos competitivo en relación a países como Alemania, Australia, Austria y Bélgica los cuales ocupan los primeros lugares en el orden mencionado en cuanto a nivel educativo.</w:t>
      </w:r>
    </w:p>
    <w:p w:rsidR="001D41FF" w:rsidRPr="00FD490E" w:rsidRDefault="001D41FF" w:rsidP="001D41FF">
      <w:pPr>
        <w:jc w:val="center"/>
        <w:rPr>
          <w:sz w:val="24"/>
        </w:rPr>
      </w:pPr>
      <w:r>
        <w:rPr>
          <w:noProof/>
          <w:sz w:val="24"/>
        </w:rPr>
        <w:drawing>
          <wp:inline distT="0" distB="0" distL="0" distR="0">
            <wp:extent cx="5685760" cy="7886700"/>
            <wp:effectExtent l="1905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7"/>
                    <a:srcRect l="33709" t="13568" r="31312"/>
                    <a:stretch>
                      <a:fillRect/>
                    </a:stretch>
                  </pic:blipFill>
                  <pic:spPr bwMode="auto">
                    <a:xfrm>
                      <a:off x="0" y="0"/>
                      <a:ext cx="5687634" cy="7889300"/>
                    </a:xfrm>
                    <a:prstGeom prst="rect">
                      <a:avLst/>
                    </a:prstGeom>
                    <a:noFill/>
                    <a:ln w="9525">
                      <a:noFill/>
                      <a:miter lim="800000"/>
                      <a:headEnd/>
                      <a:tailEnd/>
                    </a:ln>
                  </pic:spPr>
                </pic:pic>
              </a:graphicData>
            </a:graphic>
          </wp:inline>
        </w:drawing>
      </w:r>
    </w:p>
    <w:p w:rsidR="001D41FF" w:rsidRDefault="001D41FF" w:rsidP="001D41FF">
      <w:pPr>
        <w:jc w:val="both"/>
        <w:rPr>
          <w:sz w:val="24"/>
        </w:rPr>
      </w:pPr>
    </w:p>
    <w:p w:rsidR="001D41FF" w:rsidRDefault="001D41FF" w:rsidP="001D41FF">
      <w:pPr>
        <w:jc w:val="both"/>
        <w:rPr>
          <w:sz w:val="24"/>
        </w:rPr>
      </w:pPr>
    </w:p>
    <w:p w:rsidR="00F64A0C" w:rsidRDefault="00F64A0C" w:rsidP="001D41FF">
      <w:pPr>
        <w:jc w:val="both"/>
        <w:rPr>
          <w:sz w:val="24"/>
        </w:rPr>
      </w:pPr>
    </w:p>
    <w:p w:rsidR="00F64A0C" w:rsidRDefault="00F64A0C" w:rsidP="001D41FF">
      <w:pPr>
        <w:jc w:val="both"/>
        <w:rPr>
          <w:sz w:val="24"/>
        </w:rPr>
      </w:pPr>
    </w:p>
    <w:p w:rsidR="001D41FF" w:rsidRDefault="001D41FF" w:rsidP="001D41FF">
      <w:pPr>
        <w:jc w:val="both"/>
        <w:rPr>
          <w:sz w:val="24"/>
        </w:rPr>
      </w:pPr>
      <w:r>
        <w:rPr>
          <w:sz w:val="24"/>
        </w:rPr>
        <w:t>Inclusive esta misma variable podemos observarla en los resultados de la prueba ENLACE, en la que desde el 2008 al 2014 las variables “INSUFICIENTE” y “ELEMENTAL” siguen siendo la gran mayoría, si bien es verdad que ha ido mejorando un poco las variables “BUENO” y “EXCELENTE” sigue siendo insuficiente(</w:t>
      </w:r>
      <w:proofErr w:type="spellStart"/>
      <w:r>
        <w:rPr>
          <w:sz w:val="24"/>
        </w:rPr>
        <w:t>veáse</w:t>
      </w:r>
      <w:proofErr w:type="spellEnd"/>
      <w:r>
        <w:rPr>
          <w:sz w:val="24"/>
        </w:rPr>
        <w:t xml:space="preserve"> comparativo de países en prueba PISA).</w:t>
      </w:r>
    </w:p>
    <w:p w:rsidR="001D41FF" w:rsidRDefault="001D41FF" w:rsidP="001D41FF">
      <w:pPr>
        <w:jc w:val="both"/>
        <w:rPr>
          <w:sz w:val="24"/>
        </w:rPr>
      </w:pPr>
    </w:p>
    <w:p w:rsidR="001D41FF" w:rsidRDefault="001D41FF" w:rsidP="001D41FF">
      <w:pPr>
        <w:jc w:val="center"/>
        <w:rPr>
          <w:sz w:val="24"/>
        </w:rPr>
      </w:pPr>
      <w:r w:rsidRPr="005A1CF5">
        <w:rPr>
          <w:noProof/>
          <w:sz w:val="24"/>
        </w:rPr>
        <w:drawing>
          <wp:inline distT="0" distB="0" distL="0" distR="0">
            <wp:extent cx="5612130" cy="2538095"/>
            <wp:effectExtent l="19050" t="0" r="26670" b="0"/>
            <wp:docPr id="8" name="Gráfico 3"/>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tbl>
      <w:tblPr>
        <w:tblW w:w="9116" w:type="dxa"/>
        <w:jc w:val="center"/>
        <w:tblInd w:w="55" w:type="dxa"/>
        <w:tblCellMar>
          <w:left w:w="70" w:type="dxa"/>
          <w:right w:w="70" w:type="dxa"/>
        </w:tblCellMar>
        <w:tblLook w:val="04A0"/>
      </w:tblPr>
      <w:tblGrid>
        <w:gridCol w:w="1530"/>
        <w:gridCol w:w="1153"/>
        <w:gridCol w:w="956"/>
        <w:gridCol w:w="1153"/>
        <w:gridCol w:w="1153"/>
        <w:gridCol w:w="1153"/>
        <w:gridCol w:w="1153"/>
        <w:gridCol w:w="865"/>
      </w:tblGrid>
      <w:tr w:rsidR="00F64A0C" w:rsidRPr="00F64A0C" w:rsidTr="0003558E">
        <w:trPr>
          <w:trHeight w:val="405"/>
          <w:jc w:val="center"/>
        </w:trPr>
        <w:tc>
          <w:tcPr>
            <w:tcW w:w="1530" w:type="dxa"/>
            <w:tcBorders>
              <w:top w:val="single" w:sz="4" w:space="0" w:color="FFFFFF"/>
              <w:left w:val="single" w:sz="12" w:space="0" w:color="FFFFFF"/>
              <w:bottom w:val="nil"/>
              <w:right w:val="single" w:sz="12" w:space="0" w:color="FFFFFF"/>
            </w:tcBorders>
            <w:shd w:val="clear" w:color="auto" w:fill="auto"/>
            <w:vAlign w:val="center"/>
            <w:hideMark/>
          </w:tcPr>
          <w:p w:rsidR="00F64A0C" w:rsidRPr="00F64A0C" w:rsidRDefault="00F64A0C" w:rsidP="00F64A0C">
            <w:pPr>
              <w:jc w:val="both"/>
              <w:rPr>
                <w:b/>
                <w:bCs/>
                <w:sz w:val="24"/>
              </w:rPr>
            </w:pPr>
            <w:r w:rsidRPr="00F64A0C">
              <w:rPr>
                <w:b/>
                <w:bCs/>
                <w:sz w:val="24"/>
              </w:rPr>
              <w:t> </w:t>
            </w:r>
          </w:p>
        </w:tc>
        <w:tc>
          <w:tcPr>
            <w:tcW w:w="7586" w:type="dxa"/>
            <w:gridSpan w:val="7"/>
            <w:tcBorders>
              <w:top w:val="nil"/>
              <w:left w:val="nil"/>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PORCENTAJE DE ALUMNOS DEL ÚLTIMO GRADO EN CADA NIVEL DE DOMINIO</w:t>
            </w:r>
          </w:p>
        </w:tc>
      </w:tr>
      <w:tr w:rsidR="00F64A0C" w:rsidRPr="00F64A0C" w:rsidTr="0003558E">
        <w:trPr>
          <w:trHeight w:val="285"/>
          <w:jc w:val="center"/>
        </w:trPr>
        <w:tc>
          <w:tcPr>
            <w:tcW w:w="1530" w:type="dxa"/>
            <w:tcBorders>
              <w:top w:val="single" w:sz="4" w:space="0" w:color="FFFFFF"/>
              <w:left w:val="single" w:sz="12" w:space="0" w:color="FFFFFF"/>
              <w:bottom w:val="nil"/>
              <w:right w:val="single" w:sz="12" w:space="0" w:color="FFFFFF"/>
            </w:tcBorders>
            <w:shd w:val="clear" w:color="000000" w:fill="FFCC00"/>
            <w:vAlign w:val="center"/>
            <w:hideMark/>
          </w:tcPr>
          <w:p w:rsidR="00F64A0C" w:rsidRPr="00F64A0C" w:rsidRDefault="00F64A0C" w:rsidP="00F64A0C">
            <w:pPr>
              <w:jc w:val="both"/>
              <w:rPr>
                <w:b/>
                <w:bCs/>
                <w:sz w:val="24"/>
              </w:rPr>
            </w:pPr>
            <w:r w:rsidRPr="00F64A0C">
              <w:rPr>
                <w:b/>
                <w:bCs/>
                <w:sz w:val="24"/>
              </w:rPr>
              <w:t>NIVEL DE DOMINIO</w:t>
            </w:r>
          </w:p>
        </w:tc>
        <w:tc>
          <w:tcPr>
            <w:tcW w:w="1153" w:type="dxa"/>
            <w:tcBorders>
              <w:top w:val="nil"/>
              <w:left w:val="nil"/>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2008</w:t>
            </w:r>
          </w:p>
        </w:tc>
        <w:tc>
          <w:tcPr>
            <w:tcW w:w="956"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2009</w:t>
            </w:r>
          </w:p>
        </w:tc>
        <w:tc>
          <w:tcPr>
            <w:tcW w:w="1153"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2010</w:t>
            </w:r>
          </w:p>
        </w:tc>
        <w:tc>
          <w:tcPr>
            <w:tcW w:w="1153"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2011</w:t>
            </w:r>
          </w:p>
        </w:tc>
        <w:tc>
          <w:tcPr>
            <w:tcW w:w="1153"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2012</w:t>
            </w:r>
          </w:p>
        </w:tc>
        <w:tc>
          <w:tcPr>
            <w:tcW w:w="1153"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2013</w:t>
            </w:r>
          </w:p>
        </w:tc>
        <w:tc>
          <w:tcPr>
            <w:tcW w:w="865"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2014</w:t>
            </w:r>
          </w:p>
        </w:tc>
      </w:tr>
      <w:tr w:rsidR="00F64A0C" w:rsidRPr="00F64A0C" w:rsidTr="0003558E">
        <w:trPr>
          <w:trHeight w:val="540"/>
          <w:jc w:val="center"/>
        </w:trPr>
        <w:tc>
          <w:tcPr>
            <w:tcW w:w="1530" w:type="dxa"/>
            <w:tcBorders>
              <w:top w:val="single" w:sz="12" w:space="0" w:color="FFFFFF"/>
              <w:left w:val="single" w:sz="12" w:space="0" w:color="FFFFFF"/>
              <w:bottom w:val="single" w:sz="12" w:space="0" w:color="FFFFFF"/>
              <w:right w:val="nil"/>
            </w:tcBorders>
            <w:shd w:val="clear" w:color="000000" w:fill="FF9999"/>
            <w:vAlign w:val="center"/>
            <w:hideMark/>
          </w:tcPr>
          <w:p w:rsidR="00F64A0C" w:rsidRPr="00F64A0C" w:rsidRDefault="00F64A0C" w:rsidP="00F64A0C">
            <w:pPr>
              <w:jc w:val="both"/>
              <w:rPr>
                <w:b/>
                <w:bCs/>
                <w:sz w:val="24"/>
              </w:rPr>
            </w:pPr>
            <w:r w:rsidRPr="00F64A0C">
              <w:rPr>
                <w:b/>
                <w:bCs/>
                <w:sz w:val="24"/>
              </w:rPr>
              <w:t>INSUFICIENTE</w:t>
            </w:r>
          </w:p>
        </w:tc>
        <w:tc>
          <w:tcPr>
            <w:tcW w:w="1153" w:type="dxa"/>
            <w:tcBorders>
              <w:top w:val="nil"/>
              <w:left w:val="single" w:sz="12" w:space="0" w:color="FFFFFF"/>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46.5</w:t>
            </w:r>
          </w:p>
        </w:tc>
        <w:tc>
          <w:tcPr>
            <w:tcW w:w="956"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46.1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40.6</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35.1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30.1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28.3</w:t>
            </w:r>
          </w:p>
        </w:tc>
        <w:tc>
          <w:tcPr>
            <w:tcW w:w="865"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26.6</w:t>
            </w:r>
          </w:p>
        </w:tc>
      </w:tr>
      <w:tr w:rsidR="00F64A0C" w:rsidRPr="00F64A0C" w:rsidTr="0003558E">
        <w:trPr>
          <w:trHeight w:val="540"/>
          <w:jc w:val="center"/>
        </w:trPr>
        <w:tc>
          <w:tcPr>
            <w:tcW w:w="1530" w:type="dxa"/>
            <w:tcBorders>
              <w:top w:val="nil"/>
              <w:left w:val="single" w:sz="12" w:space="0" w:color="FFFFFF"/>
              <w:bottom w:val="single" w:sz="12" w:space="0" w:color="FFFFFF"/>
              <w:right w:val="nil"/>
            </w:tcBorders>
            <w:shd w:val="clear" w:color="000000" w:fill="FFFF99"/>
            <w:vAlign w:val="center"/>
            <w:hideMark/>
          </w:tcPr>
          <w:p w:rsidR="00F64A0C" w:rsidRPr="00F64A0C" w:rsidRDefault="00F64A0C" w:rsidP="00F64A0C">
            <w:pPr>
              <w:jc w:val="both"/>
              <w:rPr>
                <w:b/>
                <w:bCs/>
                <w:sz w:val="24"/>
              </w:rPr>
            </w:pPr>
            <w:r w:rsidRPr="00F64A0C">
              <w:rPr>
                <w:b/>
                <w:bCs/>
                <w:sz w:val="24"/>
              </w:rPr>
              <w:t>ELEMENTAL</w:t>
            </w:r>
          </w:p>
        </w:tc>
        <w:tc>
          <w:tcPr>
            <w:tcW w:w="1153" w:type="dxa"/>
            <w:tcBorders>
              <w:top w:val="nil"/>
              <w:left w:val="single" w:sz="12" w:space="0" w:color="FFFFFF"/>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37.8</w:t>
            </w:r>
          </w:p>
        </w:tc>
        <w:tc>
          <w:tcPr>
            <w:tcW w:w="956"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35.1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39.1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40.2</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39.1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35.4</w:t>
            </w:r>
          </w:p>
        </w:tc>
        <w:tc>
          <w:tcPr>
            <w:tcW w:w="865"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34.1</w:t>
            </w:r>
          </w:p>
        </w:tc>
      </w:tr>
      <w:tr w:rsidR="00F64A0C" w:rsidRPr="00F64A0C" w:rsidTr="0003558E">
        <w:trPr>
          <w:trHeight w:val="330"/>
          <w:jc w:val="center"/>
        </w:trPr>
        <w:tc>
          <w:tcPr>
            <w:tcW w:w="1530" w:type="dxa"/>
            <w:tcBorders>
              <w:top w:val="nil"/>
              <w:left w:val="single" w:sz="12" w:space="0" w:color="FFFFFF"/>
              <w:bottom w:val="single" w:sz="12" w:space="0" w:color="FFFFFF"/>
              <w:right w:val="nil"/>
            </w:tcBorders>
            <w:shd w:val="clear" w:color="000000" w:fill="CCFF99"/>
            <w:vAlign w:val="center"/>
            <w:hideMark/>
          </w:tcPr>
          <w:p w:rsidR="00F64A0C" w:rsidRPr="00F64A0C" w:rsidRDefault="00F64A0C" w:rsidP="00F64A0C">
            <w:pPr>
              <w:jc w:val="both"/>
              <w:rPr>
                <w:b/>
                <w:bCs/>
                <w:sz w:val="24"/>
              </w:rPr>
            </w:pPr>
            <w:r w:rsidRPr="00F64A0C">
              <w:rPr>
                <w:b/>
                <w:bCs/>
                <w:sz w:val="24"/>
              </w:rPr>
              <w:t>BUENO</w:t>
            </w:r>
          </w:p>
        </w:tc>
        <w:tc>
          <w:tcPr>
            <w:tcW w:w="1153" w:type="dxa"/>
            <w:tcBorders>
              <w:top w:val="nil"/>
              <w:left w:val="single" w:sz="12" w:space="0" w:color="FFFFFF"/>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12.2</w:t>
            </w:r>
          </w:p>
        </w:tc>
        <w:tc>
          <w:tcPr>
            <w:tcW w:w="956"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13.9</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15.1</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16.7</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19.2</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20.2</w:t>
            </w:r>
          </w:p>
        </w:tc>
        <w:tc>
          <w:tcPr>
            <w:tcW w:w="865"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20.0</w:t>
            </w:r>
          </w:p>
        </w:tc>
      </w:tr>
      <w:tr w:rsidR="00F64A0C" w:rsidRPr="00F64A0C" w:rsidTr="0003558E">
        <w:trPr>
          <w:trHeight w:val="540"/>
          <w:jc w:val="center"/>
        </w:trPr>
        <w:tc>
          <w:tcPr>
            <w:tcW w:w="1530" w:type="dxa"/>
            <w:tcBorders>
              <w:top w:val="nil"/>
              <w:left w:val="single" w:sz="12" w:space="0" w:color="FFFFFF"/>
              <w:bottom w:val="single" w:sz="12" w:space="0" w:color="FFFFFF"/>
              <w:right w:val="nil"/>
            </w:tcBorders>
            <w:shd w:val="clear" w:color="000000" w:fill="99FF99"/>
            <w:vAlign w:val="center"/>
            <w:hideMark/>
          </w:tcPr>
          <w:p w:rsidR="00F64A0C" w:rsidRPr="00F64A0C" w:rsidRDefault="00F64A0C" w:rsidP="00F64A0C">
            <w:pPr>
              <w:jc w:val="both"/>
              <w:rPr>
                <w:b/>
                <w:bCs/>
                <w:sz w:val="24"/>
              </w:rPr>
            </w:pPr>
            <w:r w:rsidRPr="00F64A0C">
              <w:rPr>
                <w:b/>
                <w:bCs/>
                <w:sz w:val="24"/>
              </w:rPr>
              <w:t>EXCELENTE</w:t>
            </w:r>
          </w:p>
        </w:tc>
        <w:tc>
          <w:tcPr>
            <w:tcW w:w="1153" w:type="dxa"/>
            <w:tcBorders>
              <w:top w:val="nil"/>
              <w:left w:val="single" w:sz="12" w:space="0" w:color="FFFFFF"/>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3.4</w:t>
            </w:r>
          </w:p>
        </w:tc>
        <w:tc>
          <w:tcPr>
            <w:tcW w:w="956"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4.8</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5.3</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8.0</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11.6</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16.1</w:t>
            </w:r>
          </w:p>
        </w:tc>
        <w:tc>
          <w:tcPr>
            <w:tcW w:w="865"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19.4</w:t>
            </w:r>
          </w:p>
        </w:tc>
      </w:tr>
      <w:tr w:rsidR="00F64A0C" w:rsidRPr="00F64A0C" w:rsidTr="0003558E">
        <w:trPr>
          <w:trHeight w:val="330"/>
          <w:jc w:val="center"/>
        </w:trPr>
        <w:tc>
          <w:tcPr>
            <w:tcW w:w="1530" w:type="dxa"/>
            <w:tcBorders>
              <w:top w:val="nil"/>
              <w:left w:val="single" w:sz="12" w:space="0" w:color="FFFFFF"/>
              <w:bottom w:val="single" w:sz="12" w:space="0" w:color="FFFFFF"/>
              <w:right w:val="nil"/>
            </w:tcBorders>
            <w:shd w:val="clear" w:color="000000" w:fill="FFCC99"/>
            <w:vAlign w:val="center"/>
            <w:hideMark/>
          </w:tcPr>
          <w:p w:rsidR="00F64A0C" w:rsidRPr="00F64A0C" w:rsidRDefault="00F64A0C" w:rsidP="00F64A0C">
            <w:pPr>
              <w:jc w:val="both"/>
              <w:rPr>
                <w:b/>
                <w:bCs/>
                <w:sz w:val="24"/>
              </w:rPr>
            </w:pPr>
            <w:r w:rsidRPr="00F64A0C">
              <w:rPr>
                <w:b/>
                <w:bCs/>
                <w:sz w:val="24"/>
              </w:rPr>
              <w:t>TOTAL</w:t>
            </w:r>
          </w:p>
        </w:tc>
        <w:tc>
          <w:tcPr>
            <w:tcW w:w="1153" w:type="dxa"/>
            <w:tcBorders>
              <w:top w:val="nil"/>
              <w:left w:val="single" w:sz="12" w:space="0" w:color="FFFFFF"/>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956"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1153"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c>
          <w:tcPr>
            <w:tcW w:w="865" w:type="dxa"/>
            <w:tcBorders>
              <w:top w:val="nil"/>
              <w:left w:val="nil"/>
              <w:bottom w:val="single" w:sz="12" w:space="0" w:color="FFFFFF"/>
              <w:right w:val="single" w:sz="12" w:space="0" w:color="FFFFFF"/>
            </w:tcBorders>
            <w:shd w:val="clear" w:color="000000" w:fill="FFFFCC"/>
            <w:vAlign w:val="center"/>
            <w:hideMark/>
          </w:tcPr>
          <w:p w:rsidR="00F64A0C" w:rsidRPr="00F64A0C" w:rsidRDefault="00F64A0C" w:rsidP="00F64A0C">
            <w:pPr>
              <w:jc w:val="both"/>
              <w:rPr>
                <w:b/>
                <w:bCs/>
                <w:sz w:val="24"/>
              </w:rPr>
            </w:pPr>
            <w:r w:rsidRPr="00F64A0C">
              <w:rPr>
                <w:b/>
                <w:bCs/>
                <w:sz w:val="24"/>
              </w:rPr>
              <w:t>100.0</w:t>
            </w:r>
          </w:p>
        </w:tc>
      </w:tr>
    </w:tbl>
    <w:p w:rsidR="001D41FF" w:rsidRDefault="001D41FF" w:rsidP="001D41FF">
      <w:pPr>
        <w:jc w:val="both"/>
        <w:rPr>
          <w:sz w:val="24"/>
        </w:rPr>
      </w:pPr>
    </w:p>
    <w:p w:rsidR="001D41FF" w:rsidRDefault="001D41FF" w:rsidP="001D41FF">
      <w:pPr>
        <w:jc w:val="both"/>
        <w:rPr>
          <w:sz w:val="24"/>
        </w:rPr>
      </w:pPr>
      <w:r>
        <w:rPr>
          <w:sz w:val="24"/>
        </w:rPr>
        <w:t>Bien, ya tenemos claro que en México el nivel de educación no es como se esperaría, pero ¿Por qué es tan importante?; aclarémoslo, un país con más calidad en la educación, no solo es más productivo sino que será cuna de proyectos más ambiciosos, atrae más inversión extranjera pues estarán seguros de que su dinero será multiplicado por una nación experta y preparada con una visión más internacionalizada de los negocios.</w:t>
      </w:r>
    </w:p>
    <w:p w:rsidR="001D41FF" w:rsidRDefault="001D41FF" w:rsidP="001D41FF">
      <w:pPr>
        <w:jc w:val="both"/>
        <w:rPr>
          <w:sz w:val="24"/>
        </w:rPr>
      </w:pPr>
      <w:r>
        <w:rPr>
          <w:sz w:val="24"/>
        </w:rPr>
        <w:lastRenderedPageBreak/>
        <w:t>Desde los años 90 Estados Unidos fue la primera potencia mundial, esto debido a que genera más de una cuarta parte de la producción global y consume casi una cuarta parte de los recursos energéticos del planeta, posee un tercio de las reservas mundiales de carbón, la mitad de las de gas natural y una sexta parte de las del petróleo, pero cuál es la clave de su éxito, la calidad educativa.</w:t>
      </w:r>
    </w:p>
    <w:p w:rsidR="001D41FF" w:rsidRDefault="001D41FF" w:rsidP="001D41FF">
      <w:pPr>
        <w:jc w:val="both"/>
        <w:rPr>
          <w:sz w:val="24"/>
        </w:rPr>
      </w:pPr>
      <w:r w:rsidRPr="00166B6F">
        <w:rPr>
          <w:sz w:val="24"/>
        </w:rPr>
        <w:t xml:space="preserve">De acuerdo al </w:t>
      </w:r>
      <w:proofErr w:type="spellStart"/>
      <w:r w:rsidRPr="00166B6F">
        <w:rPr>
          <w:sz w:val="24"/>
        </w:rPr>
        <w:t>academic</w:t>
      </w:r>
      <w:proofErr w:type="spellEnd"/>
      <w:r w:rsidRPr="00166B6F">
        <w:rPr>
          <w:sz w:val="24"/>
        </w:rPr>
        <w:t xml:space="preserve"> ranking of </w:t>
      </w:r>
      <w:proofErr w:type="spellStart"/>
      <w:r w:rsidRPr="00166B6F">
        <w:rPr>
          <w:sz w:val="24"/>
        </w:rPr>
        <w:t>world</w:t>
      </w:r>
      <w:proofErr w:type="spellEnd"/>
      <w:r>
        <w:rPr>
          <w:sz w:val="24"/>
        </w:rPr>
        <w:t xml:space="preserve"> </w:t>
      </w:r>
      <w:proofErr w:type="spellStart"/>
      <w:r w:rsidRPr="00166B6F">
        <w:rPr>
          <w:sz w:val="24"/>
        </w:rPr>
        <w:t>universities</w:t>
      </w:r>
      <w:proofErr w:type="spellEnd"/>
      <w:r>
        <w:rPr>
          <w:sz w:val="24"/>
        </w:rPr>
        <w:t xml:space="preserve"> las mejores 4</w:t>
      </w:r>
      <w:r w:rsidRPr="00166B6F">
        <w:rPr>
          <w:sz w:val="24"/>
        </w:rPr>
        <w:t xml:space="preserve"> universidades del mundo se encuentran precisamente en el vecino p</w:t>
      </w:r>
      <w:r>
        <w:rPr>
          <w:sz w:val="24"/>
        </w:rPr>
        <w:t>aís Estados Unidos.</w:t>
      </w:r>
    </w:p>
    <w:p w:rsidR="001D41FF" w:rsidRDefault="001D41FF" w:rsidP="001D41FF">
      <w:pPr>
        <w:jc w:val="both"/>
        <w:rPr>
          <w:sz w:val="24"/>
        </w:rPr>
      </w:pPr>
      <w:r>
        <w:rPr>
          <w:sz w:val="24"/>
        </w:rPr>
        <w:t xml:space="preserve">Esta es el arma que ha permitido a Estados Unidos permanecer por tanto tiempo como potencia mundial ya que teniendo la mejor calidad de la educación en el mundo tiene acceso a </w:t>
      </w:r>
      <w:r w:rsidRPr="00166B6F">
        <w:rPr>
          <w:sz w:val="24"/>
        </w:rPr>
        <w:t>innovación tecnológica</w:t>
      </w:r>
      <w:r>
        <w:rPr>
          <w:sz w:val="24"/>
        </w:rPr>
        <w:t xml:space="preserve">, </w:t>
      </w:r>
      <w:r w:rsidRPr="00166B6F">
        <w:rPr>
          <w:sz w:val="24"/>
        </w:rPr>
        <w:t>modernas técnicas de explotación</w:t>
      </w:r>
      <w:r>
        <w:rPr>
          <w:sz w:val="24"/>
        </w:rPr>
        <w:t>, i</w:t>
      </w:r>
      <w:r w:rsidRPr="00166B6F">
        <w:rPr>
          <w:sz w:val="24"/>
        </w:rPr>
        <w:t>ntensa mecanización</w:t>
      </w:r>
      <w:r>
        <w:rPr>
          <w:sz w:val="24"/>
        </w:rPr>
        <w:t xml:space="preserve">, en este país se halla la mayor concentración de </w:t>
      </w:r>
      <w:r w:rsidRPr="00166B6F">
        <w:rPr>
          <w:sz w:val="24"/>
        </w:rPr>
        <w:t>industrias dedicadas a la alta tecnología</w:t>
      </w:r>
      <w:r w:rsidR="006C0526">
        <w:rPr>
          <w:sz w:val="24"/>
        </w:rPr>
        <w:t xml:space="preserve"> </w:t>
      </w:r>
      <w:r w:rsidRPr="00166B6F">
        <w:rPr>
          <w:sz w:val="24"/>
        </w:rPr>
        <w:t>(electrónica, informática, biotecnología...)</w:t>
      </w:r>
      <w:r>
        <w:rPr>
          <w:sz w:val="24"/>
        </w:rPr>
        <w:t xml:space="preserve"> y el sector terciario genera aproximadamente el 75% del PIB.</w:t>
      </w:r>
    </w:p>
    <w:p w:rsidR="001D41FF" w:rsidRDefault="001D41FF" w:rsidP="001D41FF">
      <w:pPr>
        <w:jc w:val="center"/>
        <w:rPr>
          <w:sz w:val="24"/>
        </w:rPr>
      </w:pPr>
      <w:r>
        <w:rPr>
          <w:noProof/>
          <w:sz w:val="24"/>
        </w:rPr>
        <w:drawing>
          <wp:inline distT="0" distB="0" distL="0" distR="0">
            <wp:extent cx="5381625" cy="3124200"/>
            <wp:effectExtent l="19050" t="0" r="952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a:srcRect l="13117" t="12563" r="36953" b="15829"/>
                    <a:stretch>
                      <a:fillRect/>
                    </a:stretch>
                  </pic:blipFill>
                  <pic:spPr bwMode="auto">
                    <a:xfrm>
                      <a:off x="0" y="0"/>
                      <a:ext cx="5381625" cy="3124200"/>
                    </a:xfrm>
                    <a:prstGeom prst="rect">
                      <a:avLst/>
                    </a:prstGeom>
                    <a:noFill/>
                    <a:ln w="9525">
                      <a:noFill/>
                      <a:miter lim="800000"/>
                      <a:headEnd/>
                      <a:tailEnd/>
                    </a:ln>
                  </pic:spPr>
                </pic:pic>
              </a:graphicData>
            </a:graphic>
          </wp:inline>
        </w:drawing>
      </w:r>
    </w:p>
    <w:p w:rsidR="001D41FF" w:rsidRDefault="001D41FF" w:rsidP="001D41FF">
      <w:pPr>
        <w:jc w:val="both"/>
        <w:rPr>
          <w:sz w:val="24"/>
        </w:rPr>
      </w:pPr>
    </w:p>
    <w:p w:rsidR="001D41FF" w:rsidRDefault="001D41FF" w:rsidP="001D41FF">
      <w:pPr>
        <w:jc w:val="both"/>
        <w:rPr>
          <w:rFonts w:ascii="Arial" w:hAnsi="Arial" w:cs="Arial"/>
          <w:iCs/>
          <w:color w:val="252525"/>
          <w:sz w:val="26"/>
          <w:szCs w:val="26"/>
          <w:shd w:val="clear" w:color="auto" w:fill="FFFFFF"/>
        </w:rPr>
      </w:pPr>
      <w:r>
        <w:rPr>
          <w:sz w:val="24"/>
        </w:rPr>
        <w:t xml:space="preserve">Según el </w:t>
      </w:r>
      <w:r>
        <w:rPr>
          <w:rFonts w:ascii="Arial" w:hAnsi="Arial" w:cs="Arial"/>
          <w:i/>
          <w:iCs/>
          <w:color w:val="252525"/>
          <w:sz w:val="26"/>
          <w:szCs w:val="26"/>
          <w:shd w:val="clear" w:color="auto" w:fill="FFFFFF"/>
        </w:rPr>
        <w:t xml:space="preserve">Global </w:t>
      </w:r>
      <w:proofErr w:type="spellStart"/>
      <w:r>
        <w:rPr>
          <w:rFonts w:ascii="Arial" w:hAnsi="Arial" w:cs="Arial"/>
          <w:i/>
          <w:iCs/>
          <w:color w:val="252525"/>
          <w:sz w:val="26"/>
          <w:szCs w:val="26"/>
          <w:shd w:val="clear" w:color="auto" w:fill="FFFFFF"/>
        </w:rPr>
        <w:t>EuropeAnticipatiónBulletin</w:t>
      </w:r>
      <w:proofErr w:type="spellEnd"/>
      <w:r>
        <w:rPr>
          <w:rFonts w:ascii="Arial" w:hAnsi="Arial" w:cs="Arial"/>
          <w:i/>
          <w:iCs/>
          <w:color w:val="252525"/>
          <w:sz w:val="26"/>
          <w:szCs w:val="26"/>
          <w:shd w:val="clear" w:color="auto" w:fill="FFFFFF"/>
        </w:rPr>
        <w:t xml:space="preserve"> N°88 </w:t>
      </w:r>
      <w:r w:rsidRPr="00D74924">
        <w:rPr>
          <w:sz w:val="24"/>
        </w:rPr>
        <w:t xml:space="preserve">Estados Unidos solo ha sido superado por </w:t>
      </w:r>
      <w:proofErr w:type="spellStart"/>
      <w:r w:rsidRPr="00D74924">
        <w:rPr>
          <w:sz w:val="24"/>
        </w:rPr>
        <w:t>China</w:t>
      </w:r>
      <w:r>
        <w:rPr>
          <w:rFonts w:ascii="Arial" w:hAnsi="Arial" w:cs="Arial"/>
          <w:iCs/>
          <w:color w:val="252525"/>
          <w:sz w:val="26"/>
          <w:szCs w:val="26"/>
          <w:shd w:val="clear" w:color="auto" w:fill="FFFFFF"/>
        </w:rPr>
        <w:t>quienes</w:t>
      </w:r>
      <w:proofErr w:type="spellEnd"/>
      <w:r>
        <w:rPr>
          <w:rFonts w:ascii="Arial" w:hAnsi="Arial" w:cs="Arial"/>
          <w:iCs/>
          <w:color w:val="252525"/>
          <w:sz w:val="26"/>
          <w:szCs w:val="26"/>
          <w:shd w:val="clear" w:color="auto" w:fill="FFFFFF"/>
        </w:rPr>
        <w:t xml:space="preserve"> según el portal informativo del Tecnológico de Monterrey, el principal pilar para el desarrollo de China es la educación, pues se apuesta por una formación integral en donde tienen una gran carga de trabajo, disciplina, matemáticas y memorización, tan relevantes como la educación deportiva y artística. Cabe citar este comentario hecho por un visitante chino en conferencia en el Tecnológico de Monterrey:</w:t>
      </w:r>
    </w:p>
    <w:p w:rsidR="001D41FF" w:rsidRDefault="001D41FF" w:rsidP="001D41FF">
      <w:pPr>
        <w:jc w:val="both"/>
        <w:rPr>
          <w:rFonts w:ascii="Arial" w:hAnsi="Arial" w:cs="Arial"/>
          <w:color w:val="000000"/>
          <w:sz w:val="20"/>
          <w:szCs w:val="20"/>
        </w:rPr>
      </w:pPr>
      <w:r>
        <w:rPr>
          <w:rFonts w:ascii="Arial" w:hAnsi="Arial" w:cs="Arial"/>
          <w:iCs/>
          <w:color w:val="252525"/>
          <w:sz w:val="26"/>
          <w:szCs w:val="26"/>
          <w:shd w:val="clear" w:color="auto" w:fill="FFFFFF"/>
        </w:rPr>
        <w:t>“…</w:t>
      </w:r>
      <w:r w:rsidRPr="00C85A09">
        <w:rPr>
          <w:rFonts w:ascii="Arial" w:hAnsi="Arial" w:cs="Arial"/>
          <w:i/>
          <w:color w:val="000000"/>
          <w:sz w:val="20"/>
          <w:szCs w:val="20"/>
        </w:rPr>
        <w:t>La cultura Mexicana es muy diferente a la china, el eslogan de los mexicanos es "disfruta la vida" y el de los chinos es "trabaja duro</w:t>
      </w:r>
      <w:proofErr w:type="gramStart"/>
      <w:r w:rsidRPr="00C85A09">
        <w:rPr>
          <w:rFonts w:ascii="Arial" w:hAnsi="Arial" w:cs="Arial"/>
          <w:i/>
          <w:color w:val="000000"/>
          <w:sz w:val="20"/>
          <w:szCs w:val="20"/>
        </w:rPr>
        <w:t>" ...</w:t>
      </w:r>
      <w:proofErr w:type="gramEnd"/>
      <w:r w:rsidRPr="00C85A09">
        <w:rPr>
          <w:rFonts w:ascii="Arial" w:hAnsi="Arial" w:cs="Arial"/>
          <w:i/>
          <w:color w:val="000000"/>
          <w:sz w:val="20"/>
          <w:szCs w:val="20"/>
        </w:rPr>
        <w:t>los chinos pensamos a largo plazo y los mexicanos se enfocan en el presente, tal vez esta sea la razón de que los mexicanos sean más optimistas que los chinos. Pienso que si los chinos pensaran un poco más como los mexicanos miraríamos al mundo más amable y si los mexicanos pensaran un poco más como los chinos, tendrían más motivación para trabajar por un mundo mejor…</w:t>
      </w:r>
      <w:r>
        <w:rPr>
          <w:rFonts w:ascii="Arial" w:hAnsi="Arial" w:cs="Arial"/>
          <w:color w:val="000000"/>
          <w:sz w:val="20"/>
          <w:szCs w:val="20"/>
        </w:rPr>
        <w:t>”</w:t>
      </w:r>
    </w:p>
    <w:p w:rsidR="00F64A0C" w:rsidRDefault="00F64A0C" w:rsidP="001D41FF">
      <w:pPr>
        <w:jc w:val="both"/>
        <w:rPr>
          <w:rFonts w:ascii="Arial" w:hAnsi="Arial" w:cs="Arial"/>
          <w:b/>
          <w:color w:val="000000"/>
          <w:sz w:val="20"/>
          <w:szCs w:val="20"/>
        </w:rPr>
      </w:pPr>
    </w:p>
    <w:p w:rsidR="00F64A0C" w:rsidRDefault="00F64A0C" w:rsidP="001D41FF">
      <w:pPr>
        <w:jc w:val="both"/>
        <w:rPr>
          <w:rFonts w:ascii="Arial" w:hAnsi="Arial" w:cs="Arial"/>
          <w:b/>
          <w:color w:val="000000"/>
          <w:sz w:val="20"/>
          <w:szCs w:val="20"/>
        </w:rPr>
      </w:pPr>
    </w:p>
    <w:p w:rsidR="00F64A0C" w:rsidRDefault="00F64A0C" w:rsidP="001D41FF">
      <w:pPr>
        <w:jc w:val="both"/>
        <w:rPr>
          <w:rFonts w:ascii="Arial" w:hAnsi="Arial" w:cs="Arial"/>
          <w:b/>
          <w:color w:val="000000"/>
          <w:sz w:val="20"/>
          <w:szCs w:val="20"/>
        </w:rPr>
      </w:pPr>
    </w:p>
    <w:p w:rsidR="00F64A0C" w:rsidRDefault="00F64A0C" w:rsidP="001D41FF">
      <w:pPr>
        <w:jc w:val="both"/>
        <w:rPr>
          <w:rFonts w:ascii="Arial" w:hAnsi="Arial" w:cs="Arial"/>
          <w:b/>
          <w:color w:val="000000"/>
          <w:sz w:val="20"/>
          <w:szCs w:val="20"/>
        </w:rPr>
      </w:pPr>
    </w:p>
    <w:p w:rsidR="00F64A0C" w:rsidRDefault="00F64A0C" w:rsidP="001D41FF">
      <w:pPr>
        <w:jc w:val="both"/>
        <w:rPr>
          <w:rFonts w:ascii="Arial" w:hAnsi="Arial" w:cs="Arial"/>
          <w:b/>
          <w:color w:val="000000"/>
          <w:sz w:val="20"/>
          <w:szCs w:val="20"/>
        </w:rPr>
      </w:pPr>
    </w:p>
    <w:p w:rsidR="00F64A0C" w:rsidRPr="00F64A0C" w:rsidRDefault="00F64A0C" w:rsidP="001D41FF">
      <w:pPr>
        <w:jc w:val="both"/>
        <w:rPr>
          <w:rFonts w:ascii="Arial" w:hAnsi="Arial" w:cs="Arial"/>
          <w:b/>
          <w:color w:val="000000"/>
          <w:sz w:val="20"/>
          <w:szCs w:val="20"/>
        </w:rPr>
      </w:pPr>
      <w:r w:rsidRPr="00F64A0C">
        <w:rPr>
          <w:rFonts w:ascii="Arial" w:hAnsi="Arial" w:cs="Arial"/>
          <w:b/>
          <w:color w:val="000000"/>
          <w:sz w:val="20"/>
          <w:szCs w:val="20"/>
        </w:rPr>
        <w:t>Conclusión</w:t>
      </w:r>
    </w:p>
    <w:p w:rsidR="001D41FF" w:rsidRDefault="001D41FF" w:rsidP="001D41FF">
      <w:pPr>
        <w:jc w:val="both"/>
        <w:rPr>
          <w:sz w:val="24"/>
        </w:rPr>
      </w:pPr>
      <w:r>
        <w:rPr>
          <w:sz w:val="24"/>
        </w:rPr>
        <w:t xml:space="preserve">Con base en lo anterior afirmo que el mejor método para el desarrollo de México es invertir más tiempo, dinero y esfuerzo en la calidad y oferta educativa, si bien el gobierno está ya tomando el tema de la educación mucho más en serio con el apoyo de “prepa en línea” y UNADM; los cuales dan oportunidad a los mexicanos a acceder a una educación de calidad de manera flexible; es bien sabido que no ha sido suficiente, habría que dar más difusión de ambos proyectos para que todos tengan acceso a  estas </w:t>
      </w:r>
      <w:proofErr w:type="gramStart"/>
      <w:r>
        <w:rPr>
          <w:sz w:val="24"/>
        </w:rPr>
        <w:t>modalidades</w:t>
      </w:r>
      <w:proofErr w:type="gramEnd"/>
      <w:r>
        <w:rPr>
          <w:sz w:val="24"/>
        </w:rPr>
        <w:t>, también es importante no solo dejar en manos del estado mexicano la responsabilidad total en cuanto a la inversión en la educación, sino también el sector empresarial comenzar con la inversión en la educación continua del personal que tienen en sus empresas ya que esto les brindará por un lado recurso humano más competitivo y satisfecho, por otro lado será una empresa con mayor valor agregado.</w:t>
      </w:r>
    </w:p>
    <w:p w:rsidR="001D41FF" w:rsidRDefault="001D41FF" w:rsidP="001D41FF">
      <w:pPr>
        <w:jc w:val="both"/>
        <w:rPr>
          <w:sz w:val="24"/>
        </w:rPr>
      </w:pPr>
      <w:r>
        <w:rPr>
          <w:sz w:val="24"/>
        </w:rPr>
        <w:t>Las empresas en México deberían tomar la formación de los empleados no como un gasto sino como una inversión, es importante que la información sea práctica y directamente aplicable a las actividades diarias de la empresa, es importante que los empleados no solo cuenten con las herramientas de última tecnología sino que sepan sacarle el mayor partido posible, aquí aplica como en la escuela clásica el empleado estará interesado en el bien individual que será el probable aumento salarial que pueda percibir si aumenta si efectividad pero al velar por su bien individual converge en el bien común pues mejorando su productividad la empresa generará más ganancia y será más competitiva frente a las grandes trasnacionales, y nuevamente se aplica el modelo clásico, las empresas invertirán en la educación de los empleados por su propio beneficio, pero nuevamente converge en un bien común para todo el país.</w:t>
      </w:r>
    </w:p>
    <w:p w:rsidR="001D41FF" w:rsidRDefault="001D41FF" w:rsidP="001D41FF">
      <w:pPr>
        <w:pStyle w:val="NormalWeb"/>
        <w:shd w:val="clear" w:color="auto" w:fill="FFFFFF"/>
        <w:spacing w:before="0" w:beforeAutospacing="0" w:after="288" w:afterAutospacing="0" w:line="337" w:lineRule="atLeast"/>
        <w:jc w:val="both"/>
        <w:rPr>
          <w:rFonts w:ascii="MiloOT" w:hAnsi="MiloOT"/>
          <w:color w:val="3B3B3B"/>
          <w:sz w:val="22"/>
          <w:szCs w:val="22"/>
        </w:rPr>
      </w:pPr>
      <w:r>
        <w:rPr>
          <w:rStyle w:val="nfasis"/>
          <w:rFonts w:ascii="MiloOT" w:hAnsi="MiloOT"/>
          <w:color w:val="3B3B3B"/>
          <w:sz w:val="22"/>
          <w:szCs w:val="22"/>
        </w:rPr>
        <w:t>“Si crees que la educación es cara, ¡prueba con la ignorancia!”*</w:t>
      </w:r>
    </w:p>
    <w:p w:rsidR="001D41FF" w:rsidRDefault="001D41FF" w:rsidP="001D41FF">
      <w:pPr>
        <w:pStyle w:val="NormalWeb"/>
        <w:shd w:val="clear" w:color="auto" w:fill="FFFFFF"/>
        <w:spacing w:before="0" w:beforeAutospacing="0" w:after="288" w:afterAutospacing="0" w:line="337" w:lineRule="atLeast"/>
        <w:jc w:val="both"/>
        <w:rPr>
          <w:rFonts w:ascii="MiloOT" w:hAnsi="MiloOT"/>
          <w:color w:val="3B3B3B"/>
          <w:sz w:val="22"/>
          <w:szCs w:val="22"/>
        </w:rPr>
      </w:pPr>
      <w:r>
        <w:rPr>
          <w:rStyle w:val="nfasis"/>
          <w:rFonts w:ascii="MiloOT" w:hAnsi="MiloOT"/>
          <w:color w:val="3B3B3B"/>
          <w:sz w:val="22"/>
          <w:szCs w:val="22"/>
        </w:rPr>
        <w:t xml:space="preserve">* Derek </w:t>
      </w:r>
      <w:proofErr w:type="spellStart"/>
      <w:r>
        <w:rPr>
          <w:rStyle w:val="nfasis"/>
          <w:rFonts w:ascii="MiloOT" w:hAnsi="MiloOT"/>
          <w:color w:val="3B3B3B"/>
          <w:sz w:val="22"/>
          <w:szCs w:val="22"/>
        </w:rPr>
        <w:t>Bok</w:t>
      </w:r>
      <w:proofErr w:type="spellEnd"/>
      <w:r>
        <w:rPr>
          <w:rStyle w:val="nfasis"/>
          <w:rFonts w:ascii="MiloOT" w:hAnsi="MiloOT"/>
          <w:color w:val="3B3B3B"/>
          <w:sz w:val="22"/>
          <w:szCs w:val="22"/>
        </w:rPr>
        <w:t>, Rector de Harvard de 1971 a 1991</w:t>
      </w:r>
    </w:p>
    <w:p w:rsidR="001D41FF" w:rsidRDefault="001D41FF" w:rsidP="001D41FF">
      <w:pPr>
        <w:pStyle w:val="NormalWeb"/>
        <w:shd w:val="clear" w:color="auto" w:fill="FFFFFF"/>
        <w:spacing w:before="0" w:beforeAutospacing="0" w:after="288" w:afterAutospacing="0" w:line="337" w:lineRule="atLeast"/>
        <w:jc w:val="both"/>
        <w:rPr>
          <w:rFonts w:ascii="MiloOT" w:hAnsi="MiloOT"/>
          <w:color w:val="3B3B3B"/>
          <w:sz w:val="22"/>
          <w:szCs w:val="22"/>
        </w:rPr>
      </w:pPr>
      <w:r>
        <w:rPr>
          <w:rFonts w:ascii="MiloOT" w:hAnsi="MiloOT"/>
          <w:color w:val="3B3B3B"/>
          <w:sz w:val="22"/>
          <w:szCs w:val="22"/>
        </w:rPr>
        <w:t> Pero no solo es importante que el estado y las empresas tomen medidas para dar acceso a la educación, es necesario cambiar de origen la mentalidad del mexicano, es importante que los niños comiencen su formación educativa desde que nacen, que se los padres incentiven a los niños a siempre querer ser mejores a nunca conformarse y sobre todo que seamos un país que basemos nuestra economía en la eficiencia y educación de la población y que la población misma tenga plena confianza en que la educación es todo lo que necesitan para tener una calidad de vida adecuada.</w:t>
      </w:r>
    </w:p>
    <w:p w:rsidR="001D41FF" w:rsidRPr="00BC4B36" w:rsidRDefault="001D41FF" w:rsidP="001D41FF">
      <w:pPr>
        <w:pStyle w:val="NormalWeb"/>
        <w:shd w:val="clear" w:color="auto" w:fill="FFFFFF"/>
        <w:spacing w:before="0" w:beforeAutospacing="0" w:after="288" w:afterAutospacing="0" w:line="337" w:lineRule="atLeast"/>
        <w:jc w:val="both"/>
        <w:rPr>
          <w:rFonts w:ascii="MiloOT" w:hAnsi="MiloOT"/>
          <w:color w:val="3B3B3B"/>
          <w:sz w:val="22"/>
          <w:szCs w:val="22"/>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Default="001D41FF" w:rsidP="001D41FF">
      <w:pPr>
        <w:jc w:val="both"/>
        <w:rPr>
          <w:sz w:val="24"/>
        </w:rPr>
      </w:pPr>
    </w:p>
    <w:p w:rsidR="001D41FF" w:rsidRPr="008519A9" w:rsidRDefault="001D41FF" w:rsidP="001D41FF">
      <w:pPr>
        <w:jc w:val="both"/>
        <w:rPr>
          <w:b/>
          <w:sz w:val="24"/>
        </w:rPr>
      </w:pPr>
      <w:r w:rsidRPr="008519A9">
        <w:rPr>
          <w:b/>
          <w:sz w:val="24"/>
        </w:rPr>
        <w:t>Bibliografía</w:t>
      </w:r>
      <w:r>
        <w:rPr>
          <w:b/>
          <w:sz w:val="24"/>
        </w:rPr>
        <w:t>:</w:t>
      </w:r>
    </w:p>
    <w:p w:rsidR="001D41FF" w:rsidRPr="00294B4E" w:rsidRDefault="001D41FF" w:rsidP="001D41FF">
      <w:pPr>
        <w:shd w:val="clear" w:color="auto" w:fill="FFFFFF"/>
        <w:spacing w:before="100" w:beforeAutospacing="1" w:after="100" w:afterAutospacing="1" w:line="293" w:lineRule="atLeast"/>
        <w:jc w:val="both"/>
        <w:rPr>
          <w:rFonts w:ascii="Arial" w:eastAsia="Times New Roman" w:hAnsi="Arial" w:cs="Arial"/>
          <w:color w:val="000000"/>
          <w:sz w:val="20"/>
          <w:szCs w:val="20"/>
        </w:rPr>
      </w:pPr>
      <w:r w:rsidRPr="00294B4E">
        <w:rPr>
          <w:rFonts w:ascii="Times New Roman" w:eastAsia="Times New Roman" w:hAnsi="Times New Roman" w:cs="Times New Roman"/>
          <w:color w:val="0000FF"/>
          <w:sz w:val="24"/>
          <w:szCs w:val="24"/>
        </w:rPr>
        <w:t>Case/</w:t>
      </w:r>
      <w:proofErr w:type="spellStart"/>
      <w:r w:rsidRPr="00294B4E">
        <w:rPr>
          <w:rFonts w:ascii="Times New Roman" w:eastAsia="Times New Roman" w:hAnsi="Times New Roman" w:cs="Times New Roman"/>
          <w:color w:val="0000FF"/>
          <w:sz w:val="24"/>
          <w:szCs w:val="24"/>
        </w:rPr>
        <w:t>Fair</w:t>
      </w:r>
      <w:proofErr w:type="spellEnd"/>
      <w:r w:rsidRPr="00294B4E">
        <w:rPr>
          <w:rFonts w:ascii="Times New Roman" w:eastAsia="Times New Roman" w:hAnsi="Times New Roman" w:cs="Times New Roman"/>
          <w:color w:val="0000FF"/>
          <w:sz w:val="24"/>
          <w:szCs w:val="24"/>
        </w:rPr>
        <w:t xml:space="preserve">. (1997). Principios de Macroeconomía. Cuarta Edición. </w:t>
      </w:r>
      <w:proofErr w:type="spellStart"/>
      <w:r w:rsidRPr="00294B4E">
        <w:rPr>
          <w:rFonts w:ascii="Times New Roman" w:eastAsia="Times New Roman" w:hAnsi="Times New Roman" w:cs="Times New Roman"/>
          <w:color w:val="0000FF"/>
          <w:sz w:val="24"/>
          <w:szCs w:val="24"/>
        </w:rPr>
        <w:t>Prentice</w:t>
      </w:r>
      <w:proofErr w:type="spellEnd"/>
      <w:r w:rsidRPr="00294B4E">
        <w:rPr>
          <w:rFonts w:ascii="Times New Roman" w:eastAsia="Times New Roman" w:hAnsi="Times New Roman" w:cs="Times New Roman"/>
          <w:color w:val="0000FF"/>
          <w:sz w:val="24"/>
          <w:szCs w:val="24"/>
        </w:rPr>
        <w:t>-Hall Hispanoamericana, s.a. México.</w:t>
      </w:r>
    </w:p>
    <w:p w:rsidR="001D41FF" w:rsidRPr="00294B4E" w:rsidRDefault="001D41FF" w:rsidP="001D41FF">
      <w:pPr>
        <w:spacing w:after="0" w:line="240" w:lineRule="auto"/>
        <w:jc w:val="both"/>
        <w:rPr>
          <w:rFonts w:ascii="Arial" w:eastAsia="Times New Roman" w:hAnsi="Arial" w:cs="Arial"/>
          <w:color w:val="000000"/>
          <w:sz w:val="20"/>
          <w:szCs w:val="20"/>
        </w:rPr>
      </w:pPr>
      <w:r w:rsidRPr="00294B4E">
        <w:rPr>
          <w:rFonts w:ascii="Arial" w:eastAsia="Times New Roman" w:hAnsi="Arial" w:cs="Arial"/>
          <w:color w:val="000000"/>
          <w:sz w:val="20"/>
          <w:szCs w:val="20"/>
        </w:rPr>
        <w:br/>
      </w:r>
      <w:r w:rsidRPr="00294B4E">
        <w:rPr>
          <w:rFonts w:ascii="Times New Roman" w:eastAsia="Times New Roman" w:hAnsi="Times New Roman" w:cs="Times New Roman"/>
          <w:color w:val="0000FF"/>
          <w:sz w:val="24"/>
          <w:szCs w:val="24"/>
        </w:rPr>
        <w:t xml:space="preserve">Mochón, Francisco. (1995). Economía. Mc </w:t>
      </w:r>
      <w:proofErr w:type="spellStart"/>
      <w:r w:rsidRPr="00294B4E">
        <w:rPr>
          <w:rFonts w:ascii="Times New Roman" w:eastAsia="Times New Roman" w:hAnsi="Times New Roman" w:cs="Times New Roman"/>
          <w:color w:val="0000FF"/>
          <w:sz w:val="24"/>
          <w:szCs w:val="24"/>
        </w:rPr>
        <w:t>Graw</w:t>
      </w:r>
      <w:proofErr w:type="spellEnd"/>
      <w:r w:rsidRPr="00294B4E">
        <w:rPr>
          <w:rFonts w:ascii="Times New Roman" w:eastAsia="Times New Roman" w:hAnsi="Times New Roman" w:cs="Times New Roman"/>
          <w:color w:val="0000FF"/>
          <w:sz w:val="24"/>
          <w:szCs w:val="24"/>
        </w:rPr>
        <w:t xml:space="preserve"> Hill. España.</w:t>
      </w:r>
    </w:p>
    <w:p w:rsidR="001D41FF" w:rsidRPr="00294B4E" w:rsidRDefault="001D41FF" w:rsidP="001D41FF">
      <w:pPr>
        <w:shd w:val="clear" w:color="auto" w:fill="FFFFFF"/>
        <w:spacing w:before="100" w:beforeAutospacing="1" w:after="100" w:afterAutospacing="1" w:line="293" w:lineRule="atLeast"/>
        <w:jc w:val="both"/>
        <w:rPr>
          <w:rFonts w:ascii="Arial" w:eastAsia="Times New Roman" w:hAnsi="Arial" w:cs="Arial"/>
          <w:color w:val="000000"/>
          <w:sz w:val="20"/>
          <w:szCs w:val="20"/>
        </w:rPr>
      </w:pPr>
      <w:r w:rsidRPr="00294B4E">
        <w:rPr>
          <w:rFonts w:ascii="Times New Roman" w:eastAsia="Times New Roman" w:hAnsi="Times New Roman" w:cs="Times New Roman"/>
          <w:color w:val="0000FF"/>
          <w:sz w:val="24"/>
          <w:szCs w:val="24"/>
        </w:rPr>
        <w:t>Gonzalez, Sara. (2001). Introducción a la Economía.</w:t>
      </w:r>
    </w:p>
    <w:p w:rsidR="001D41FF" w:rsidRDefault="001D41FF" w:rsidP="001D41FF">
      <w:pPr>
        <w:jc w:val="both"/>
        <w:rPr>
          <w:sz w:val="24"/>
        </w:rPr>
      </w:pPr>
    </w:p>
    <w:p w:rsidR="001D41FF" w:rsidRDefault="001D41FF" w:rsidP="001D41FF">
      <w:pPr>
        <w:jc w:val="both"/>
        <w:rPr>
          <w:sz w:val="24"/>
        </w:rPr>
      </w:pPr>
      <w:r w:rsidRPr="008519A9">
        <w:rPr>
          <w:b/>
          <w:sz w:val="24"/>
        </w:rPr>
        <w:t>Fuentes electrónicas de consulta</w:t>
      </w:r>
      <w:r>
        <w:rPr>
          <w:b/>
          <w:sz w:val="24"/>
        </w:rPr>
        <w:t>:</w:t>
      </w:r>
    </w:p>
    <w:p w:rsidR="001D41FF" w:rsidRDefault="00E53815" w:rsidP="001D41FF">
      <w:pPr>
        <w:jc w:val="both"/>
        <w:rPr>
          <w:sz w:val="24"/>
        </w:rPr>
      </w:pPr>
      <w:hyperlink r:id="rId10" w:history="1">
        <w:r w:rsidR="001D41FF" w:rsidRPr="00232EA3">
          <w:rPr>
            <w:rStyle w:val="Hipervnculo"/>
            <w:sz w:val="24"/>
          </w:rPr>
          <w:t>http://paperroom.ipsa.org/papers/paper_1327.pdf</w:t>
        </w:r>
      </w:hyperlink>
    </w:p>
    <w:p w:rsidR="001D41FF" w:rsidRDefault="00E53815" w:rsidP="001D41FF">
      <w:pPr>
        <w:jc w:val="both"/>
        <w:rPr>
          <w:sz w:val="24"/>
        </w:rPr>
      </w:pPr>
      <w:hyperlink r:id="rId11" w:history="1">
        <w:r w:rsidR="001D41FF" w:rsidRPr="00232EA3">
          <w:rPr>
            <w:rStyle w:val="Hipervnculo"/>
            <w:sz w:val="24"/>
          </w:rPr>
          <w:t>http://www.inegi.org.mx/sistemas/bie/cuadrosestadisticos/GeneraCuadro.aspx?s=est&amp;nc=617&amp;c=25440</w:t>
        </w:r>
      </w:hyperlink>
    </w:p>
    <w:p w:rsidR="001D41FF" w:rsidRDefault="00E53815" w:rsidP="001D41FF">
      <w:pPr>
        <w:jc w:val="both"/>
        <w:rPr>
          <w:sz w:val="24"/>
        </w:rPr>
      </w:pPr>
      <w:hyperlink r:id="rId12" w:history="1">
        <w:r w:rsidR="001D41FF" w:rsidRPr="00232EA3">
          <w:rPr>
            <w:rStyle w:val="Hipervnculo"/>
            <w:sz w:val="24"/>
          </w:rPr>
          <w:t>http://www.sems.gob.mx/work/models/sems/Resource/11149/1/images/Mexico_PISA_2012_Resumen_Ejecutivo.pdf</w:t>
        </w:r>
      </w:hyperlink>
    </w:p>
    <w:p w:rsidR="001D41FF" w:rsidRDefault="00E53815" w:rsidP="001D41FF">
      <w:pPr>
        <w:jc w:val="both"/>
        <w:rPr>
          <w:sz w:val="24"/>
        </w:rPr>
      </w:pPr>
      <w:hyperlink r:id="rId13" w:history="1">
        <w:r w:rsidR="001D41FF" w:rsidRPr="00232EA3">
          <w:rPr>
            <w:rStyle w:val="Hipervnculo"/>
            <w:sz w:val="24"/>
          </w:rPr>
          <w:t>http://www.enlace.sep.gob.mx/ms/estadisticas_de_resultados/</w:t>
        </w:r>
      </w:hyperlink>
      <w:r w:rsidR="001D41FF">
        <w:rPr>
          <w:sz w:val="24"/>
        </w:rPr>
        <w:t xml:space="preserve"> (por nivel de dominio)</w:t>
      </w:r>
    </w:p>
    <w:p w:rsidR="001D41FF" w:rsidRDefault="00E53815" w:rsidP="001D41FF">
      <w:pPr>
        <w:jc w:val="both"/>
        <w:rPr>
          <w:sz w:val="24"/>
        </w:rPr>
      </w:pPr>
      <w:hyperlink r:id="rId14" w:history="1">
        <w:r w:rsidR="001D41FF" w:rsidRPr="00232EA3">
          <w:rPr>
            <w:rStyle w:val="Hipervnculo"/>
            <w:sz w:val="24"/>
          </w:rPr>
          <w:t>http://www.elcorreo.eu.org/GEAB-No88-2015-China-ya-es-la-primera-potencia-economica-mundial-El-mundo-gira-hacia?lang=fr</w:t>
        </w:r>
      </w:hyperlink>
    </w:p>
    <w:p w:rsidR="001D41FF" w:rsidRDefault="00E53815" w:rsidP="001D41FF">
      <w:pPr>
        <w:jc w:val="both"/>
        <w:rPr>
          <w:sz w:val="24"/>
        </w:rPr>
      </w:pPr>
      <w:hyperlink r:id="rId15" w:history="1">
        <w:r w:rsidR="001D41FF" w:rsidRPr="00232EA3">
          <w:rPr>
            <w:rStyle w:val="Hipervnculo"/>
            <w:sz w:val="24"/>
          </w:rPr>
          <w:t>http://www.shanghairanking.com/es/ARWU2014.html</w:t>
        </w:r>
      </w:hyperlink>
    </w:p>
    <w:p w:rsidR="001D41FF" w:rsidRDefault="00E53815" w:rsidP="001D41FF">
      <w:pPr>
        <w:jc w:val="both"/>
        <w:rPr>
          <w:sz w:val="24"/>
        </w:rPr>
      </w:pPr>
      <w:hyperlink r:id="rId16" w:history="1">
        <w:r w:rsidR="001D41FF" w:rsidRPr="00232EA3">
          <w:rPr>
            <w:rStyle w:val="Hipervnculo"/>
            <w:sz w:val="24"/>
          </w:rPr>
          <w:t>http://www.itesm.mx/wps/wcm/connect/snc/portal+informativo/opinion+y+analisis/firmas/dr.+mauricio+cervantes+zepeda/op%281sep10%29mauriciocervantes</w:t>
        </w:r>
      </w:hyperlink>
    </w:p>
    <w:p w:rsidR="001D41FF" w:rsidRPr="00D969EA" w:rsidRDefault="00E53815" w:rsidP="001D41FF">
      <w:pPr>
        <w:jc w:val="both"/>
        <w:rPr>
          <w:color w:val="FF0000"/>
          <w:sz w:val="24"/>
        </w:rPr>
      </w:pPr>
      <w:hyperlink r:id="rId17" w:anchor=".VNVJ6dKG-qk" w:history="1">
        <w:r w:rsidR="001D41FF" w:rsidRPr="00D969EA">
          <w:rPr>
            <w:rStyle w:val="Hipervnculo"/>
            <w:color w:val="FF0000"/>
            <w:sz w:val="24"/>
          </w:rPr>
          <w:t>http://expensereduction.eu/es/blog/la-formaci%C3%B3n-de-los-empleados-%C2%BFun-gasto-o-una-inversi%C3%B3n#.VNVJ6dKG-qk</w:t>
        </w:r>
      </w:hyperlink>
    </w:p>
    <w:sectPr w:rsidR="001D41FF" w:rsidRPr="00D969EA" w:rsidSect="001D41FF">
      <w:pgSz w:w="12240" w:h="15840"/>
      <w:pgMar w:top="568" w:right="900" w:bottom="567" w:left="709"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20002A87" w:usb1="00000000" w:usb2="00000000" w:usb3="00000000" w:csb0="000001FF" w:csb1="00000000"/>
  </w:font>
  <w:font w:name="MiloOT">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25C34BE"/>
    <w:multiLevelType w:val="hybridMultilevel"/>
    <w:tmpl w:val="368ABFF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1D41FF"/>
    <w:rsid w:val="001D41FF"/>
    <w:rsid w:val="006A1204"/>
    <w:rsid w:val="006C0526"/>
    <w:rsid w:val="00934345"/>
    <w:rsid w:val="00C52D1D"/>
    <w:rsid w:val="00E53815"/>
    <w:rsid w:val="00E77E78"/>
    <w:rsid w:val="00F64A0C"/>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D41FF"/>
    <w:rPr>
      <w:rFonts w:eastAsiaTheme="minorEastAsia"/>
      <w:lang w:eastAsia="es-MX"/>
    </w:rPr>
  </w:style>
  <w:style w:type="character" w:default="1" w:styleId="Fuentedeprrafopredeter">
    <w:name w:val="Default Paragraph Font"/>
    <w:uiPriority w:val="1"/>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1D41FF"/>
    <w:rPr>
      <w:color w:val="0000FF" w:themeColor="hyperlink"/>
      <w:u w:val="single"/>
    </w:rPr>
  </w:style>
  <w:style w:type="paragraph" w:styleId="NormalWeb">
    <w:name w:val="Normal (Web)"/>
    <w:basedOn w:val="Normal"/>
    <w:uiPriority w:val="99"/>
    <w:unhideWhenUsed/>
    <w:rsid w:val="001D41FF"/>
    <w:pPr>
      <w:spacing w:before="100" w:beforeAutospacing="1" w:after="100" w:afterAutospacing="1" w:line="240" w:lineRule="auto"/>
    </w:pPr>
    <w:rPr>
      <w:rFonts w:ascii="Times New Roman" w:eastAsia="Times New Roman" w:hAnsi="Times New Roman" w:cs="Times New Roman"/>
      <w:sz w:val="24"/>
      <w:szCs w:val="24"/>
    </w:rPr>
  </w:style>
  <w:style w:type="character" w:styleId="nfasis">
    <w:name w:val="Emphasis"/>
    <w:basedOn w:val="Fuentedeprrafopredeter"/>
    <w:uiPriority w:val="20"/>
    <w:qFormat/>
    <w:rsid w:val="001D41FF"/>
    <w:rPr>
      <w:i/>
      <w:iCs/>
    </w:rPr>
  </w:style>
  <w:style w:type="paragraph" w:styleId="Textodeglobo">
    <w:name w:val="Balloon Text"/>
    <w:basedOn w:val="Normal"/>
    <w:link w:val="TextodegloboCar"/>
    <w:uiPriority w:val="99"/>
    <w:semiHidden/>
    <w:unhideWhenUsed/>
    <w:rsid w:val="001D41FF"/>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1D41FF"/>
    <w:rPr>
      <w:rFonts w:ascii="Tahoma" w:eastAsiaTheme="minorEastAsia" w:hAnsi="Tahoma" w:cs="Tahoma"/>
      <w:sz w:val="16"/>
      <w:szCs w:val="16"/>
      <w:lang w:eastAsia="es-MX"/>
    </w:rPr>
  </w:style>
  <w:style w:type="character" w:styleId="Refdecomentario">
    <w:name w:val="annotation reference"/>
    <w:basedOn w:val="Fuentedeprrafopredeter"/>
    <w:uiPriority w:val="99"/>
    <w:semiHidden/>
    <w:unhideWhenUsed/>
    <w:rsid w:val="00F64A0C"/>
    <w:rPr>
      <w:sz w:val="16"/>
      <w:szCs w:val="16"/>
    </w:rPr>
  </w:style>
  <w:style w:type="paragraph" w:styleId="Textocomentario">
    <w:name w:val="annotation text"/>
    <w:basedOn w:val="Normal"/>
    <w:link w:val="TextocomentarioCar"/>
    <w:uiPriority w:val="99"/>
    <w:semiHidden/>
    <w:unhideWhenUsed/>
    <w:rsid w:val="00F64A0C"/>
    <w:pPr>
      <w:spacing w:line="240" w:lineRule="auto"/>
    </w:pPr>
    <w:rPr>
      <w:rFonts w:eastAsiaTheme="minorHAnsi"/>
      <w:sz w:val="20"/>
      <w:szCs w:val="20"/>
      <w:lang w:eastAsia="en-US"/>
    </w:rPr>
  </w:style>
  <w:style w:type="character" w:customStyle="1" w:styleId="TextocomentarioCar">
    <w:name w:val="Texto comentario Car"/>
    <w:basedOn w:val="Fuentedeprrafopredeter"/>
    <w:link w:val="Textocomentario"/>
    <w:uiPriority w:val="99"/>
    <w:semiHidden/>
    <w:rsid w:val="00F64A0C"/>
    <w:rPr>
      <w:sz w:val="20"/>
      <w:szCs w:val="20"/>
    </w:rPr>
  </w:style>
  <w:style w:type="paragraph" w:styleId="Prrafodelista">
    <w:name w:val="List Paragraph"/>
    <w:basedOn w:val="Normal"/>
    <w:uiPriority w:val="34"/>
    <w:qFormat/>
    <w:rsid w:val="00F64A0C"/>
    <w:pPr>
      <w:ind w:left="720"/>
      <w:contextualSpacing/>
    </w:pPr>
    <w:rPr>
      <w:rFonts w:eastAsiaTheme="minorHAns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hyperlink" Target="http://www.enlace.sep.gob.mx/ms/estadisticas_de_resultado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hyperlink" Target="http://www.sems.gob.mx/work/models/sems/Resource/11149/1/images/Mexico_PISA_2012_Resumen_Ejecutivo.pdf" TargetMode="External"/><Relationship Id="rId17" Type="http://schemas.openxmlformats.org/officeDocument/2006/relationships/hyperlink" Target="http://expensereduction.eu/es/blog/la-formaci%C3%B3n-de-los-empleados-%C2%BFun-gasto-o-una-inversi%C3%B3n" TargetMode="External"/><Relationship Id="rId2" Type="http://schemas.openxmlformats.org/officeDocument/2006/relationships/numbering" Target="numbering.xml"/><Relationship Id="rId16" Type="http://schemas.openxmlformats.org/officeDocument/2006/relationships/hyperlink" Target="http://www.itesm.mx/wps/wcm/connect/snc/portal+informativo/opinion+y+analisis/firmas/dr.+mauricio+cervantes+zepeda/op%281sep10%29mauriciocervantes" TargetMode="Externa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hyperlink" Target="http://www.inegi.org.mx/sistemas/bie/cuadrosestadisticos/GeneraCuadro.aspx?s=est&amp;nc=617&amp;c=25440" TargetMode="External"/><Relationship Id="rId5" Type="http://schemas.openxmlformats.org/officeDocument/2006/relationships/webSettings" Target="webSettings.xml"/><Relationship Id="rId15" Type="http://schemas.openxmlformats.org/officeDocument/2006/relationships/hyperlink" Target="http://www.shanghairanking.com/es/ARWU2014.html" TargetMode="External"/><Relationship Id="rId10" Type="http://schemas.openxmlformats.org/officeDocument/2006/relationships/hyperlink" Target="http://paperroom.ipsa.org/papers/paper_1327.pdf"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yperlink" Target="http://www.elcorreo.eu.org/GEAB-No88-2015-China-ya-es-la-primera-potencia-economica-mundial-El-mundo-gira-hacia?lang=fr"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C:\Users\vgutierrez\Downloads\1.-NVL_DOM_NAC_2008-2014.xls"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es-MX"/>
  <c:style val="26"/>
  <c:chart>
    <c:plotArea>
      <c:layout/>
      <c:barChart>
        <c:barDir val="col"/>
        <c:grouping val="stacked"/>
        <c:ser>
          <c:idx val="0"/>
          <c:order val="0"/>
          <c:tx>
            <c:strRef>
              <c:f>Hoja1!$A$4</c:f>
              <c:strCache>
                <c:ptCount val="1"/>
                <c:pt idx="0">
                  <c:v>INSUFICIENTE</c:v>
                </c:pt>
              </c:strCache>
            </c:strRef>
          </c:tx>
          <c:cat>
            <c:numRef>
              <c:f>Hoja1!$B$3:$H$3</c:f>
              <c:numCache>
                <c:formatCode>General</c:formatCode>
                <c:ptCount val="7"/>
                <c:pt idx="0">
                  <c:v>2008</c:v>
                </c:pt>
                <c:pt idx="1">
                  <c:v>2009</c:v>
                </c:pt>
                <c:pt idx="2">
                  <c:v>2010</c:v>
                </c:pt>
                <c:pt idx="3">
                  <c:v>2011</c:v>
                </c:pt>
                <c:pt idx="4">
                  <c:v>2012</c:v>
                </c:pt>
                <c:pt idx="5">
                  <c:v>2013</c:v>
                </c:pt>
                <c:pt idx="6">
                  <c:v>2014</c:v>
                </c:pt>
              </c:numCache>
            </c:numRef>
          </c:cat>
          <c:val>
            <c:numRef>
              <c:f>Hoja1!$B$4:$H$4</c:f>
              <c:numCache>
                <c:formatCode>0.0</c:formatCode>
                <c:ptCount val="7"/>
                <c:pt idx="0">
                  <c:v>46.539000000000001</c:v>
                </c:pt>
                <c:pt idx="1">
                  <c:v>46.093100000000049</c:v>
                </c:pt>
                <c:pt idx="2">
                  <c:v>40.561300000000003</c:v>
                </c:pt>
                <c:pt idx="3">
                  <c:v>35.092393944974219</c:v>
                </c:pt>
                <c:pt idx="4">
                  <c:v>30.1</c:v>
                </c:pt>
                <c:pt idx="5">
                  <c:v>28.323333944998026</c:v>
                </c:pt>
                <c:pt idx="6">
                  <c:v>26.607309957615481</c:v>
                </c:pt>
              </c:numCache>
            </c:numRef>
          </c:val>
        </c:ser>
        <c:ser>
          <c:idx val="1"/>
          <c:order val="1"/>
          <c:tx>
            <c:strRef>
              <c:f>Hoja1!$A$5</c:f>
              <c:strCache>
                <c:ptCount val="1"/>
                <c:pt idx="0">
                  <c:v>ELEMENTAL</c:v>
                </c:pt>
              </c:strCache>
            </c:strRef>
          </c:tx>
          <c:cat>
            <c:numRef>
              <c:f>Hoja1!$B$3:$H$3</c:f>
              <c:numCache>
                <c:formatCode>General</c:formatCode>
                <c:ptCount val="7"/>
                <c:pt idx="0">
                  <c:v>2008</c:v>
                </c:pt>
                <c:pt idx="1">
                  <c:v>2009</c:v>
                </c:pt>
                <c:pt idx="2">
                  <c:v>2010</c:v>
                </c:pt>
                <c:pt idx="3">
                  <c:v>2011</c:v>
                </c:pt>
                <c:pt idx="4">
                  <c:v>2012</c:v>
                </c:pt>
                <c:pt idx="5">
                  <c:v>2013</c:v>
                </c:pt>
                <c:pt idx="6">
                  <c:v>2014</c:v>
                </c:pt>
              </c:numCache>
            </c:numRef>
          </c:cat>
          <c:val>
            <c:numRef>
              <c:f>Hoja1!$B$5:$H$5</c:f>
              <c:numCache>
                <c:formatCode>0.0</c:formatCode>
                <c:ptCount val="7"/>
                <c:pt idx="0">
                  <c:v>37.834599999999995</c:v>
                </c:pt>
                <c:pt idx="1">
                  <c:v>35.130100000000013</c:v>
                </c:pt>
                <c:pt idx="2">
                  <c:v>39.092100000000059</c:v>
                </c:pt>
                <c:pt idx="3">
                  <c:v>40.230469035992428</c:v>
                </c:pt>
                <c:pt idx="4">
                  <c:v>39.1</c:v>
                </c:pt>
                <c:pt idx="5">
                  <c:v>35.425758530728245</c:v>
                </c:pt>
                <c:pt idx="6">
                  <c:v>34.071589774237339</c:v>
                </c:pt>
              </c:numCache>
            </c:numRef>
          </c:val>
        </c:ser>
        <c:ser>
          <c:idx val="2"/>
          <c:order val="2"/>
          <c:tx>
            <c:strRef>
              <c:f>Hoja1!$A$6</c:f>
              <c:strCache>
                <c:ptCount val="1"/>
                <c:pt idx="0">
                  <c:v>BUENO</c:v>
                </c:pt>
              </c:strCache>
            </c:strRef>
          </c:tx>
          <c:cat>
            <c:numRef>
              <c:f>Hoja1!$B$3:$H$3</c:f>
              <c:numCache>
                <c:formatCode>General</c:formatCode>
                <c:ptCount val="7"/>
                <c:pt idx="0">
                  <c:v>2008</c:v>
                </c:pt>
                <c:pt idx="1">
                  <c:v>2009</c:v>
                </c:pt>
                <c:pt idx="2">
                  <c:v>2010</c:v>
                </c:pt>
                <c:pt idx="3">
                  <c:v>2011</c:v>
                </c:pt>
                <c:pt idx="4">
                  <c:v>2012</c:v>
                </c:pt>
                <c:pt idx="5">
                  <c:v>2013</c:v>
                </c:pt>
                <c:pt idx="6">
                  <c:v>2014</c:v>
                </c:pt>
              </c:numCache>
            </c:numRef>
          </c:cat>
          <c:val>
            <c:numRef>
              <c:f>Hoja1!$B$6:$H$6</c:f>
              <c:numCache>
                <c:formatCode>0.0</c:formatCode>
                <c:ptCount val="7"/>
                <c:pt idx="0">
                  <c:v>12.196300000000001</c:v>
                </c:pt>
                <c:pt idx="1">
                  <c:v>13.948799999999999</c:v>
                </c:pt>
                <c:pt idx="2">
                  <c:v>15.0809</c:v>
                </c:pt>
                <c:pt idx="3">
                  <c:v>16.691367173027047</c:v>
                </c:pt>
                <c:pt idx="4">
                  <c:v>19.2</c:v>
                </c:pt>
                <c:pt idx="5">
                  <c:v>20.18433712831396</c:v>
                </c:pt>
                <c:pt idx="6">
                  <c:v>19.950616895627029</c:v>
                </c:pt>
              </c:numCache>
            </c:numRef>
          </c:val>
        </c:ser>
        <c:ser>
          <c:idx val="3"/>
          <c:order val="3"/>
          <c:tx>
            <c:strRef>
              <c:f>Hoja1!$A$7</c:f>
              <c:strCache>
                <c:ptCount val="1"/>
                <c:pt idx="0">
                  <c:v>EXCELENTE</c:v>
                </c:pt>
              </c:strCache>
            </c:strRef>
          </c:tx>
          <c:cat>
            <c:numRef>
              <c:f>Hoja1!$B$3:$H$3</c:f>
              <c:numCache>
                <c:formatCode>General</c:formatCode>
                <c:ptCount val="7"/>
                <c:pt idx="0">
                  <c:v>2008</c:v>
                </c:pt>
                <c:pt idx="1">
                  <c:v>2009</c:v>
                </c:pt>
                <c:pt idx="2">
                  <c:v>2010</c:v>
                </c:pt>
                <c:pt idx="3">
                  <c:v>2011</c:v>
                </c:pt>
                <c:pt idx="4">
                  <c:v>2012</c:v>
                </c:pt>
                <c:pt idx="5">
                  <c:v>2013</c:v>
                </c:pt>
                <c:pt idx="6">
                  <c:v>2014</c:v>
                </c:pt>
              </c:numCache>
            </c:numRef>
          </c:cat>
          <c:val>
            <c:numRef>
              <c:f>Hoja1!$B$7:$H$7</c:f>
              <c:numCache>
                <c:formatCode>0.0</c:formatCode>
                <c:ptCount val="7"/>
                <c:pt idx="0">
                  <c:v>3.4300999999999977</c:v>
                </c:pt>
                <c:pt idx="1">
                  <c:v>4.8279999999999932</c:v>
                </c:pt>
                <c:pt idx="2">
                  <c:v>5.2657999999999996</c:v>
                </c:pt>
                <c:pt idx="3">
                  <c:v>7.9857698460063915</c:v>
                </c:pt>
                <c:pt idx="4">
                  <c:v>11.6</c:v>
                </c:pt>
                <c:pt idx="5">
                  <c:v>16.066570395959822</c:v>
                </c:pt>
                <c:pt idx="6">
                  <c:v>19.370483372520003</c:v>
                </c:pt>
              </c:numCache>
            </c:numRef>
          </c:val>
        </c:ser>
        <c:overlap val="100"/>
        <c:axId val="76497664"/>
        <c:axId val="76499200"/>
      </c:barChart>
      <c:catAx>
        <c:axId val="76497664"/>
        <c:scaling>
          <c:orientation val="minMax"/>
        </c:scaling>
        <c:axPos val="b"/>
        <c:numFmt formatCode="General" sourceLinked="1"/>
        <c:tickLblPos val="nextTo"/>
        <c:crossAx val="76499200"/>
        <c:crosses val="autoZero"/>
        <c:auto val="1"/>
        <c:lblAlgn val="ctr"/>
        <c:lblOffset val="100"/>
      </c:catAx>
      <c:valAx>
        <c:axId val="76499200"/>
        <c:scaling>
          <c:orientation val="minMax"/>
        </c:scaling>
        <c:axPos val="l"/>
        <c:numFmt formatCode="0.0" sourceLinked="1"/>
        <c:tickLblPos val="nextTo"/>
        <c:crossAx val="76497664"/>
        <c:crosses val="autoZero"/>
        <c:crossBetween val="between"/>
      </c:valAx>
    </c:plotArea>
    <c:legend>
      <c:legendPos val="r"/>
    </c:legend>
    <c:plotVisOnly val="1"/>
    <c:dispBlanksAs val="gap"/>
  </c:chart>
  <c:externalData r:id="rId1"/>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830605-C186-4985-90CB-A3530040A0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1733</Words>
  <Characters>9532</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11243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vgutierrez</dc:creator>
  <cp:lastModifiedBy>vgutierrez</cp:lastModifiedBy>
  <cp:revision>2</cp:revision>
  <dcterms:created xsi:type="dcterms:W3CDTF">2015-03-28T00:31:00Z</dcterms:created>
  <dcterms:modified xsi:type="dcterms:W3CDTF">2015-03-28T00:31:00Z</dcterms:modified>
</cp:coreProperties>
</file>