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71" w:rsidRDefault="001D38A8" w:rsidP="00DE7C7D">
      <w:pPr>
        <w:jc w:val="center"/>
        <w:rPr>
          <w:rFonts w:ascii="Tahoma" w:hAnsi="Tahoma" w:cs="Tahoma"/>
          <w:b/>
          <w:sz w:val="23"/>
          <w:szCs w:val="23"/>
        </w:rPr>
      </w:pPr>
      <w:r w:rsidRPr="00390AC4">
        <w:rPr>
          <w:rFonts w:ascii="Tahoma" w:hAnsi="Tahoma" w:cs="Tahoma"/>
          <w:b/>
          <w:sz w:val="23"/>
          <w:szCs w:val="23"/>
        </w:rPr>
        <w:t xml:space="preserve">LEI N° </w:t>
      </w:r>
      <w:r w:rsidR="00247B1D">
        <w:rPr>
          <w:rFonts w:ascii="Tahoma" w:hAnsi="Tahoma" w:cs="Tahoma"/>
          <w:b/>
          <w:sz w:val="23"/>
          <w:szCs w:val="23"/>
        </w:rPr>
        <w:t>1</w:t>
      </w:r>
      <w:r w:rsidR="00A55DD6">
        <w:rPr>
          <w:rFonts w:ascii="Tahoma" w:hAnsi="Tahoma" w:cs="Tahoma"/>
          <w:b/>
          <w:sz w:val="23"/>
          <w:szCs w:val="23"/>
        </w:rPr>
        <w:t>.</w:t>
      </w:r>
      <w:r w:rsidR="00247B1D">
        <w:rPr>
          <w:rFonts w:ascii="Tahoma" w:hAnsi="Tahoma" w:cs="Tahoma"/>
          <w:b/>
          <w:sz w:val="23"/>
          <w:szCs w:val="23"/>
        </w:rPr>
        <w:t>022</w:t>
      </w:r>
      <w:r w:rsidR="00AA5171" w:rsidRPr="00390AC4">
        <w:rPr>
          <w:rFonts w:ascii="Tahoma" w:hAnsi="Tahoma" w:cs="Tahoma"/>
          <w:b/>
          <w:sz w:val="23"/>
          <w:szCs w:val="23"/>
        </w:rPr>
        <w:t xml:space="preserve">, DE </w:t>
      </w:r>
      <w:r w:rsidR="00247B1D">
        <w:rPr>
          <w:rFonts w:ascii="Tahoma" w:hAnsi="Tahoma" w:cs="Tahoma"/>
          <w:b/>
          <w:sz w:val="23"/>
          <w:szCs w:val="23"/>
        </w:rPr>
        <w:t>19</w:t>
      </w:r>
      <w:r w:rsidR="00AA5171" w:rsidRPr="00390AC4">
        <w:rPr>
          <w:rFonts w:ascii="Tahoma" w:hAnsi="Tahoma" w:cs="Tahoma"/>
          <w:b/>
          <w:sz w:val="23"/>
          <w:szCs w:val="23"/>
        </w:rPr>
        <w:t xml:space="preserve"> DE </w:t>
      </w:r>
      <w:r w:rsidR="00247B1D">
        <w:rPr>
          <w:rFonts w:ascii="Tahoma" w:hAnsi="Tahoma" w:cs="Tahoma"/>
          <w:b/>
          <w:sz w:val="23"/>
          <w:szCs w:val="23"/>
        </w:rPr>
        <w:t>OUTUBR</w:t>
      </w:r>
      <w:r w:rsidRPr="00390AC4">
        <w:rPr>
          <w:rFonts w:ascii="Tahoma" w:hAnsi="Tahoma" w:cs="Tahoma"/>
          <w:b/>
          <w:sz w:val="23"/>
          <w:szCs w:val="23"/>
        </w:rPr>
        <w:t>O</w:t>
      </w:r>
      <w:r w:rsidR="00AA5171" w:rsidRPr="00390AC4">
        <w:rPr>
          <w:rFonts w:ascii="Tahoma" w:hAnsi="Tahoma" w:cs="Tahoma"/>
          <w:b/>
          <w:sz w:val="23"/>
          <w:szCs w:val="23"/>
        </w:rPr>
        <w:t xml:space="preserve"> DE 2016</w:t>
      </w:r>
    </w:p>
    <w:p w:rsidR="00390AC4" w:rsidRPr="00390AC4" w:rsidRDefault="00390AC4" w:rsidP="00DE7C7D">
      <w:pPr>
        <w:jc w:val="center"/>
        <w:rPr>
          <w:rFonts w:ascii="Tahoma" w:hAnsi="Tahoma" w:cs="Tahoma"/>
          <w:b/>
          <w:sz w:val="23"/>
          <w:szCs w:val="23"/>
        </w:rPr>
      </w:pPr>
    </w:p>
    <w:p w:rsidR="00AA5171" w:rsidRPr="00390AC4" w:rsidRDefault="00AA5171" w:rsidP="00DE7C7D">
      <w:pPr>
        <w:rPr>
          <w:rFonts w:ascii="Tahoma" w:hAnsi="Tahoma" w:cs="Tahoma"/>
          <w:sz w:val="23"/>
          <w:szCs w:val="23"/>
        </w:rPr>
      </w:pPr>
    </w:p>
    <w:p w:rsidR="00CB5815" w:rsidRPr="00390AC4" w:rsidRDefault="00CB5815" w:rsidP="00CB5815">
      <w:pPr>
        <w:pStyle w:val="Recuodecorpodetexto"/>
        <w:ind w:left="3600"/>
        <w:rPr>
          <w:rFonts w:ascii="Tahoma" w:hAnsi="Tahoma" w:cs="Tahoma"/>
          <w:szCs w:val="24"/>
        </w:rPr>
      </w:pPr>
      <w:r w:rsidRPr="00390AC4">
        <w:rPr>
          <w:rFonts w:ascii="Tahoma" w:hAnsi="Tahoma" w:cs="Tahoma"/>
          <w:szCs w:val="24"/>
        </w:rPr>
        <w:t>SÚMULA: “</w:t>
      </w:r>
      <w:r w:rsidRPr="00390AC4">
        <w:rPr>
          <w:rFonts w:ascii="Tahoma" w:hAnsi="Tahoma" w:cs="Tahoma"/>
          <w:b w:val="0"/>
          <w:i/>
          <w:szCs w:val="24"/>
        </w:rPr>
        <w:t>Altera dispositivos da Lei Municipal nº 535, de 14 de março de 2002”.</w:t>
      </w:r>
    </w:p>
    <w:p w:rsidR="00CB5815" w:rsidRPr="00390AC4" w:rsidRDefault="00CB5815" w:rsidP="00CB5815">
      <w:pPr>
        <w:ind w:left="3600" w:firstLine="1134"/>
        <w:jc w:val="both"/>
        <w:rPr>
          <w:rFonts w:ascii="Tahoma" w:hAnsi="Tahoma" w:cs="Tahoma"/>
          <w:sz w:val="24"/>
          <w:szCs w:val="24"/>
        </w:rPr>
      </w:pP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szCs w:val="24"/>
        </w:rPr>
      </w:pPr>
      <w:r w:rsidRPr="00390AC4">
        <w:rPr>
          <w:rFonts w:ascii="Tahoma" w:hAnsi="Tahoma" w:cs="Tahoma"/>
          <w:szCs w:val="24"/>
        </w:rPr>
        <w:t>O Prefeito Municipal de Quitandinha, Estado do Paraná, no uso de suas atribuições legais e constitucionais, apresenta à Câmara Municipal o seguinte Projeto de Lei:</w:t>
      </w:r>
    </w:p>
    <w:p w:rsidR="00CB5815" w:rsidRPr="00390AC4" w:rsidRDefault="00CB5815" w:rsidP="00CB5815">
      <w:pPr>
        <w:pStyle w:val="Recuodecorpodetexto2"/>
        <w:ind w:left="0" w:firstLine="1418"/>
        <w:rPr>
          <w:rFonts w:ascii="Tahoma" w:hAnsi="Tahoma" w:cs="Tahoma"/>
          <w:szCs w:val="24"/>
        </w:rPr>
      </w:pP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szCs w:val="24"/>
        </w:rPr>
      </w:pPr>
      <w:r w:rsidRPr="00390AC4">
        <w:rPr>
          <w:rFonts w:ascii="Tahoma" w:hAnsi="Tahoma" w:cs="Tahoma"/>
          <w:b/>
          <w:szCs w:val="24"/>
        </w:rPr>
        <w:t>Art. 1º.</w:t>
      </w:r>
      <w:r w:rsidRPr="00390AC4">
        <w:rPr>
          <w:rFonts w:ascii="Tahoma" w:hAnsi="Tahoma" w:cs="Tahoma"/>
          <w:szCs w:val="24"/>
        </w:rPr>
        <w:t xml:space="preserve"> Altera-se a redação do inciso II do artigo 18 da Lei Municipal nº 535/2002, que passa a ter a seguinte redação:</w:t>
      </w:r>
    </w:p>
    <w:p w:rsidR="00CB5815" w:rsidRPr="00390AC4" w:rsidRDefault="00CB5815" w:rsidP="00390AC4">
      <w:pPr>
        <w:pStyle w:val="Recuodecorpodetexto2"/>
        <w:tabs>
          <w:tab w:val="left" w:pos="3510"/>
        </w:tabs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ab/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“Art. 18º. (...)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II. compulsória, aos setenta e cinco anos de idade, com proventos proporcionais ao tempo de contribuição;’”.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szCs w:val="24"/>
        </w:rPr>
      </w:pP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szCs w:val="24"/>
        </w:rPr>
      </w:pPr>
      <w:r w:rsidRPr="00390AC4">
        <w:rPr>
          <w:rFonts w:ascii="Tahoma" w:hAnsi="Tahoma" w:cs="Tahoma"/>
          <w:b/>
          <w:szCs w:val="24"/>
        </w:rPr>
        <w:t>Art. 2º.</w:t>
      </w:r>
      <w:r w:rsidRPr="00390AC4">
        <w:rPr>
          <w:rFonts w:ascii="Tahoma" w:hAnsi="Tahoma" w:cs="Tahoma"/>
          <w:szCs w:val="24"/>
        </w:rPr>
        <w:t xml:space="preserve"> Renumera-se o parágrafo único do artigo 23 da Lei Municipal nº 535/2002, que passa a ser o </w:t>
      </w:r>
      <w:r w:rsidRPr="00390AC4">
        <w:rPr>
          <w:rFonts w:ascii="Tahoma" w:hAnsi="Tahoma" w:cs="Tahoma"/>
          <w:i/>
          <w:szCs w:val="24"/>
        </w:rPr>
        <w:t>“parágrafo primeiro</w:t>
      </w:r>
      <w:r w:rsidRPr="00390AC4">
        <w:rPr>
          <w:rFonts w:ascii="Tahoma" w:hAnsi="Tahoma" w:cs="Tahoma"/>
          <w:szCs w:val="24"/>
        </w:rPr>
        <w:t>”;</w:t>
      </w:r>
    </w:p>
    <w:p w:rsidR="00CB5815" w:rsidRPr="00390AC4" w:rsidRDefault="00CB5815" w:rsidP="00390AC4">
      <w:pPr>
        <w:pStyle w:val="Recuodecorpodetexto2"/>
        <w:tabs>
          <w:tab w:val="left" w:pos="3510"/>
        </w:tabs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ab/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szCs w:val="24"/>
        </w:rPr>
      </w:pPr>
      <w:r w:rsidRPr="00390AC4">
        <w:rPr>
          <w:rFonts w:ascii="Tahoma" w:hAnsi="Tahoma" w:cs="Tahoma"/>
          <w:b/>
          <w:szCs w:val="24"/>
        </w:rPr>
        <w:t>Art. 3º.</w:t>
      </w:r>
      <w:r w:rsidRPr="00390AC4">
        <w:rPr>
          <w:rFonts w:ascii="Tahoma" w:hAnsi="Tahoma" w:cs="Tahoma"/>
          <w:szCs w:val="24"/>
        </w:rPr>
        <w:t xml:space="preserve"> Inclui-se no artigo 23 da Lei Municipal nº 535/2002 os seguintes parágrafos e incisos:</w:t>
      </w:r>
    </w:p>
    <w:p w:rsidR="00CB5815" w:rsidRPr="00390AC4" w:rsidRDefault="00CB5815" w:rsidP="00CB5815">
      <w:pPr>
        <w:pStyle w:val="Recuodecorpodetexto2"/>
        <w:ind w:left="0" w:firstLine="1418"/>
        <w:rPr>
          <w:rFonts w:ascii="Tahoma" w:hAnsi="Tahoma" w:cs="Tahoma"/>
          <w:szCs w:val="24"/>
        </w:rPr>
      </w:pP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“Art. 23º. (...)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(...)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§ 2º O direito à percepção de cada cota individual cessará: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I - pela morte do pensionista;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II - para o filho, a pessoa a ele equiparada ou o irmão, de ambos os sexos, ao completar vinte e um anos de idade, salvo se for inválido ou tiver deficiência intelectual ou mental ou deficiência grave;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III - para filho ou irmão inválido, pela cessação da invalidez;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IV - pelo decurso do prazo de recebimento de pensão pelo cônjuge, companheiro ou companheira, nos termos do § 5º;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V - para cônjuge ou companheiro: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a) se inválido ou com deficiência, pela cessação da invalidez ou pelo afastamento da deficiência, respeitados os períodos mínimos decorrentes da aplicação das alíneas “b” e “c”;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b) em 4 (quatro) meses, se o óbito ocorrer sem que o segurado tenha vertido 18 (dezoito) contribuições mensais ou se o casamento ou a união estável tiverem sido iniciados em menos de 2 (dois) anos antes do óbito do segurado;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c) transcorridos os seguintes períodos, estabelecidos de acordo com a idade do beneficiário na data de óbito do segurado, se o óbito ocorrer depois de vertidas 18 (dezoito) contribuições mensais e pelo menos 2 (dois) anos após o início do casamento ou da união estável: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1) 3 (três) anos, com menos de 21 (vinte e um) anos de idade;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lastRenderedPageBreak/>
        <w:t>2) 6 (seis) anos, entre 21 (vinte e um) e 26 (vinte e seis) anos de idade;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3) 10 (dez) anos, entre 27 (vinte e sete) e 29 (vinte e nove) anos de idade;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4) 15 (quinze) anos, entre 30 (trinta) e 40 (quarenta) anos de idade;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5) 20 (vinte) anos, entre 41 (quarenta e um) e 43 (quarenta e três) anos de idade;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 xml:space="preserve">6) vitalícia, com 44 (quarenta e quatro) ou mais anos de idade.          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§ 3º.  Serão aplicados, conforme o caso, a regra contida na alínea “a” ou os prazos previstos na alínea “c”, ambas do inciso V do § 2o, se o óbito do segurado decorrer de acidente de qualquer natureza ou de doença profissional ou do trabalho, independentemente do recolhimento de 18 (dezoito) contribuições mensais ou da comprovação de 2 (dois) anos de casamento ou de união estável;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§ 4º. Com a extinção da parte do último pensionista a pensão extinguir-se-á.”.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szCs w:val="24"/>
        </w:rPr>
      </w:pPr>
      <w:r w:rsidRPr="00390AC4">
        <w:rPr>
          <w:rFonts w:ascii="Tahoma" w:hAnsi="Tahoma" w:cs="Tahoma"/>
          <w:b/>
          <w:szCs w:val="24"/>
        </w:rPr>
        <w:t>Art. 4º.</w:t>
      </w:r>
      <w:r w:rsidRPr="00390AC4">
        <w:rPr>
          <w:rFonts w:ascii="Tahoma" w:hAnsi="Tahoma" w:cs="Tahoma"/>
          <w:szCs w:val="24"/>
        </w:rPr>
        <w:t xml:space="preserve"> Altera-se a redação do parágrafo segundo do artigo 26 da Lei Municipal nº 535/2002, que passa a ter a seguinte redação: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b/>
          <w:szCs w:val="24"/>
        </w:rPr>
      </w:pP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“Art. 26º. (...)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(...)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§ 2º. A pensão provisória, decorridos 5 (cinco) anos após sua concessão, será transformada em vitalícia ou temporária, conforme o caso, sendo que para definição será aplicada a mesma regra da alínea “c” do inciso V do parágrafo segundo do artigo 23 desta Lei, ressalvado o eventual reaparecimento do servidor, hipótese em que o benefício será automaticamente cancelado;”.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b/>
          <w:szCs w:val="24"/>
        </w:rPr>
      </w:pPr>
      <w:r w:rsidRPr="00390AC4">
        <w:rPr>
          <w:rFonts w:ascii="Tahoma" w:hAnsi="Tahoma" w:cs="Tahoma"/>
          <w:szCs w:val="24"/>
        </w:rPr>
        <w:t xml:space="preserve"> 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szCs w:val="24"/>
        </w:rPr>
      </w:pPr>
      <w:r w:rsidRPr="00390AC4">
        <w:rPr>
          <w:rFonts w:ascii="Tahoma" w:hAnsi="Tahoma" w:cs="Tahoma"/>
          <w:b/>
          <w:szCs w:val="24"/>
        </w:rPr>
        <w:t>Art. 5º.</w:t>
      </w:r>
      <w:r w:rsidRPr="00390AC4">
        <w:rPr>
          <w:rFonts w:ascii="Tahoma" w:hAnsi="Tahoma" w:cs="Tahoma"/>
          <w:szCs w:val="24"/>
        </w:rPr>
        <w:t xml:space="preserve"> Altera-se a redação do parágrafo terceiro do artigo 49 da Lei Municipal nº 535/2002, que passa a ter a seguinte redação: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b/>
          <w:szCs w:val="24"/>
        </w:rPr>
      </w:pP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“Art. 49º. (...)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szCs w:val="24"/>
        </w:rPr>
      </w:pPr>
      <w:r w:rsidRPr="00390AC4">
        <w:rPr>
          <w:rFonts w:ascii="Tahoma" w:hAnsi="Tahoma" w:cs="Tahoma"/>
          <w:i/>
          <w:szCs w:val="24"/>
        </w:rPr>
        <w:t>(...)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i/>
          <w:vanish/>
          <w:szCs w:val="24"/>
          <w:specVanish/>
        </w:rPr>
      </w:pPr>
      <w:r w:rsidRPr="00390AC4">
        <w:rPr>
          <w:rFonts w:ascii="Tahoma" w:hAnsi="Tahoma" w:cs="Tahoma"/>
          <w:i/>
          <w:szCs w:val="24"/>
        </w:rPr>
        <w:t>§ 3º. A eleição para os órgãos de que trata o caput deste artigo ocorrerá sempre durante o mês de novembro, com a posse dos eleitos em 1º de janeiro do ano seguinte.’”.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szCs w:val="24"/>
        </w:rPr>
      </w:pPr>
      <w:r w:rsidRPr="00390AC4">
        <w:rPr>
          <w:rFonts w:ascii="Tahoma" w:hAnsi="Tahoma" w:cs="Tahoma"/>
          <w:szCs w:val="24"/>
        </w:rPr>
        <w:t xml:space="preserve"> 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szCs w:val="24"/>
        </w:rPr>
      </w:pP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szCs w:val="24"/>
        </w:rPr>
      </w:pPr>
      <w:r w:rsidRPr="00390AC4">
        <w:rPr>
          <w:rFonts w:ascii="Tahoma" w:hAnsi="Tahoma" w:cs="Tahoma"/>
          <w:b/>
          <w:szCs w:val="24"/>
        </w:rPr>
        <w:t>Art. 6º.</w:t>
      </w:r>
      <w:r w:rsidRPr="00390AC4">
        <w:rPr>
          <w:rFonts w:ascii="Tahoma" w:hAnsi="Tahoma" w:cs="Tahoma"/>
          <w:szCs w:val="24"/>
        </w:rPr>
        <w:t xml:space="preserve"> Altera-se a redação do artigo 79 da Lei Municipal nº 535/2002, que passa a ter a seguinte redação: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b/>
          <w:szCs w:val="24"/>
        </w:rPr>
      </w:pP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szCs w:val="24"/>
        </w:rPr>
      </w:pPr>
      <w:r w:rsidRPr="00390AC4">
        <w:rPr>
          <w:rFonts w:ascii="Tahoma" w:hAnsi="Tahoma" w:cs="Tahoma"/>
          <w:i/>
          <w:szCs w:val="24"/>
        </w:rPr>
        <w:t>“Art. 79. A arrecadação e o recolhimento mensal das contribuições ou de outras importâncias devidas ao regime de previdência do Município pelos segurados, pelo ente público ou pelo órgão que promover a sua retenção, deverão ser efetuados ao QUITANDINHAPREV até o 10º (décimo) dia útil do mês seguinte.”</w:t>
      </w:r>
      <w:r w:rsidRPr="00390AC4">
        <w:rPr>
          <w:rFonts w:ascii="Tahoma" w:hAnsi="Tahoma" w:cs="Tahoma"/>
          <w:szCs w:val="24"/>
        </w:rPr>
        <w:t xml:space="preserve"> 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szCs w:val="24"/>
        </w:rPr>
      </w:pP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szCs w:val="24"/>
        </w:rPr>
      </w:pPr>
      <w:r w:rsidRPr="00390AC4">
        <w:rPr>
          <w:rFonts w:ascii="Tahoma" w:hAnsi="Tahoma" w:cs="Tahoma"/>
          <w:b/>
          <w:szCs w:val="24"/>
        </w:rPr>
        <w:lastRenderedPageBreak/>
        <w:t>Art. 7º.</w:t>
      </w:r>
      <w:r w:rsidRPr="00390AC4">
        <w:rPr>
          <w:rFonts w:ascii="Tahoma" w:hAnsi="Tahoma" w:cs="Tahoma"/>
          <w:szCs w:val="24"/>
        </w:rPr>
        <w:t xml:space="preserve"> O Poder Executivo Municipal fará a consolidação da Lei Municipal nº 535, de 14 de março de 2002, com as alterações promovidas por esta Lei, no prazo máximo de 90 (noventa) dias, promovendo ainda sua publicação.</w:t>
      </w: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szCs w:val="24"/>
        </w:rPr>
      </w:pPr>
    </w:p>
    <w:p w:rsidR="00CB5815" w:rsidRPr="00390AC4" w:rsidRDefault="00CB5815" w:rsidP="00390AC4">
      <w:pPr>
        <w:pStyle w:val="Recuodecorpodetexto2"/>
        <w:ind w:left="0" w:firstLine="851"/>
        <w:rPr>
          <w:rFonts w:ascii="Tahoma" w:hAnsi="Tahoma" w:cs="Tahoma"/>
          <w:szCs w:val="24"/>
        </w:rPr>
      </w:pPr>
      <w:r w:rsidRPr="00390AC4">
        <w:rPr>
          <w:rFonts w:ascii="Tahoma" w:hAnsi="Tahoma" w:cs="Tahoma"/>
          <w:b/>
          <w:szCs w:val="24"/>
        </w:rPr>
        <w:t>Art. 8º.</w:t>
      </w:r>
      <w:r w:rsidRPr="00390AC4">
        <w:rPr>
          <w:rFonts w:ascii="Tahoma" w:hAnsi="Tahoma" w:cs="Tahoma"/>
          <w:szCs w:val="24"/>
        </w:rPr>
        <w:t xml:space="preserve"> Esta lei entra em vigor na data de sua publicação, revogadas as disposições em contrário.</w:t>
      </w:r>
    </w:p>
    <w:p w:rsidR="00CB5815" w:rsidRPr="00390AC4" w:rsidRDefault="00CB5815" w:rsidP="00390AC4">
      <w:pPr>
        <w:ind w:firstLine="851"/>
        <w:jc w:val="both"/>
        <w:rPr>
          <w:rFonts w:ascii="Tahoma" w:hAnsi="Tahoma" w:cs="Tahoma"/>
          <w:sz w:val="24"/>
          <w:szCs w:val="24"/>
        </w:rPr>
      </w:pPr>
    </w:p>
    <w:p w:rsidR="00CB5815" w:rsidRPr="00390AC4" w:rsidRDefault="00CB5815" w:rsidP="00390AC4">
      <w:pPr>
        <w:ind w:firstLine="851"/>
        <w:jc w:val="both"/>
        <w:rPr>
          <w:rFonts w:ascii="Tahoma" w:hAnsi="Tahoma" w:cs="Tahoma"/>
          <w:sz w:val="24"/>
          <w:szCs w:val="24"/>
        </w:rPr>
      </w:pPr>
      <w:r w:rsidRPr="00390AC4">
        <w:rPr>
          <w:rFonts w:ascii="Tahoma" w:hAnsi="Tahoma" w:cs="Tahoma"/>
          <w:sz w:val="24"/>
          <w:szCs w:val="24"/>
        </w:rPr>
        <w:t xml:space="preserve">Gabinete do Prefeito Municipal de Quitandinha, Estado do Paraná, em </w:t>
      </w:r>
      <w:r w:rsidR="00247B1D">
        <w:rPr>
          <w:rFonts w:ascii="Tahoma" w:hAnsi="Tahoma" w:cs="Tahoma"/>
          <w:sz w:val="24"/>
          <w:szCs w:val="24"/>
        </w:rPr>
        <w:t>19</w:t>
      </w:r>
      <w:r w:rsidRPr="00390AC4">
        <w:rPr>
          <w:rFonts w:ascii="Tahoma" w:hAnsi="Tahoma" w:cs="Tahoma"/>
          <w:sz w:val="24"/>
          <w:szCs w:val="24"/>
        </w:rPr>
        <w:t xml:space="preserve"> de </w:t>
      </w:r>
      <w:r w:rsidR="00247B1D">
        <w:rPr>
          <w:rFonts w:ascii="Tahoma" w:hAnsi="Tahoma" w:cs="Tahoma"/>
          <w:sz w:val="24"/>
          <w:szCs w:val="24"/>
        </w:rPr>
        <w:t>outu</w:t>
      </w:r>
      <w:r w:rsidRPr="00390AC4">
        <w:rPr>
          <w:rFonts w:ascii="Tahoma" w:hAnsi="Tahoma" w:cs="Tahoma"/>
          <w:sz w:val="24"/>
          <w:szCs w:val="24"/>
        </w:rPr>
        <w:t>bro de 2016.</w:t>
      </w:r>
    </w:p>
    <w:p w:rsidR="00CB5815" w:rsidRPr="00390AC4" w:rsidRDefault="00CB5815" w:rsidP="00CB5815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:rsidR="00CB5815" w:rsidRPr="00390AC4" w:rsidRDefault="00CB5815" w:rsidP="00CB5815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:rsidR="00CB5815" w:rsidRPr="00390AC4" w:rsidRDefault="00CB5815" w:rsidP="00CB5815">
      <w:pPr>
        <w:pStyle w:val="Ttulo3"/>
        <w:ind w:hanging="390"/>
        <w:jc w:val="center"/>
        <w:rPr>
          <w:rFonts w:ascii="Tahoma" w:hAnsi="Tahoma" w:cs="Tahoma"/>
          <w:i w:val="0"/>
          <w:szCs w:val="24"/>
        </w:rPr>
      </w:pPr>
      <w:r w:rsidRPr="00390AC4">
        <w:rPr>
          <w:rFonts w:ascii="Tahoma" w:hAnsi="Tahoma" w:cs="Tahoma"/>
          <w:i w:val="0"/>
          <w:szCs w:val="24"/>
        </w:rPr>
        <w:t>MARCIO NERI DE OLIVEIRA</w:t>
      </w: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sz w:val="24"/>
          <w:szCs w:val="24"/>
        </w:rPr>
      </w:pPr>
      <w:r w:rsidRPr="00390AC4">
        <w:rPr>
          <w:rFonts w:ascii="Tahoma" w:hAnsi="Tahoma" w:cs="Tahoma"/>
          <w:sz w:val="24"/>
          <w:szCs w:val="24"/>
        </w:rPr>
        <w:t>Prefeito Municipal</w:t>
      </w: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sz w:val="24"/>
          <w:szCs w:val="24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sz w:val="24"/>
          <w:szCs w:val="24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4"/>
          <w:szCs w:val="24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4"/>
          <w:szCs w:val="24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4"/>
          <w:szCs w:val="24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4"/>
          <w:szCs w:val="24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Pr="00390AC4" w:rsidRDefault="00CB5815" w:rsidP="00CB5815">
      <w:pPr>
        <w:ind w:left="390" w:hanging="390"/>
        <w:jc w:val="center"/>
        <w:rPr>
          <w:rFonts w:ascii="Tahoma" w:hAnsi="Tahoma" w:cs="Tahoma"/>
          <w:b/>
          <w:sz w:val="26"/>
          <w:szCs w:val="26"/>
        </w:rPr>
      </w:pPr>
    </w:p>
    <w:p w:rsidR="00CB5815" w:rsidRDefault="00CB5815" w:rsidP="00CB5815">
      <w:pPr>
        <w:spacing w:line="276" w:lineRule="auto"/>
        <w:ind w:left="390" w:hanging="390"/>
        <w:jc w:val="center"/>
        <w:rPr>
          <w:rFonts w:ascii="Tahoma" w:hAnsi="Tahoma" w:cs="Tahoma"/>
          <w:sz w:val="26"/>
          <w:szCs w:val="26"/>
        </w:rPr>
      </w:pPr>
    </w:p>
    <w:p w:rsidR="00390AC4" w:rsidRDefault="00390AC4" w:rsidP="00CB5815">
      <w:pPr>
        <w:spacing w:line="276" w:lineRule="auto"/>
        <w:ind w:left="390" w:hanging="390"/>
        <w:jc w:val="center"/>
        <w:rPr>
          <w:rFonts w:ascii="Tahoma" w:hAnsi="Tahoma" w:cs="Tahoma"/>
          <w:sz w:val="26"/>
          <w:szCs w:val="26"/>
        </w:rPr>
      </w:pPr>
    </w:p>
    <w:sectPr w:rsidR="00390AC4" w:rsidSect="00390AC4">
      <w:headerReference w:type="even" r:id="rId8"/>
      <w:headerReference w:type="default" r:id="rId9"/>
      <w:footerReference w:type="default" r:id="rId10"/>
      <w:pgSz w:w="12240" w:h="15840"/>
      <w:pgMar w:top="2126" w:right="1183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44" w:rsidRDefault="00F24844" w:rsidP="006C5478">
      <w:r>
        <w:separator/>
      </w:r>
    </w:p>
  </w:endnote>
  <w:endnote w:type="continuationSeparator" w:id="0">
    <w:p w:rsidR="00F24844" w:rsidRDefault="00F24844" w:rsidP="006C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D" w:rsidRPr="007A0037" w:rsidRDefault="00DE0CA9" w:rsidP="00144F8D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</w:t>
    </w:r>
    <w:r w:rsidR="00A55DD6">
      <w:rPr>
        <w:rFonts w:ascii="Calibri" w:hAnsi="Calibri"/>
        <w:sz w:val="8"/>
        <w:szCs w:val="8"/>
      </w:rPr>
      <w:t>_________________</w:t>
    </w:r>
  </w:p>
  <w:p w:rsidR="00144F8D" w:rsidRDefault="00DE0CA9" w:rsidP="00144F8D">
    <w:pPr>
      <w:pStyle w:val="Rodap"/>
      <w:jc w:val="center"/>
      <w:rPr>
        <w:rFonts w:ascii="Calibri" w:hAnsi="Calibri"/>
      </w:rPr>
    </w:pPr>
    <w:r>
      <w:rPr>
        <w:rFonts w:ascii="Calibri" w:hAnsi="Calibri"/>
      </w:rPr>
      <w:t xml:space="preserve">Rua José de Sá Ribas, 238, Centro, Fone: (41) 3623-1231, CEP: 83840-000, </w:t>
    </w:r>
    <w:hyperlink r:id="rId1" w:history="1">
      <w:r w:rsidRPr="00E50F6D">
        <w:rPr>
          <w:rStyle w:val="Hyperlink"/>
          <w:rFonts w:ascii="Calibri" w:hAnsi="Calibri"/>
        </w:rPr>
        <w:t>www.quitandinha.pr.gov.br</w:t>
      </w:r>
    </w:hyperlink>
  </w:p>
  <w:p w:rsidR="00144F8D" w:rsidRDefault="00F248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44" w:rsidRDefault="00F24844" w:rsidP="006C5478">
      <w:r>
        <w:separator/>
      </w:r>
    </w:p>
  </w:footnote>
  <w:footnote w:type="continuationSeparator" w:id="0">
    <w:p w:rsidR="00F24844" w:rsidRDefault="00F24844" w:rsidP="006C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D" w:rsidRDefault="009705D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0CA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0C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4F8D" w:rsidRDefault="00F2484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D" w:rsidRDefault="009705DE">
    <w:pPr>
      <w:pStyle w:val="Cabealho"/>
      <w:ind w:right="360"/>
    </w:pPr>
    <w:r w:rsidRPr="009705DE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4144" fillcolor="window">
          <v:imagedata r:id="rId1" o:title=""/>
        </v:shape>
        <o:OLEObject Type="Embed" ProgID="PBrush" ShapeID="_x0000_s1027" DrawAspect="Content" ObjectID="_1538390390" r:id="rId2"/>
      </w:pict>
    </w:r>
    <w:r w:rsidRPr="009705DE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61312" o:allowincell="f" filled="f" fillcolor="#ff9" strokecolor="white">
          <v:fill color2="red" focus="100%" type="gradient"/>
          <v:textbox style="mso-next-textbox:#_x0000_s1026">
            <w:txbxContent>
              <w:p w:rsidR="00144F8D" w:rsidRPr="00E25F32" w:rsidRDefault="00DE0CA9" w:rsidP="00144F8D">
                <w:pPr>
                  <w:jc w:val="center"/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</w:pPr>
                <w:r w:rsidRPr="00E25F32"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  <w:t>PREFEITURA MUNICIPAL DE QUITANDINHA</w:t>
                </w:r>
              </w:p>
              <w:p w:rsidR="00144F8D" w:rsidRPr="00E25F32" w:rsidRDefault="00F24844" w:rsidP="00144F8D">
                <w:pPr>
                  <w:jc w:val="center"/>
                  <w:rPr>
                    <w:rFonts w:ascii="Calibri" w:hAnsi="Calibri"/>
                    <w:b/>
                    <w:color w:val="808080"/>
                    <w:sz w:val="12"/>
                    <w:szCs w:val="12"/>
                  </w:rPr>
                </w:pPr>
              </w:p>
              <w:p w:rsidR="00144F8D" w:rsidRPr="00E25F32" w:rsidRDefault="00DE0CA9" w:rsidP="00144F8D">
                <w:pPr>
                  <w:jc w:val="center"/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</w:pPr>
                <w:r w:rsidRPr="00E25F32"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  <w:t>Gabinete do Prefeito</w:t>
                </w:r>
              </w:p>
              <w:p w:rsidR="00144F8D" w:rsidRPr="00E50F6D" w:rsidRDefault="00F24844" w:rsidP="00144F8D">
                <w:pPr>
                  <w:jc w:val="center"/>
                  <w:rPr>
                    <w:rFonts w:ascii="Calibri" w:hAnsi="Calibri"/>
                  </w:rPr>
                </w:pPr>
              </w:p>
              <w:p w:rsidR="00144F8D" w:rsidRPr="00E50F6D" w:rsidRDefault="00F24844" w:rsidP="00144F8D">
                <w:pPr>
                  <w:jc w:val="center"/>
                  <w:rPr>
                    <w:rFonts w:ascii="Calibri" w:hAnsi="Calibri"/>
                  </w:rPr>
                </w:pPr>
              </w:p>
              <w:p w:rsidR="00144F8D" w:rsidRPr="00E50F6D" w:rsidRDefault="00F24844" w:rsidP="00144F8D">
                <w:pPr>
                  <w:jc w:val="center"/>
                  <w:rPr>
                    <w:rFonts w:ascii="Arial Narrow" w:hAnsi="Arial Narrow"/>
                  </w:rPr>
                </w:pPr>
              </w:p>
              <w:p w:rsidR="00144F8D" w:rsidRPr="00E50F6D" w:rsidRDefault="00F24844" w:rsidP="00144F8D">
                <w:pPr>
                  <w:jc w:val="center"/>
                  <w:rPr>
                    <w:rFonts w:ascii="Arial Narrow" w:hAnsi="Arial Narrow"/>
                  </w:rPr>
                </w:pPr>
              </w:p>
              <w:p w:rsidR="00144F8D" w:rsidRPr="00E50F6D" w:rsidRDefault="00F24844" w:rsidP="00144F8D">
                <w:pPr>
                  <w:jc w:val="center"/>
                  <w:rPr>
                    <w:rFonts w:ascii="Arial Narrow" w:hAnsi="Arial Narrow"/>
                  </w:rPr>
                </w:pPr>
              </w:p>
            </w:txbxContent>
          </v:textbox>
        </v:shape>
      </w:pict>
    </w:r>
    <w:r w:rsidRPr="009705DE">
      <w:rPr>
        <w:rFonts w:ascii="Arial" w:hAnsi="Arial" w:cs="Arial"/>
        <w:noProof/>
      </w:rPr>
      <w:pict>
        <v:line id="_x0000_s1025" style="position:absolute;left:0;text-align:left;z-index:251660288" from="-2.35pt,75pt" to="480.05pt,75pt" o:allowincell="f" strokecolor="red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3A363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5171"/>
    <w:rsid w:val="00026DB5"/>
    <w:rsid w:val="00027E20"/>
    <w:rsid w:val="000E13F8"/>
    <w:rsid w:val="000F1FEC"/>
    <w:rsid w:val="000F2618"/>
    <w:rsid w:val="00125888"/>
    <w:rsid w:val="001456A3"/>
    <w:rsid w:val="001469A4"/>
    <w:rsid w:val="001623F8"/>
    <w:rsid w:val="00165565"/>
    <w:rsid w:val="00165676"/>
    <w:rsid w:val="001678DA"/>
    <w:rsid w:val="001C50CE"/>
    <w:rsid w:val="001C7928"/>
    <w:rsid w:val="001D38A8"/>
    <w:rsid w:val="001D7324"/>
    <w:rsid w:val="001F241C"/>
    <w:rsid w:val="00205F23"/>
    <w:rsid w:val="002116B5"/>
    <w:rsid w:val="002133F3"/>
    <w:rsid w:val="00247B1D"/>
    <w:rsid w:val="002909C8"/>
    <w:rsid w:val="002D109D"/>
    <w:rsid w:val="0033769F"/>
    <w:rsid w:val="00371C59"/>
    <w:rsid w:val="00390AC4"/>
    <w:rsid w:val="0039257A"/>
    <w:rsid w:val="003D3CB6"/>
    <w:rsid w:val="003E6164"/>
    <w:rsid w:val="004133DC"/>
    <w:rsid w:val="00425F64"/>
    <w:rsid w:val="00442F18"/>
    <w:rsid w:val="00442FDB"/>
    <w:rsid w:val="00444669"/>
    <w:rsid w:val="00477E94"/>
    <w:rsid w:val="004C03B7"/>
    <w:rsid w:val="004E4AD0"/>
    <w:rsid w:val="004E6829"/>
    <w:rsid w:val="004F2EE5"/>
    <w:rsid w:val="005220F6"/>
    <w:rsid w:val="00550B33"/>
    <w:rsid w:val="00555956"/>
    <w:rsid w:val="005722D6"/>
    <w:rsid w:val="00582181"/>
    <w:rsid w:val="005862A4"/>
    <w:rsid w:val="005A5C8E"/>
    <w:rsid w:val="005D5421"/>
    <w:rsid w:val="005F1828"/>
    <w:rsid w:val="006140AB"/>
    <w:rsid w:val="00615880"/>
    <w:rsid w:val="00622BCF"/>
    <w:rsid w:val="00632BC9"/>
    <w:rsid w:val="00633FB6"/>
    <w:rsid w:val="006C5346"/>
    <w:rsid w:val="006C5478"/>
    <w:rsid w:val="006D443A"/>
    <w:rsid w:val="006E0E38"/>
    <w:rsid w:val="006E2722"/>
    <w:rsid w:val="006E5B56"/>
    <w:rsid w:val="00705C04"/>
    <w:rsid w:val="007202DD"/>
    <w:rsid w:val="00731039"/>
    <w:rsid w:val="00760CC6"/>
    <w:rsid w:val="007A5804"/>
    <w:rsid w:val="007C6E45"/>
    <w:rsid w:val="007E2225"/>
    <w:rsid w:val="00836FEE"/>
    <w:rsid w:val="008459DE"/>
    <w:rsid w:val="0086148A"/>
    <w:rsid w:val="00865CAF"/>
    <w:rsid w:val="00873EDF"/>
    <w:rsid w:val="00875FBE"/>
    <w:rsid w:val="00892C45"/>
    <w:rsid w:val="008B24BE"/>
    <w:rsid w:val="008E3DC7"/>
    <w:rsid w:val="00915E86"/>
    <w:rsid w:val="00924471"/>
    <w:rsid w:val="009672D3"/>
    <w:rsid w:val="009705DE"/>
    <w:rsid w:val="00995D71"/>
    <w:rsid w:val="009A1760"/>
    <w:rsid w:val="009A1D28"/>
    <w:rsid w:val="009C44C7"/>
    <w:rsid w:val="009F0AD5"/>
    <w:rsid w:val="009F2439"/>
    <w:rsid w:val="00A31DD3"/>
    <w:rsid w:val="00A55DD6"/>
    <w:rsid w:val="00A56F8A"/>
    <w:rsid w:val="00A72FA3"/>
    <w:rsid w:val="00AA5171"/>
    <w:rsid w:val="00AB3F85"/>
    <w:rsid w:val="00AC6895"/>
    <w:rsid w:val="00AF5563"/>
    <w:rsid w:val="00B21A92"/>
    <w:rsid w:val="00B2352A"/>
    <w:rsid w:val="00BC11DD"/>
    <w:rsid w:val="00C526C4"/>
    <w:rsid w:val="00C63FF5"/>
    <w:rsid w:val="00C75EF1"/>
    <w:rsid w:val="00CB317D"/>
    <w:rsid w:val="00CB5815"/>
    <w:rsid w:val="00CC2DC0"/>
    <w:rsid w:val="00CD59D1"/>
    <w:rsid w:val="00CD5B62"/>
    <w:rsid w:val="00CF69B9"/>
    <w:rsid w:val="00D02BE8"/>
    <w:rsid w:val="00D11E76"/>
    <w:rsid w:val="00D17EC2"/>
    <w:rsid w:val="00D21262"/>
    <w:rsid w:val="00DB565F"/>
    <w:rsid w:val="00DD2914"/>
    <w:rsid w:val="00DE0CA9"/>
    <w:rsid w:val="00DE0ECC"/>
    <w:rsid w:val="00DE7C7D"/>
    <w:rsid w:val="00DF75F3"/>
    <w:rsid w:val="00E0175A"/>
    <w:rsid w:val="00E10921"/>
    <w:rsid w:val="00E238E6"/>
    <w:rsid w:val="00E26C20"/>
    <w:rsid w:val="00E42228"/>
    <w:rsid w:val="00E45450"/>
    <w:rsid w:val="00E454BB"/>
    <w:rsid w:val="00E826D2"/>
    <w:rsid w:val="00EA04CB"/>
    <w:rsid w:val="00EB2DE9"/>
    <w:rsid w:val="00ED0E9C"/>
    <w:rsid w:val="00EF642D"/>
    <w:rsid w:val="00F0415C"/>
    <w:rsid w:val="00F24844"/>
    <w:rsid w:val="00F26E2E"/>
    <w:rsid w:val="00F82318"/>
    <w:rsid w:val="00F86140"/>
    <w:rsid w:val="00FA273A"/>
    <w:rsid w:val="00FB3730"/>
    <w:rsid w:val="00FC3574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815"/>
    <w:pPr>
      <w:keepNext/>
      <w:ind w:left="3969"/>
      <w:jc w:val="both"/>
      <w:outlineLvl w:val="0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B5815"/>
    <w:pPr>
      <w:keepNext/>
      <w:ind w:left="390"/>
      <w:jc w:val="both"/>
      <w:outlineLvl w:val="2"/>
    </w:pPr>
    <w:rPr>
      <w:rFonts w:ascii="Arial" w:hAnsi="Arial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A5171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AA517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AA5171"/>
  </w:style>
  <w:style w:type="character" w:styleId="Hyperlink">
    <w:name w:val="Hyperlink"/>
    <w:basedOn w:val="Fontepargpadro"/>
    <w:semiHidden/>
    <w:rsid w:val="00AA517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AA51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AA51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reformatted">
    <w:name w:val="Preformatted"/>
    <w:basedOn w:val="Normal"/>
    <w:rsid w:val="00AA51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Commarcadores">
    <w:name w:val="List Bullet"/>
    <w:basedOn w:val="Normal"/>
    <w:uiPriority w:val="99"/>
    <w:unhideWhenUsed/>
    <w:rsid w:val="0086148A"/>
    <w:pPr>
      <w:numPr>
        <w:numId w:val="1"/>
      </w:numPr>
      <w:contextualSpacing/>
    </w:pPr>
  </w:style>
  <w:style w:type="character" w:customStyle="1" w:styleId="Ttulo1Char">
    <w:name w:val="Título 1 Char"/>
    <w:basedOn w:val="Fontepargpadro"/>
    <w:link w:val="Ttulo1"/>
    <w:rsid w:val="00CB58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B5815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B5815"/>
    <w:pPr>
      <w:ind w:left="3969"/>
      <w:jc w:val="both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B581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815"/>
    <w:pPr>
      <w:ind w:left="3969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81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itandinha.pr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BEFA-A674-4EDE-AC4B-2DD2A954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2016-09-06T12:29:00Z</cp:lastPrinted>
  <dcterms:created xsi:type="dcterms:W3CDTF">2016-10-19T13:53:00Z</dcterms:created>
  <dcterms:modified xsi:type="dcterms:W3CDTF">2016-10-19T15:53:00Z</dcterms:modified>
</cp:coreProperties>
</file>