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00772" w14:textId="77777777" w:rsidR="001F064D" w:rsidRDefault="006F2D40">
      <w:r w:rsidRPr="00A648C6">
        <w:rPr>
          <w:b/>
        </w:rPr>
        <w:t>Activity</w:t>
      </w:r>
      <w:r>
        <w:t>: Watch Karen Armstrong’s “Let’s Revive the Golden Rule” (</w:t>
      </w:r>
      <w:hyperlink r:id="rId6" w:history="1">
        <w:r w:rsidRPr="00616C37">
          <w:rPr>
            <w:rStyle w:val="Hyperlink"/>
          </w:rPr>
          <w:t>https://www.ted.com/talks/karen_armstrong_let_s_revive_the_golden_rule#</w:t>
        </w:r>
      </w:hyperlink>
      <w:r>
        <w:t xml:space="preserve">) </w:t>
      </w:r>
    </w:p>
    <w:p w14:paraId="123A8E43" w14:textId="77777777" w:rsidR="006F2D40" w:rsidRDefault="006F2D40">
      <w:r w:rsidRPr="00A648C6">
        <w:rPr>
          <w:b/>
        </w:rPr>
        <w:t>Task</w:t>
      </w:r>
      <w:r w:rsidRPr="006F2D40">
        <w:t>: Write a personal response of 200 to 250 words based on ONE of the following prompts:</w:t>
      </w:r>
      <w:bookmarkStart w:id="0" w:name="_GoBack"/>
      <w:bookmarkEnd w:id="0"/>
    </w:p>
    <w:p w14:paraId="6B705EC1" w14:textId="77777777" w:rsidR="006F2D40" w:rsidRDefault="006F2D40">
      <w:r w:rsidRPr="00A648C6">
        <w:rPr>
          <w:u w:val="single"/>
        </w:rPr>
        <w:t>Prompt A</w:t>
      </w:r>
      <w:r>
        <w:t>: “</w:t>
      </w:r>
      <w:r w:rsidRPr="006F2D40">
        <w:t>If we don't manage to implement the Golden Rule globally, so that we treat all peoples, wherever and whoever they may be, as though they were as important as ourselves, I doubt that we'll have a viable world to hand on to the next generation.</w:t>
      </w:r>
      <w:r w:rsidR="00A648C6">
        <w:t>”</w:t>
      </w:r>
    </w:p>
    <w:p w14:paraId="50EFF7B7" w14:textId="77777777" w:rsidR="00A648C6" w:rsidRDefault="00A648C6">
      <w:r>
        <w:t>Or</w:t>
      </w:r>
    </w:p>
    <w:p w14:paraId="20FF0D03" w14:textId="77777777" w:rsidR="00A648C6" w:rsidRDefault="00A648C6">
      <w:r w:rsidRPr="00A648C6">
        <w:rPr>
          <w:u w:val="single"/>
        </w:rPr>
        <w:t>Prompt B</w:t>
      </w:r>
      <w:r>
        <w:t>: “</w:t>
      </w:r>
      <w:r w:rsidRPr="00A648C6">
        <w:t>But of course you don't understand compassion if you're just going to think about it. You also have to do it.</w:t>
      </w:r>
      <w:r>
        <w:t>”</w:t>
      </w:r>
    </w:p>
    <w:p w14:paraId="73A2E449" w14:textId="77777777" w:rsidR="00A648C6" w:rsidRPr="00A648C6" w:rsidRDefault="00A648C6" w:rsidP="00A648C6">
      <w:pPr>
        <w:rPr>
          <w:b/>
          <w:bCs/>
          <w:lang w:val="en-CA"/>
        </w:rPr>
      </w:pPr>
      <w:r w:rsidRPr="00A648C6">
        <w:rPr>
          <w:b/>
          <w:bCs/>
          <w:lang w:val="en-CA"/>
        </w:rPr>
        <w:t>Personal Respo</w:t>
      </w:r>
      <w:r>
        <w:rPr>
          <w:b/>
          <w:bCs/>
          <w:lang w:val="en-CA"/>
        </w:rPr>
        <w:t>nse Rubric -</w:t>
      </w:r>
      <w:r w:rsidRPr="00A648C6">
        <w:rPr>
          <w:b/>
          <w:bCs/>
          <w:lang w:val="en-CA"/>
        </w:rPr>
        <w:t xml:space="preserve"> </w:t>
      </w:r>
      <w:r>
        <w:rPr>
          <w:b/>
          <w:bCs/>
          <w:lang w:val="en-CA"/>
        </w:rPr>
        <w:t>HRT3M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8"/>
        <w:gridCol w:w="2088"/>
      </w:tblGrid>
      <w:tr w:rsidR="00A648C6" w:rsidRPr="00A648C6" w14:paraId="2158318E" w14:textId="77777777" w:rsidTr="00795194">
        <w:tc>
          <w:tcPr>
            <w:tcW w:w="6768" w:type="dxa"/>
          </w:tcPr>
          <w:p w14:paraId="4B1CA733" w14:textId="77777777" w:rsidR="00A648C6" w:rsidRPr="00A648C6" w:rsidRDefault="00A648C6" w:rsidP="00A648C6">
            <w:r w:rsidRPr="00A648C6">
              <w:t>Author’s position stated in the student’s own words.</w:t>
            </w:r>
          </w:p>
          <w:p w14:paraId="254731E9" w14:textId="77777777" w:rsidR="00A648C6" w:rsidRPr="00A648C6" w:rsidRDefault="00A648C6" w:rsidP="00A648C6">
            <w:pPr>
              <w:rPr>
                <w:lang w:val="en-CA"/>
              </w:rPr>
            </w:pPr>
          </w:p>
        </w:tc>
        <w:tc>
          <w:tcPr>
            <w:tcW w:w="2088" w:type="dxa"/>
          </w:tcPr>
          <w:p w14:paraId="37527E14" w14:textId="77777777" w:rsidR="00A648C6" w:rsidRPr="00A648C6" w:rsidRDefault="00A648C6" w:rsidP="00A648C6">
            <w:pPr>
              <w:rPr>
                <w:lang w:val="en-CA"/>
              </w:rPr>
            </w:pPr>
            <w:r w:rsidRPr="00A648C6">
              <w:rPr>
                <w:lang w:val="en-CA"/>
              </w:rPr>
              <w:t>/2 marks</w:t>
            </w:r>
          </w:p>
          <w:p w14:paraId="72BB9536" w14:textId="77777777" w:rsidR="00A648C6" w:rsidRPr="00A648C6" w:rsidRDefault="00A648C6" w:rsidP="00A648C6">
            <w:pPr>
              <w:rPr>
                <w:lang w:val="en-CA"/>
              </w:rPr>
            </w:pPr>
            <w:r w:rsidRPr="00A648C6">
              <w:rPr>
                <w:lang w:val="en-CA"/>
              </w:rPr>
              <w:t>[Application]</w:t>
            </w:r>
          </w:p>
        </w:tc>
      </w:tr>
      <w:tr w:rsidR="00A648C6" w:rsidRPr="00A648C6" w14:paraId="0F1E35C2" w14:textId="77777777" w:rsidTr="00795194">
        <w:tc>
          <w:tcPr>
            <w:tcW w:w="6768" w:type="dxa"/>
          </w:tcPr>
          <w:p w14:paraId="4F71CEA8" w14:textId="77777777" w:rsidR="00A648C6" w:rsidRPr="00A648C6" w:rsidRDefault="00A648C6" w:rsidP="00A648C6">
            <w:pPr>
              <w:rPr>
                <w:lang w:val="en-CA"/>
              </w:rPr>
            </w:pPr>
            <w:r w:rsidRPr="00A648C6">
              <w:t xml:space="preserve">Student’s position stated and compared with the author’s view. </w:t>
            </w:r>
          </w:p>
        </w:tc>
        <w:tc>
          <w:tcPr>
            <w:tcW w:w="2088" w:type="dxa"/>
          </w:tcPr>
          <w:p w14:paraId="5C11D41A" w14:textId="77777777" w:rsidR="00A648C6" w:rsidRPr="00A648C6" w:rsidRDefault="00A648C6" w:rsidP="00A648C6">
            <w:pPr>
              <w:rPr>
                <w:lang w:val="en-CA"/>
              </w:rPr>
            </w:pPr>
            <w:r w:rsidRPr="00A648C6">
              <w:rPr>
                <w:lang w:val="en-CA"/>
              </w:rPr>
              <w:t>/2 marks</w:t>
            </w:r>
          </w:p>
          <w:p w14:paraId="3302D7D1" w14:textId="77777777" w:rsidR="00A648C6" w:rsidRPr="00A648C6" w:rsidRDefault="00A648C6" w:rsidP="00A648C6">
            <w:pPr>
              <w:rPr>
                <w:lang w:val="en-CA"/>
              </w:rPr>
            </w:pPr>
            <w:r w:rsidRPr="00A648C6">
              <w:rPr>
                <w:lang w:val="en-CA"/>
              </w:rPr>
              <w:t>[Application]</w:t>
            </w:r>
          </w:p>
        </w:tc>
      </w:tr>
      <w:tr w:rsidR="00A648C6" w:rsidRPr="00A648C6" w14:paraId="6065F7F3" w14:textId="77777777" w:rsidTr="00795194">
        <w:tc>
          <w:tcPr>
            <w:tcW w:w="6768" w:type="dxa"/>
          </w:tcPr>
          <w:p w14:paraId="15011C3C" w14:textId="77777777" w:rsidR="00A648C6" w:rsidRPr="00A648C6" w:rsidRDefault="00A648C6" w:rsidP="00A648C6">
            <w:pPr>
              <w:rPr>
                <w:lang w:val="en-CA"/>
              </w:rPr>
            </w:pPr>
            <w:r w:rsidRPr="00A648C6">
              <w:rPr>
                <w:lang w:val="en-CA"/>
              </w:rPr>
              <w:t>Specific examples from personal experience or observation to support the student’s position.</w:t>
            </w:r>
          </w:p>
        </w:tc>
        <w:tc>
          <w:tcPr>
            <w:tcW w:w="2088" w:type="dxa"/>
          </w:tcPr>
          <w:p w14:paraId="66A4EB95" w14:textId="77777777" w:rsidR="00A648C6" w:rsidRPr="00A648C6" w:rsidRDefault="00A648C6" w:rsidP="00A648C6">
            <w:pPr>
              <w:rPr>
                <w:lang w:val="en-CA"/>
              </w:rPr>
            </w:pPr>
            <w:r w:rsidRPr="00A648C6">
              <w:rPr>
                <w:lang w:val="en-CA"/>
              </w:rPr>
              <w:t>/4 marks</w:t>
            </w:r>
          </w:p>
          <w:p w14:paraId="5FEE9F66" w14:textId="77777777" w:rsidR="00A648C6" w:rsidRPr="00A648C6" w:rsidRDefault="00A648C6" w:rsidP="00A648C6">
            <w:pPr>
              <w:rPr>
                <w:lang w:val="en-CA"/>
              </w:rPr>
            </w:pPr>
            <w:r w:rsidRPr="00A648C6">
              <w:rPr>
                <w:lang w:val="en-CA"/>
              </w:rPr>
              <w:t>[Thinking]</w:t>
            </w:r>
          </w:p>
        </w:tc>
      </w:tr>
      <w:tr w:rsidR="00A648C6" w:rsidRPr="00A648C6" w14:paraId="378EE195" w14:textId="77777777" w:rsidTr="00795194">
        <w:tc>
          <w:tcPr>
            <w:tcW w:w="6768" w:type="dxa"/>
          </w:tcPr>
          <w:p w14:paraId="42E614B2" w14:textId="77777777" w:rsidR="00A648C6" w:rsidRPr="00A648C6" w:rsidRDefault="00A648C6" w:rsidP="00A648C6">
            <w:pPr>
              <w:rPr>
                <w:lang w:val="en-CA"/>
              </w:rPr>
            </w:pPr>
            <w:r w:rsidRPr="00A648C6">
              <w:rPr>
                <w:lang w:val="en-CA"/>
              </w:rPr>
              <w:t>Judgement made or conclusion drawn.</w:t>
            </w:r>
          </w:p>
        </w:tc>
        <w:tc>
          <w:tcPr>
            <w:tcW w:w="2088" w:type="dxa"/>
          </w:tcPr>
          <w:p w14:paraId="0FB4CE54" w14:textId="77777777" w:rsidR="00A648C6" w:rsidRPr="00A648C6" w:rsidRDefault="00A648C6" w:rsidP="00A648C6">
            <w:pPr>
              <w:rPr>
                <w:lang w:val="en-CA"/>
              </w:rPr>
            </w:pPr>
            <w:r w:rsidRPr="00A648C6">
              <w:rPr>
                <w:lang w:val="en-CA"/>
              </w:rPr>
              <w:t>/2 marks</w:t>
            </w:r>
          </w:p>
          <w:p w14:paraId="265C21F1" w14:textId="77777777" w:rsidR="00A648C6" w:rsidRPr="00A648C6" w:rsidRDefault="00A648C6" w:rsidP="00A648C6">
            <w:pPr>
              <w:rPr>
                <w:lang w:val="en-CA"/>
              </w:rPr>
            </w:pPr>
            <w:r w:rsidRPr="00A648C6">
              <w:rPr>
                <w:lang w:val="en-CA"/>
              </w:rPr>
              <w:t>[Thinking]</w:t>
            </w:r>
          </w:p>
        </w:tc>
      </w:tr>
      <w:tr w:rsidR="00A648C6" w:rsidRPr="00A648C6" w14:paraId="1F30A677" w14:textId="77777777" w:rsidTr="00795194">
        <w:tc>
          <w:tcPr>
            <w:tcW w:w="6768" w:type="dxa"/>
          </w:tcPr>
          <w:p w14:paraId="7F70F275" w14:textId="77777777" w:rsidR="00A648C6" w:rsidRPr="00A648C6" w:rsidRDefault="00A648C6" w:rsidP="00A648C6">
            <w:pPr>
              <w:rPr>
                <w:lang w:val="en-CA"/>
              </w:rPr>
            </w:pPr>
            <w:r w:rsidRPr="00A648C6">
              <w:rPr>
                <w:lang w:val="en-CA"/>
              </w:rPr>
              <w:t>Quality of writing (sentence structure, spelling, and grammar).</w:t>
            </w:r>
          </w:p>
        </w:tc>
        <w:tc>
          <w:tcPr>
            <w:tcW w:w="2088" w:type="dxa"/>
          </w:tcPr>
          <w:p w14:paraId="2B1270D6" w14:textId="77777777" w:rsidR="00A648C6" w:rsidRPr="00A648C6" w:rsidRDefault="00A648C6" w:rsidP="00A648C6">
            <w:pPr>
              <w:rPr>
                <w:lang w:val="en-CA"/>
              </w:rPr>
            </w:pPr>
            <w:r w:rsidRPr="00A648C6">
              <w:rPr>
                <w:lang w:val="en-CA"/>
              </w:rPr>
              <w:t>/4 marks</w:t>
            </w:r>
          </w:p>
          <w:p w14:paraId="7D7F7ECE" w14:textId="77777777" w:rsidR="00A648C6" w:rsidRPr="00A648C6" w:rsidRDefault="00A648C6" w:rsidP="00A648C6">
            <w:pPr>
              <w:rPr>
                <w:lang w:val="en-CA"/>
              </w:rPr>
            </w:pPr>
            <w:r w:rsidRPr="00A648C6">
              <w:rPr>
                <w:lang w:val="en-CA"/>
              </w:rPr>
              <w:t>[Communication]</w:t>
            </w:r>
          </w:p>
        </w:tc>
      </w:tr>
    </w:tbl>
    <w:p w14:paraId="286EE000" w14:textId="77777777" w:rsidR="00A648C6" w:rsidRPr="00A648C6" w:rsidRDefault="00A648C6" w:rsidP="00A648C6"/>
    <w:sectPr w:rsidR="00A648C6" w:rsidRPr="00A648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CC023" w14:textId="77777777" w:rsidR="009C126B" w:rsidRDefault="009C126B" w:rsidP="006F2D40">
      <w:pPr>
        <w:spacing w:after="0" w:line="240" w:lineRule="auto"/>
      </w:pPr>
      <w:r>
        <w:separator/>
      </w:r>
    </w:p>
  </w:endnote>
  <w:endnote w:type="continuationSeparator" w:id="0">
    <w:p w14:paraId="3B1910CC" w14:textId="77777777" w:rsidR="009C126B" w:rsidRDefault="009C126B" w:rsidP="006F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EF993" w14:textId="77777777" w:rsidR="009C126B" w:rsidRDefault="009C126B" w:rsidP="006F2D40">
      <w:pPr>
        <w:spacing w:after="0" w:line="240" w:lineRule="auto"/>
      </w:pPr>
      <w:r>
        <w:separator/>
      </w:r>
    </w:p>
  </w:footnote>
  <w:footnote w:type="continuationSeparator" w:id="0">
    <w:p w14:paraId="2BC2582F" w14:textId="77777777" w:rsidR="009C126B" w:rsidRDefault="009C126B" w:rsidP="006F2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05DDB" w14:textId="77777777" w:rsidR="006F2D40" w:rsidRDefault="006F2D40">
    <w:pPr>
      <w:pStyle w:val="Header"/>
    </w:pPr>
    <w:r>
      <w:t>HRT3M</w:t>
    </w:r>
    <w:r>
      <w:tab/>
    </w:r>
    <w:r>
      <w:tab/>
    </w:r>
  </w:p>
  <w:p w14:paraId="658D536E" w14:textId="77777777" w:rsidR="006F2D40" w:rsidRDefault="006F2D40">
    <w:pPr>
      <w:pStyle w:val="Header"/>
    </w:pPr>
    <w:r>
      <w:t>Unit</w:t>
    </w:r>
    <w:r w:rsidR="00027349">
      <w:t xml:space="preserve"> 1: Exploring Religions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40"/>
    <w:rsid w:val="00027349"/>
    <w:rsid w:val="006F2D40"/>
    <w:rsid w:val="007A2067"/>
    <w:rsid w:val="009C126B"/>
    <w:rsid w:val="00A648C6"/>
    <w:rsid w:val="00E1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7220"/>
  <w15:chartTrackingRefBased/>
  <w15:docId w15:val="{15386026-DB1A-4924-8B24-02E1D15A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D40"/>
  </w:style>
  <w:style w:type="paragraph" w:styleId="Footer">
    <w:name w:val="footer"/>
    <w:basedOn w:val="Normal"/>
    <w:link w:val="FooterChar"/>
    <w:uiPriority w:val="99"/>
    <w:unhideWhenUsed/>
    <w:rsid w:val="006F2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D40"/>
  </w:style>
  <w:style w:type="character" w:styleId="Hyperlink">
    <w:name w:val="Hyperlink"/>
    <w:basedOn w:val="DefaultParagraphFont"/>
    <w:uiPriority w:val="99"/>
    <w:unhideWhenUsed/>
    <w:rsid w:val="006F2D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ted.com/talks/karen_armstrong_let_s_revive_the_golden_rule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987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Langevin</dc:creator>
  <cp:keywords/>
  <dc:description/>
  <cp:lastModifiedBy>Olivia Coady</cp:lastModifiedBy>
  <cp:revision>2</cp:revision>
  <dcterms:created xsi:type="dcterms:W3CDTF">2015-02-03T19:14:00Z</dcterms:created>
  <dcterms:modified xsi:type="dcterms:W3CDTF">2017-01-23T21:29:00Z</dcterms:modified>
</cp:coreProperties>
</file>