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E" w:rsidRPr="008A4EBE" w:rsidRDefault="008A4EBE" w:rsidP="008A4EBE">
      <w:pPr>
        <w:spacing w:after="171" w:line="343" w:lineRule="atLeast"/>
        <w:outlineLvl w:val="0"/>
        <w:rPr>
          <w:rFonts w:ascii="Arial" w:eastAsia="Times New Roman" w:hAnsi="Arial" w:cs="Arial"/>
          <w:b/>
          <w:bCs/>
          <w:color w:val="2EA422"/>
          <w:kern w:val="36"/>
          <w:sz w:val="48"/>
          <w:szCs w:val="48"/>
          <w:lang w:eastAsia="fr-FR"/>
        </w:rPr>
      </w:pPr>
      <w:r w:rsidRPr="008A4EBE">
        <w:rPr>
          <w:rFonts w:ascii="Arial" w:eastAsia="Times New Roman" w:hAnsi="Arial" w:cs="Arial"/>
          <w:b/>
          <w:bCs/>
          <w:color w:val="2EA422"/>
          <w:kern w:val="36"/>
          <w:sz w:val="48"/>
          <w:szCs w:val="48"/>
          <w:lang w:eastAsia="fr-FR"/>
        </w:rPr>
        <w:t>INSTALLATION GUIDELINES</w:t>
      </w:r>
    </w:p>
    <w:tbl>
      <w:tblPr>
        <w:tblW w:w="17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4"/>
      </w:tblGrid>
      <w:tr w:rsidR="008A4EBE" w:rsidRPr="008A4EBE" w:rsidTr="008A4EBE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EBE" w:rsidRPr="008A4EBE" w:rsidRDefault="008A4EBE" w:rsidP="008A4EBE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A4EBE" w:rsidRPr="008A4EBE" w:rsidTr="008A4EB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EBE" w:rsidRPr="008A4EBE" w:rsidRDefault="008A4EBE" w:rsidP="008A4EBE">
            <w:pPr>
              <w:spacing w:after="274" w:line="274" w:lineRule="atLeast"/>
              <w:outlineLvl w:val="2"/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</w:pPr>
            <w:r w:rsidRPr="008A4EBE"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  <w:t>GENERAL OPERATING RULES</w:t>
            </w:r>
          </w:p>
        </w:tc>
      </w:tr>
    </w:tbl>
    <w:p w:rsid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</w:p>
    <w:p w:rsid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noProof/>
          <w:color w:val="555555"/>
          <w:sz w:val="21"/>
          <w:szCs w:val="21"/>
          <w:lang w:eastAsia="fr-FR"/>
        </w:rPr>
        <w:drawing>
          <wp:inline distT="0" distB="0" distL="0" distR="0" wp14:anchorId="671FD6B4" wp14:editId="4B7CA5AF">
            <wp:extent cx="3399367" cy="1112520"/>
            <wp:effectExtent l="0" t="0" r="0" b="0"/>
            <wp:docPr id="9" name="Image 9" descr="Colisage des pann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sage des pannea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39" cy="11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</w:p>
    <w:p w:rsid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</w:p>
    <w:p w:rsid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t>Transport and handling</w:t>
      </w:r>
    </w:p>
    <w:p w:rsidR="00C43745" w:rsidRPr="008A4EBE" w:rsidRDefault="00C43745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During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transportation,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plywood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panels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placed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on a clean, flat and dry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supporting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surface.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They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firmly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fastened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avoid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sliding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bending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. </w:t>
      </w: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br/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When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handling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moving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panels,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take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care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protect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edges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.</w:t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t>Storage</w:t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Plywood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panels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always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stored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flat, in </w:t>
      </w:r>
      <w:proofErr w:type="gram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</w:t>
      </w:r>
      <w:proofErr w:type="gram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dry place on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intermediate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bearers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clear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ground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.</w:t>
      </w:r>
    </w:p>
    <w:p w:rsid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t>Installation</w:t>
      </w:r>
    </w:p>
    <w:p w:rsidR="00C43745" w:rsidRPr="008A4EBE" w:rsidRDefault="00C43745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installed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important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that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panels are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stabilised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environment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which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they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will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serve. This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particularly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important if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they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have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spent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gram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</w:t>
      </w:r>
      <w:proofErr w:type="gram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prolonged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period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time in a dry or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damp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environment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Provision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made for a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proper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ventilation of the reverse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side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eliminate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condensation.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Depending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on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context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application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may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necessary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leave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 gap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allow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for expansion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between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each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panel or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perimeter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construction.</w:t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t>Machining</w:t>
      </w:r>
      <w:proofErr w:type="spellEnd"/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It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recommended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that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carry out all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cutting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machining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-painting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operations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the workshop.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Tungsten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carbide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tipped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(TCT)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blades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preferably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used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When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processing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with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 band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saw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acceptable to use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tempered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tipped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blades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For high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quality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cutting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the reverse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side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panel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facing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saw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bench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The latter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equipped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with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knife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gram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scorer</w:t>
      </w:r>
      <w:proofErr w:type="gram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a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board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splitter. Best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cutting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results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are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obtained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when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sawing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made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along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grain.</w:t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t>Mounting</w:t>
      </w:r>
      <w:proofErr w:type="spellEnd"/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Plywood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can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fixed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by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mean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nails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screws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staples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or glue. In case of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nailing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screwing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provision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should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made fixings are not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left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protruding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.</w:t>
      </w:r>
    </w:p>
    <w:p w:rsidR="00C43745" w:rsidRDefault="00C43745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</w:p>
    <w:p w:rsidR="00C43745" w:rsidRDefault="00C43745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</w:pPr>
    </w:p>
    <w:p w:rsidR="008A4EBE" w:rsidRPr="008A4EBE" w:rsidRDefault="008A4EBE" w:rsidP="008A4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lastRenderedPageBreak/>
        <w:t>Finishing</w:t>
      </w:r>
      <w:proofErr w:type="spellEnd"/>
      <w:r w:rsidRPr="008A4EBE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fr-FR"/>
        </w:rPr>
        <w:t xml:space="preserve"> and Maintenance</w:t>
      </w: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br/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Applying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any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type of finish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recommended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carry out </w:t>
      </w:r>
      <w:proofErr w:type="gram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</w:t>
      </w:r>
      <w:proofErr w:type="gram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test of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product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on a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sample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piece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order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verify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compatibility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between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finishing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substance and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plywood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itself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When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plywood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panels are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used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sidings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exterior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conditions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absolutely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vital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that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they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are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installed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accordance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with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standard practice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following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our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usage guidelines.</w:t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So far as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mounting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fixing are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concerned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please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refer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specific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installation guidelines for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each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application.</w:t>
      </w:r>
    </w:p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Protection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finishing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faces, reverse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sides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edge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proofErr w:type="gram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sealing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,</w:t>
      </w:r>
      <w:proofErr w:type="gram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along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with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maintenance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regular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intervals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are essential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ensuring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longevity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.</w:t>
      </w: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br/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However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over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years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,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possible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that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alteration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appearance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occurs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This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natural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phenomenon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does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not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constitute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defect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of the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product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.</w:t>
      </w:r>
    </w:p>
    <w:tbl>
      <w:tblPr>
        <w:tblW w:w="17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4"/>
      </w:tblGrid>
      <w:tr w:rsidR="008A4EBE" w:rsidRPr="008A4EBE" w:rsidTr="008A4EB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D6C" w:rsidRDefault="008A4EBE" w:rsidP="008A4EBE">
            <w:pPr>
              <w:spacing w:after="274" w:line="274" w:lineRule="atLeast"/>
              <w:outlineLvl w:val="2"/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</w:pPr>
            <w:r w:rsidRPr="008A4EBE"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  <w:t xml:space="preserve">USER’S GUIDELINES FOR MOUNTING AND FURTHER </w:t>
            </w:r>
          </w:p>
          <w:p w:rsidR="008A4EBE" w:rsidRPr="008A4EBE" w:rsidRDefault="008A4EBE" w:rsidP="008A4EBE">
            <w:pPr>
              <w:spacing w:after="274" w:line="274" w:lineRule="atLeast"/>
              <w:outlineLvl w:val="2"/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</w:pPr>
            <w:r w:rsidRPr="008A4EBE"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  <w:t xml:space="preserve">PROCESSING </w:t>
            </w:r>
            <w:r w:rsidR="003A76BB"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  <w:t>CEMA-BOIS DE L’ATLAS</w:t>
            </w:r>
            <w:r w:rsidRPr="008A4EBE">
              <w:rPr>
                <w:rFonts w:ascii="Arial" w:eastAsia="Times New Roman" w:hAnsi="Arial" w:cs="Arial"/>
                <w:b/>
                <w:bCs/>
                <w:color w:val="2EA422"/>
                <w:sz w:val="30"/>
                <w:szCs w:val="30"/>
                <w:lang w:eastAsia="fr-FR"/>
              </w:rPr>
              <w:t xml:space="preserve"> PLYWOOD</w:t>
            </w:r>
          </w:p>
        </w:tc>
      </w:tr>
    </w:tbl>
    <w:p w:rsidR="008A4EBE" w:rsidRPr="008A4EBE" w:rsidRDefault="008A4EBE" w:rsidP="008A4EBE">
      <w:pPr>
        <w:shd w:val="clear" w:color="auto" w:fill="FFFFFF"/>
        <w:spacing w:after="343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</w:pPr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For certain applications, installation of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and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wood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derivated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products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intended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for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utilization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in construction are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subject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use in accordance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with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Eurocodes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.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We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advise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customers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to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follow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the relevant </w:t>
      </w:r>
      <w:proofErr w:type="spellStart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>technical</w:t>
      </w:r>
      <w:proofErr w:type="spellEnd"/>
      <w:r w:rsidRPr="008A4EBE">
        <w:rPr>
          <w:rFonts w:ascii="Helvetica" w:eastAsia="Times New Roman" w:hAnsi="Helvetica" w:cs="Times New Roman"/>
          <w:color w:val="555555"/>
          <w:sz w:val="21"/>
          <w:szCs w:val="21"/>
          <w:lang w:eastAsia="fr-FR"/>
        </w:rPr>
        <w:t xml:space="preserve"> usage guidelines by application.</w:t>
      </w:r>
    </w:p>
    <w:p w:rsidR="00C43745" w:rsidRDefault="00C43745">
      <w:r>
        <w:t xml:space="preserve">OPERATING DATA SHEET: </w:t>
      </w:r>
    </w:p>
    <w:p w:rsidR="00C43745" w:rsidRDefault="00C43745">
      <w:r>
        <w:t xml:space="preserve">CEMA-BOIS DE L’ATLAS PLYWOOD Standard of </w:t>
      </w:r>
      <w:proofErr w:type="spellStart"/>
      <w:r>
        <w:t>reference</w:t>
      </w:r>
      <w:proofErr w:type="spellEnd"/>
      <w:r>
        <w:t> :</w:t>
      </w:r>
    </w:p>
    <w:p w:rsidR="00C43745" w:rsidRDefault="00C43745" w:rsidP="00C43745">
      <w:pPr>
        <w:pStyle w:val="Paragraphedeliste"/>
        <w:numPr>
          <w:ilvl w:val="0"/>
          <w:numId w:val="1"/>
        </w:numPr>
      </w:pPr>
      <w:r>
        <w:t xml:space="preserve">EN NF 12871 </w:t>
      </w:r>
    </w:p>
    <w:p w:rsidR="00C43745" w:rsidRDefault="00C43745" w:rsidP="00C43745">
      <w:pPr>
        <w:pStyle w:val="Paragraphedeliste"/>
        <w:numPr>
          <w:ilvl w:val="0"/>
          <w:numId w:val="1"/>
        </w:numPr>
      </w:pPr>
      <w:r>
        <w:t>EN 636-3</w:t>
      </w:r>
    </w:p>
    <w:p w:rsidR="00C43745" w:rsidRDefault="00C43745" w:rsidP="00C43745">
      <w:pPr>
        <w:pStyle w:val="Paragraphedeliste"/>
        <w:numPr>
          <w:ilvl w:val="0"/>
          <w:numId w:val="1"/>
        </w:numPr>
      </w:pPr>
      <w:r>
        <w:t>EN 635-2</w:t>
      </w:r>
    </w:p>
    <w:p w:rsidR="008A4EBE" w:rsidRDefault="00C43745" w:rsidP="00C43745">
      <w:pPr>
        <w:pStyle w:val="Paragraphedeliste"/>
        <w:numPr>
          <w:ilvl w:val="0"/>
          <w:numId w:val="1"/>
        </w:numPr>
      </w:pPr>
      <w:proofErr w:type="spellStart"/>
      <w:r>
        <w:t>Assessement</w:t>
      </w:r>
      <w:proofErr w:type="spellEnd"/>
      <w:r>
        <w:t xml:space="preserve"> directive </w:t>
      </w:r>
      <w:proofErr w:type="spellStart"/>
      <w:r>
        <w:t>fir</w:t>
      </w:r>
      <w:proofErr w:type="spellEnd"/>
      <w:r>
        <w:t xml:space="preserve"> the </w:t>
      </w:r>
      <w:r>
        <w:t>KOMO</w:t>
      </w:r>
      <w:r>
        <w:t xml:space="preserve"> BRL 1705 dd. 09-12-2016</w:t>
      </w:r>
    </w:p>
    <w:p w:rsidR="00C43745" w:rsidRDefault="00C43745" w:rsidP="00C43745">
      <w:pPr>
        <w:pStyle w:val="Paragraphedeliste"/>
        <w:numPr>
          <w:ilvl w:val="0"/>
          <w:numId w:val="1"/>
        </w:numPr>
      </w:pPr>
      <w:r>
        <w:t>EN 12369-2</w:t>
      </w:r>
    </w:p>
    <w:p w:rsidR="00C43745" w:rsidRDefault="00A30B5B" w:rsidP="00A30B5B">
      <w:r>
        <w:t xml:space="preserve">Contact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informations about use of </w:t>
      </w:r>
      <w:proofErr w:type="spellStart"/>
      <w:r>
        <w:t>products</w:t>
      </w:r>
      <w:proofErr w:type="spellEnd"/>
      <w:r>
        <w:t> :</w:t>
      </w:r>
    </w:p>
    <w:p w:rsidR="00A30B5B" w:rsidRDefault="00A30B5B" w:rsidP="00A30B5B">
      <w:r>
        <w:t xml:space="preserve">Groupe CEMA-BOIS DE L’ATLAS - </w:t>
      </w:r>
      <w:r>
        <w:t>Direction commerciale - Tel.: + 212 522 95 98 00</w:t>
      </w:r>
      <w:r>
        <w:t xml:space="preserve"> - Fax + </w:t>
      </w:r>
      <w:r>
        <w:t>212 522 33 51 32 - contact@cema-atlas.com</w:t>
      </w:r>
    </w:p>
    <w:p w:rsidR="008A4EBE" w:rsidRDefault="008A4EBE">
      <w:bookmarkStart w:id="0" w:name="_GoBack"/>
      <w:bookmarkEnd w:id="0"/>
    </w:p>
    <w:sectPr w:rsidR="008A4EBE" w:rsidSect="003A76BB">
      <w:headerReference w:type="default" r:id="rId9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E5" w:rsidRDefault="004546E5" w:rsidP="008A4EBE">
      <w:pPr>
        <w:spacing w:after="0" w:line="240" w:lineRule="auto"/>
      </w:pPr>
      <w:r>
        <w:separator/>
      </w:r>
    </w:p>
  </w:endnote>
  <w:endnote w:type="continuationSeparator" w:id="0">
    <w:p w:rsidR="004546E5" w:rsidRDefault="004546E5" w:rsidP="008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E5" w:rsidRDefault="004546E5" w:rsidP="008A4EBE">
      <w:pPr>
        <w:spacing w:after="0" w:line="240" w:lineRule="auto"/>
      </w:pPr>
      <w:r>
        <w:separator/>
      </w:r>
    </w:p>
  </w:footnote>
  <w:footnote w:type="continuationSeparator" w:id="0">
    <w:p w:rsidR="004546E5" w:rsidRDefault="004546E5" w:rsidP="008A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E" w:rsidRDefault="008A4EBE">
    <w:pPr>
      <w:pStyle w:val="En-tte"/>
    </w:pPr>
    <w:r w:rsidRPr="008A4EBE">
      <w:drawing>
        <wp:inline distT="0" distB="0" distL="0" distR="0" wp14:anchorId="1EB72AB4" wp14:editId="73EE02DF">
          <wp:extent cx="2527997" cy="594360"/>
          <wp:effectExtent l="0" t="0" r="0" b="0"/>
          <wp:docPr id="569" name="Shape 5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" name="Shape 569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28945" cy="59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6DB7"/>
    <w:multiLevelType w:val="hybridMultilevel"/>
    <w:tmpl w:val="D496FB40"/>
    <w:lvl w:ilvl="0" w:tplc="9EFEE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E"/>
    <w:rsid w:val="000B17AD"/>
    <w:rsid w:val="001F3D6C"/>
    <w:rsid w:val="0023456F"/>
    <w:rsid w:val="003A76BB"/>
    <w:rsid w:val="004546E5"/>
    <w:rsid w:val="008A4EBE"/>
    <w:rsid w:val="00A30B5B"/>
    <w:rsid w:val="00A71419"/>
    <w:rsid w:val="00C43745"/>
    <w:rsid w:val="00C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A4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4E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A4E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4E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4EB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EBE"/>
  </w:style>
  <w:style w:type="paragraph" w:styleId="Pieddepage">
    <w:name w:val="footer"/>
    <w:basedOn w:val="Normal"/>
    <w:link w:val="PieddepageCar"/>
    <w:uiPriority w:val="99"/>
    <w:unhideWhenUsed/>
    <w:rsid w:val="008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EBE"/>
  </w:style>
  <w:style w:type="paragraph" w:styleId="Paragraphedeliste">
    <w:name w:val="List Paragraph"/>
    <w:basedOn w:val="Normal"/>
    <w:uiPriority w:val="34"/>
    <w:qFormat/>
    <w:rsid w:val="00C4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A4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4E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A4E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4E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4EB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EBE"/>
  </w:style>
  <w:style w:type="paragraph" w:styleId="Pieddepage">
    <w:name w:val="footer"/>
    <w:basedOn w:val="Normal"/>
    <w:link w:val="PieddepageCar"/>
    <w:uiPriority w:val="99"/>
    <w:unhideWhenUsed/>
    <w:rsid w:val="008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EBE"/>
  </w:style>
  <w:style w:type="paragraph" w:styleId="Paragraphedeliste">
    <w:name w:val="List Paragraph"/>
    <w:basedOn w:val="Normal"/>
    <w:uiPriority w:val="34"/>
    <w:qFormat/>
    <w:rsid w:val="00C4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MELHAOUI Hicham</dc:creator>
  <cp:lastModifiedBy>MELHAOUI Hicham</cp:lastModifiedBy>
  <cp:revision>1</cp:revision>
  <dcterms:created xsi:type="dcterms:W3CDTF">2018-07-16T10:47:00Z</dcterms:created>
  <dcterms:modified xsi:type="dcterms:W3CDTF">2018-07-17T06:55:00Z</dcterms:modified>
</cp:coreProperties>
</file>