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00" w:type="dxa"/>
        <w:jc w:val="center"/>
        <w:tblCellSpacing w:w="0" w:type="dxa"/>
        <w:shd w:val="clear" w:color="auto" w:fill="FFFFFF"/>
        <w:tblCellMar>
          <w:left w:w="0" w:type="dxa"/>
          <w:right w:w="0" w:type="dxa"/>
        </w:tblCellMar>
        <w:tblLook w:val="04A0" w:firstRow="1" w:lastRow="0" w:firstColumn="1" w:lastColumn="0" w:noHBand="0" w:noVBand="1"/>
      </w:tblPr>
      <w:tblGrid>
        <w:gridCol w:w="11945"/>
        <w:gridCol w:w="41"/>
        <w:gridCol w:w="14"/>
      </w:tblGrid>
      <w:tr w:rsidR="003A375B" w:rsidRPr="003A375B">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945"/>
            </w:tblGrid>
            <w:tr w:rsidR="003A375B" w:rsidRPr="003A375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1895"/>
                    <w:gridCol w:w="25"/>
                    <w:gridCol w:w="25"/>
                  </w:tblGrid>
                  <w:tr w:rsidR="003A375B" w:rsidRPr="003A375B">
                    <w:trPr>
                      <w:tblCellSpacing w:w="0" w:type="dxa"/>
                    </w:trPr>
                    <w:tc>
                      <w:tcPr>
                        <w:tcW w:w="0" w:type="auto"/>
                        <w:gridSpan w:val="3"/>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2345"/>
                          <w:gridCol w:w="1890"/>
                          <w:gridCol w:w="525"/>
                        </w:tblGrid>
                        <w:tr w:rsidR="003A375B" w:rsidRPr="003A375B">
                          <w:trPr>
                            <w:tblCellSpacing w:w="0" w:type="dxa"/>
                            <w:jc w:val="right"/>
                          </w:trPr>
                          <w:tc>
                            <w:tcPr>
                              <w:tcW w:w="0" w:type="auto"/>
                              <w:vAlign w:val="center"/>
                              <w:hideMark/>
                            </w:tcPr>
                            <w:p w:rsidR="003A375B" w:rsidRPr="003A375B" w:rsidRDefault="003A375B" w:rsidP="003A375B">
                              <w:pPr>
                                <w:spacing w:after="0" w:line="240" w:lineRule="auto"/>
                                <w:rPr>
                                  <w:rFonts w:ascii="Verdana" w:eastAsia="Times New Roman" w:hAnsi="Verdana" w:cs="Times New Roman"/>
                                  <w:color w:val="003366"/>
                                  <w:sz w:val="18"/>
                                  <w:szCs w:val="18"/>
                                </w:rPr>
                              </w:pPr>
                              <w:r w:rsidRPr="003A375B">
                                <w:rPr>
                                  <w:rFonts w:ascii="Verdana" w:eastAsia="Times New Roman" w:hAnsi="Verdana" w:cs="Times New Roman"/>
                                  <w:b/>
                                  <w:bCs/>
                                  <w:color w:val="003366"/>
                                  <w:sz w:val="18"/>
                                  <w:szCs w:val="18"/>
                                </w:rPr>
                                <w:t>Search</w:t>
                              </w:r>
                              <w:r w:rsidRPr="003A375B">
                                <w:rPr>
                                  <w:rFonts w:ascii="Verdana" w:eastAsia="Times New Roman" w:hAnsi="Verdana" w:cs="Times New Roman"/>
                                  <w:color w:val="003366"/>
                                  <w:sz w:val="18"/>
                                  <w:szCs w:val="18"/>
                                </w:rPr>
                                <w:t xml:space="preserve"> </w:t>
                              </w:r>
                              <w:r w:rsidRPr="003A375B">
                                <w:rPr>
                                  <w:rFonts w:ascii="Verdana" w:eastAsia="Times New Roman" w:hAnsi="Verdana" w:cs="Times New Roman"/>
                                  <w:color w:val="003366"/>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79.45pt;height:18.35pt" o:ole="">
                                    <v:imagedata r:id="rId6" o:title=""/>
                                  </v:shape>
                                  <w:control r:id="rId7" w:name="DefaultOcxName" w:shapeid="_x0000_i1067"/>
                                </w:object>
                              </w:r>
                            </w:p>
                          </w:tc>
                          <w:tc>
                            <w:tcPr>
                              <w:tcW w:w="0" w:type="auto"/>
                              <w:tcMar>
                                <w:top w:w="0" w:type="dxa"/>
                                <w:left w:w="75" w:type="dxa"/>
                                <w:bottom w:w="0" w:type="dxa"/>
                                <w:right w:w="75" w:type="dxa"/>
                              </w:tcMar>
                              <w:vAlign w:val="center"/>
                              <w:hideMark/>
                            </w:tcPr>
                            <w:p w:rsidR="003A375B" w:rsidRPr="003A375B" w:rsidRDefault="003A375B" w:rsidP="003A375B">
                              <w:pPr>
                                <w:spacing w:after="0" w:line="240" w:lineRule="auto"/>
                                <w:jc w:val="right"/>
                                <w:rPr>
                                  <w:rFonts w:ascii="Verdana" w:eastAsia="Times New Roman" w:hAnsi="Verdana" w:cs="Times New Roman"/>
                                  <w:color w:val="003366"/>
                                  <w:sz w:val="20"/>
                                  <w:szCs w:val="20"/>
                                </w:rPr>
                              </w:pPr>
                              <w:r w:rsidRPr="003A375B">
                                <w:rPr>
                                  <w:rFonts w:ascii="Verdana" w:eastAsia="Times New Roman" w:hAnsi="Verdana" w:cs="Times New Roman"/>
                                  <w:color w:val="003366"/>
                                  <w:sz w:val="20"/>
                                  <w:szCs w:val="20"/>
                                </w:rPr>
                                <w:object w:dxaOrig="1440" w:dyaOrig="1440">
                                  <v:shape id="_x0000_i1066" type="#_x0000_t75" style="width:86.95pt;height:18.35pt" o:ole="">
                                    <v:imagedata r:id="rId8" o:title=""/>
                                  </v:shape>
                                  <w:control r:id="rId9" w:name="DefaultOcxName1" w:shapeid="_x0000_i1066"/>
                                </w:object>
                              </w:r>
                            </w:p>
                          </w:tc>
                          <w:tc>
                            <w:tcPr>
                              <w:tcW w:w="0" w:type="auto"/>
                              <w:tcMar>
                                <w:top w:w="0" w:type="dxa"/>
                                <w:left w:w="75" w:type="dxa"/>
                                <w:bottom w:w="0" w:type="dxa"/>
                                <w:right w:w="75" w:type="dxa"/>
                              </w:tcMar>
                              <w:vAlign w:val="center"/>
                              <w:hideMark/>
                            </w:tcPr>
                            <w:p w:rsidR="003A375B" w:rsidRPr="003A375B" w:rsidRDefault="003A375B" w:rsidP="003A375B">
                              <w:pPr>
                                <w:spacing w:after="0" w:line="240" w:lineRule="auto"/>
                                <w:jc w:val="right"/>
                                <w:rPr>
                                  <w:rFonts w:ascii="Verdana" w:eastAsia="Times New Roman" w:hAnsi="Verdana" w:cs="Times New Roman"/>
                                  <w:color w:val="003366"/>
                                  <w:sz w:val="20"/>
                                  <w:szCs w:val="20"/>
                                </w:rPr>
                              </w:pPr>
                              <w:r w:rsidRPr="003A375B">
                                <w:rPr>
                                  <w:rFonts w:ascii="Verdana" w:eastAsia="Times New Roman" w:hAnsi="Verdana" w:cs="Times New Roman"/>
                                  <w:color w:val="003366"/>
                                  <w:sz w:val="20"/>
                                  <w:szCs w:val="20"/>
                                </w:rPr>
                                <w:object w:dxaOrig="1440" w:dyaOrig="1440">
                                  <v:shape id="_x0000_i1065" type="#_x0000_t75" style="width:19pt;height:8.85pt" o:ole="">
                                    <v:imagedata r:id="rId10" o:title=""/>
                                  </v:shape>
                                  <w:control r:id="rId11" w:name="DefaultOcxName2" w:shapeid="_x0000_i1065"/>
                                </w:object>
                              </w:r>
                            </w:p>
                          </w:tc>
                        </w:tr>
                      </w:tbl>
                      <w:p w:rsidR="003A375B" w:rsidRPr="003A375B" w:rsidRDefault="003A375B" w:rsidP="003A375B">
                        <w:pPr>
                          <w:spacing w:after="0" w:line="240" w:lineRule="auto"/>
                          <w:jc w:val="right"/>
                          <w:rPr>
                            <w:rFonts w:ascii="Times New Roman" w:eastAsia="Times New Roman" w:hAnsi="Times New Roman" w:cs="Times New Roman"/>
                            <w:sz w:val="24"/>
                            <w:szCs w:val="24"/>
                          </w:rPr>
                        </w:pPr>
                      </w:p>
                    </w:tc>
                  </w:tr>
                  <w:tr w:rsidR="003A375B" w:rsidRPr="003A375B">
                    <w:trPr>
                      <w:tblCellSpacing w:w="0" w:type="dxa"/>
                    </w:trPr>
                    <w:tc>
                      <w:tcPr>
                        <w:tcW w:w="4300" w:type="pct"/>
                        <w:vAlign w:val="center"/>
                        <w:hideMark/>
                      </w:tcPr>
                      <w:tbl>
                        <w:tblPr>
                          <w:tblW w:w="11895" w:type="dxa"/>
                          <w:tblCellSpacing w:w="0" w:type="dxa"/>
                          <w:tblCellMar>
                            <w:left w:w="0" w:type="dxa"/>
                            <w:right w:w="0" w:type="dxa"/>
                          </w:tblCellMar>
                          <w:tblLook w:val="04A0" w:firstRow="1" w:lastRow="0" w:firstColumn="1" w:lastColumn="0" w:noHBand="0" w:noVBand="1"/>
                        </w:tblPr>
                        <w:tblGrid>
                          <w:gridCol w:w="7230"/>
                          <w:gridCol w:w="4665"/>
                        </w:tblGrid>
                        <w:tr w:rsidR="003A375B" w:rsidRPr="003A375B">
                          <w:trPr>
                            <w:tblCellSpacing w:w="0" w:type="dxa"/>
                          </w:trPr>
                          <w:tc>
                            <w:tcPr>
                              <w:tcW w:w="0" w:type="pct"/>
                              <w:vAlign w:val="center"/>
                              <w:hideMark/>
                            </w:tcPr>
                            <w:p w:rsidR="003A375B" w:rsidRPr="003A375B" w:rsidRDefault="003A375B" w:rsidP="003A37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89145" cy="483235"/>
                                    <wp:effectExtent l="0" t="0" r="1905" b="0"/>
                                    <wp:docPr id="15" name="Picture 15" descr="State of New Jersey Department of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of New Jersey Department of Environmental Protec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9145" cy="483235"/>
                                            </a:xfrm>
                                            <a:prstGeom prst="rect">
                                              <a:avLst/>
                                            </a:prstGeom>
                                            <a:noFill/>
                                            <a:ln>
                                              <a:noFill/>
                                            </a:ln>
                                          </pic:spPr>
                                        </pic:pic>
                                      </a:graphicData>
                                    </a:graphic>
                                  </wp:inline>
                                </w:drawing>
                              </w:r>
                            </w:p>
                          </w:tc>
                          <w:tc>
                            <w:tcPr>
                              <w:tcW w:w="5000" w:type="pct"/>
                              <w:vAlign w:val="center"/>
                              <w:hideMark/>
                            </w:tcPr>
                            <w:p w:rsidR="003A375B" w:rsidRPr="003A375B" w:rsidRDefault="003A375B" w:rsidP="003A375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3366"/>
                                  <w:sz w:val="24"/>
                                  <w:szCs w:val="24"/>
                                </w:rPr>
                                <w:drawing>
                                  <wp:inline distT="0" distB="0" distL="0" distR="0">
                                    <wp:extent cx="474345" cy="466090"/>
                                    <wp:effectExtent l="0" t="0" r="1905" b="0"/>
                                    <wp:docPr id="14" name="Picture 14" descr="State of New Jersey Department of Environmental Protecti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of New Jersey Department of Environmental Protectio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345" cy="466090"/>
                                            </a:xfrm>
                                            <a:prstGeom prst="rect">
                                              <a:avLst/>
                                            </a:prstGeom>
                                            <a:noFill/>
                                            <a:ln>
                                              <a:noFill/>
                                            </a:ln>
                                          </pic:spPr>
                                        </pic:pic>
                                      </a:graphicData>
                                    </a:graphic>
                                  </wp:inline>
                                </w:drawing>
                              </w:r>
                            </w:p>
                          </w:tc>
                        </w:tr>
                      </w:tbl>
                      <w:p w:rsidR="003A375B" w:rsidRPr="003A375B" w:rsidRDefault="003A375B" w:rsidP="003A375B">
                        <w:pPr>
                          <w:spacing w:after="0" w:line="240" w:lineRule="auto"/>
                          <w:rPr>
                            <w:rFonts w:ascii="Times New Roman" w:eastAsia="Times New Roman" w:hAnsi="Times New Roman" w:cs="Times New Roman"/>
                            <w:sz w:val="24"/>
                            <w:szCs w:val="24"/>
                          </w:rPr>
                        </w:pPr>
                      </w:p>
                    </w:tc>
                    <w:tc>
                      <w:tcPr>
                        <w:tcW w:w="0" w:type="auto"/>
                        <w:vAlign w:val="center"/>
                        <w:hideMark/>
                      </w:tcPr>
                      <w:p w:rsidR="003A375B" w:rsidRPr="003A375B" w:rsidRDefault="003A375B" w:rsidP="003A375B">
                        <w:pPr>
                          <w:spacing w:after="0" w:line="240" w:lineRule="auto"/>
                          <w:rPr>
                            <w:rFonts w:ascii="Times New Roman" w:eastAsia="Times New Roman" w:hAnsi="Times New Roman" w:cs="Times New Roman"/>
                            <w:sz w:val="20"/>
                            <w:szCs w:val="20"/>
                          </w:rPr>
                        </w:pPr>
                      </w:p>
                    </w:tc>
                    <w:tc>
                      <w:tcPr>
                        <w:tcW w:w="0" w:type="auto"/>
                        <w:vAlign w:val="center"/>
                        <w:hideMark/>
                      </w:tcPr>
                      <w:p w:rsidR="003A375B" w:rsidRPr="003A375B" w:rsidRDefault="003A375B" w:rsidP="003A375B">
                        <w:pPr>
                          <w:spacing w:after="0" w:line="240" w:lineRule="auto"/>
                          <w:rPr>
                            <w:rFonts w:ascii="Times New Roman" w:eastAsia="Times New Roman" w:hAnsi="Times New Roman" w:cs="Times New Roman"/>
                            <w:sz w:val="20"/>
                            <w:szCs w:val="20"/>
                          </w:rPr>
                        </w:pPr>
                      </w:p>
                    </w:tc>
                  </w:tr>
                  <w:tr w:rsidR="003A375B" w:rsidRPr="003A375B">
                    <w:trPr>
                      <w:trHeight w:val="360"/>
                      <w:tblCellSpacing w:w="0" w:type="dxa"/>
                    </w:trPr>
                    <w:tc>
                      <w:tcPr>
                        <w:tcW w:w="0" w:type="auto"/>
                        <w:gridSpan w:val="3"/>
                        <w:vAlign w:val="center"/>
                        <w:hideMark/>
                      </w:tcPr>
                      <w:p w:rsidR="003A375B" w:rsidRPr="003A375B" w:rsidRDefault="003A375B" w:rsidP="003A375B">
                        <w:pPr>
                          <w:spacing w:after="0" w:line="210" w:lineRule="atLeast"/>
                          <w:jc w:val="right"/>
                          <w:rPr>
                            <w:rFonts w:ascii="Verdana" w:eastAsia="Times New Roman" w:hAnsi="Verdana" w:cs="Times New Roman"/>
                            <w:color w:val="000000"/>
                            <w:sz w:val="15"/>
                            <w:szCs w:val="15"/>
                          </w:rPr>
                        </w:pPr>
                        <w:hyperlink r:id="rId15" w:history="1">
                          <w:r w:rsidRPr="003A375B">
                            <w:rPr>
                              <w:rFonts w:ascii="Verdana" w:eastAsia="Times New Roman" w:hAnsi="Verdana" w:cs="Times New Roman"/>
                              <w:b/>
                              <w:bCs/>
                              <w:color w:val="003366"/>
                              <w:sz w:val="15"/>
                              <w:szCs w:val="15"/>
                            </w:rPr>
                            <w:t>DEP Home</w:t>
                          </w:r>
                        </w:hyperlink>
                        <w:r w:rsidRPr="003A375B">
                          <w:rPr>
                            <w:rFonts w:ascii="Verdana" w:eastAsia="Times New Roman" w:hAnsi="Verdana" w:cs="Times New Roman"/>
                            <w:color w:val="000000"/>
                            <w:sz w:val="15"/>
                            <w:szCs w:val="15"/>
                          </w:rPr>
                          <w:t xml:space="preserve"> | </w:t>
                        </w:r>
                        <w:hyperlink r:id="rId16" w:history="1">
                          <w:r w:rsidRPr="003A375B">
                            <w:rPr>
                              <w:rFonts w:ascii="Verdana" w:eastAsia="Times New Roman" w:hAnsi="Verdana" w:cs="Times New Roman"/>
                              <w:b/>
                              <w:bCs/>
                              <w:color w:val="003366"/>
                              <w:sz w:val="15"/>
                              <w:szCs w:val="15"/>
                            </w:rPr>
                            <w:t>About DEP</w:t>
                          </w:r>
                        </w:hyperlink>
                        <w:r w:rsidRPr="003A375B">
                          <w:rPr>
                            <w:rFonts w:ascii="Verdana" w:eastAsia="Times New Roman" w:hAnsi="Verdana" w:cs="Times New Roman"/>
                            <w:color w:val="000000"/>
                            <w:sz w:val="15"/>
                            <w:szCs w:val="15"/>
                          </w:rPr>
                          <w:t xml:space="preserve"> | </w:t>
                        </w:r>
                        <w:hyperlink r:id="rId17" w:history="1">
                          <w:r w:rsidRPr="003A375B">
                            <w:rPr>
                              <w:rFonts w:ascii="Verdana" w:eastAsia="Times New Roman" w:hAnsi="Verdana" w:cs="Times New Roman"/>
                              <w:b/>
                              <w:bCs/>
                              <w:color w:val="003366"/>
                              <w:sz w:val="15"/>
                              <w:szCs w:val="15"/>
                            </w:rPr>
                            <w:t>Index by Topic</w:t>
                          </w:r>
                        </w:hyperlink>
                        <w:r w:rsidRPr="003A375B">
                          <w:rPr>
                            <w:rFonts w:ascii="Verdana" w:eastAsia="Times New Roman" w:hAnsi="Verdana" w:cs="Times New Roman"/>
                            <w:color w:val="000000"/>
                            <w:sz w:val="15"/>
                            <w:szCs w:val="15"/>
                          </w:rPr>
                          <w:t xml:space="preserve"> | </w:t>
                        </w:r>
                        <w:hyperlink r:id="rId18" w:history="1">
                          <w:r w:rsidRPr="003A375B">
                            <w:rPr>
                              <w:rFonts w:ascii="Verdana" w:eastAsia="Times New Roman" w:hAnsi="Verdana" w:cs="Times New Roman"/>
                              <w:b/>
                              <w:bCs/>
                              <w:color w:val="003366"/>
                              <w:sz w:val="15"/>
                              <w:szCs w:val="15"/>
                            </w:rPr>
                            <w:t>Programs/Units</w:t>
                          </w:r>
                        </w:hyperlink>
                        <w:r w:rsidRPr="003A375B">
                          <w:rPr>
                            <w:rFonts w:ascii="Verdana" w:eastAsia="Times New Roman" w:hAnsi="Verdana" w:cs="Times New Roman"/>
                            <w:color w:val="000000"/>
                            <w:sz w:val="15"/>
                            <w:szCs w:val="15"/>
                          </w:rPr>
                          <w:t xml:space="preserve"> | </w:t>
                        </w:r>
                        <w:hyperlink r:id="rId19" w:history="1">
                          <w:r w:rsidRPr="003A375B">
                            <w:rPr>
                              <w:rFonts w:ascii="Verdana" w:eastAsia="Times New Roman" w:hAnsi="Verdana" w:cs="Times New Roman"/>
                              <w:b/>
                              <w:bCs/>
                              <w:color w:val="003366"/>
                              <w:sz w:val="15"/>
                              <w:szCs w:val="15"/>
                            </w:rPr>
                            <w:t>DEP Online</w:t>
                          </w:r>
                        </w:hyperlink>
                        <w:r w:rsidRPr="003A375B">
                          <w:rPr>
                            <w:rFonts w:ascii="Verdana" w:eastAsia="Times New Roman" w:hAnsi="Verdana" w:cs="Times New Roman"/>
                            <w:color w:val="000000"/>
                            <w:sz w:val="15"/>
                            <w:szCs w:val="15"/>
                          </w:rPr>
                          <w:t> </w:t>
                        </w:r>
                      </w:p>
                    </w:tc>
                  </w:tr>
                  <w:tr w:rsidR="003A375B" w:rsidRPr="003A375B">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525"/>
                          <w:gridCol w:w="5370"/>
                        </w:tblGrid>
                        <w:tr w:rsidR="003A375B" w:rsidRPr="003A375B">
                          <w:trPr>
                            <w:trHeight w:val="420"/>
                            <w:tblCellSpacing w:w="0" w:type="dxa"/>
                          </w:trPr>
                          <w:tc>
                            <w:tcPr>
                              <w:tcW w:w="0" w:type="auto"/>
                              <w:hideMark/>
                            </w:tcPr>
                            <w:p w:rsidR="003A375B" w:rsidRPr="003A375B" w:rsidRDefault="003A375B" w:rsidP="003A375B">
                              <w:pPr>
                                <w:spacing w:after="0" w:line="300" w:lineRule="atLeast"/>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2009775" cy="276225"/>
                                    <wp:effectExtent l="0" t="0" r="9525" b="9525"/>
                                    <wp:docPr id="13" name="Picture 13" descr="news rele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s releas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9775" cy="276225"/>
                                            </a:xfrm>
                                            <a:prstGeom prst="rect">
                                              <a:avLst/>
                                            </a:prstGeom>
                                            <a:noFill/>
                                            <a:ln>
                                              <a:noFill/>
                                            </a:ln>
                                          </pic:spPr>
                                        </pic:pic>
                                      </a:graphicData>
                                    </a:graphic>
                                  </wp:inline>
                                </w:drawing>
                              </w:r>
                              <w:bookmarkStart w:id="0" w:name="_GoBack"/>
                              <w:bookmarkEnd w:id="0"/>
                            </w:p>
                          </w:tc>
                          <w:tc>
                            <w:tcPr>
                              <w:tcW w:w="0" w:type="auto"/>
                              <w:hideMark/>
                            </w:tcPr>
                            <w:p w:rsidR="003A375B" w:rsidRPr="003A375B" w:rsidRDefault="003A375B" w:rsidP="003A375B">
                              <w:pPr>
                                <w:shd w:val="clear" w:color="auto" w:fill="FFFFFF"/>
                                <w:spacing w:after="0" w:line="300" w:lineRule="atLeast"/>
                                <w:jc w:val="right"/>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8890" cy="8890"/>
                                    <wp:effectExtent l="0" t="0" r="0" b="0"/>
                                    <wp:docPr id="12" name="Picture 12" descr="https://www.google.com/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oogle.com/images/cleardo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hyperlink r:id="rId22" w:history="1">
                                <w:r w:rsidRPr="003A375B">
                                  <w:rPr>
                                    <w:rFonts w:ascii="Verdana" w:eastAsia="Times New Roman" w:hAnsi="Verdana" w:cs="Times New Roman"/>
                                    <w:color w:val="000000"/>
                                    <w:sz w:val="20"/>
                                    <w:szCs w:val="20"/>
                                  </w:rPr>
                                  <w:t>Select Language</w:t>
                                </w:r>
                                <w:r>
                                  <w:rPr>
                                    <w:rFonts w:ascii="Verdana" w:eastAsia="Times New Roman" w:hAnsi="Verdana" w:cs="Times New Roman"/>
                                    <w:noProof/>
                                    <w:color w:val="000000"/>
                                    <w:sz w:val="20"/>
                                    <w:szCs w:val="20"/>
                                  </w:rPr>
                                  <w:drawing>
                                    <wp:inline distT="0" distB="0" distL="0" distR="0">
                                      <wp:extent cx="8890" cy="8890"/>
                                      <wp:effectExtent l="0" t="0" r="0" b="0"/>
                                      <wp:docPr id="11" name="Picture 11" descr="https://www.google.com/images/cleardot.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oogle.com/images/cleardot.gif">
                                                <a:hlinkClick r:id="rId22"/>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3A375B">
                                  <w:rPr>
                                    <w:rFonts w:ascii="Arial" w:eastAsia="Times New Roman" w:hAnsi="Arial" w:cs="Arial"/>
                                    <w:color w:val="000000"/>
                                    <w:sz w:val="20"/>
                                    <w:szCs w:val="20"/>
                                  </w:rPr>
                                  <w:t>​</w:t>
                                </w:r>
                                <w:r>
                                  <w:rPr>
                                    <w:rFonts w:ascii="Verdana" w:eastAsia="Times New Roman" w:hAnsi="Verdana" w:cs="Times New Roman"/>
                                    <w:noProof/>
                                    <w:color w:val="000000"/>
                                    <w:sz w:val="20"/>
                                    <w:szCs w:val="20"/>
                                  </w:rPr>
                                  <w:drawing>
                                    <wp:inline distT="0" distB="0" distL="0" distR="0">
                                      <wp:extent cx="8890" cy="8890"/>
                                      <wp:effectExtent l="0" t="0" r="0" b="0"/>
                                      <wp:docPr id="10" name="Picture 10" descr="https://www.google.com/images/cleardot.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oogle.com/images/cleardot.gif">
                                                <a:hlinkClick r:id="rId22"/>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3A375B">
                                  <w:rPr>
                                    <w:rFonts w:ascii="Arial" w:eastAsia="Times New Roman" w:hAnsi="Arial" w:cs="Arial"/>
                                    <w:color w:val="767676"/>
                                    <w:sz w:val="20"/>
                                    <w:szCs w:val="20"/>
                                  </w:rPr>
                                  <w:t>▼</w:t>
                                </w:r>
                              </w:hyperlink>
                            </w:p>
                            <w:p w:rsidR="003A375B" w:rsidRPr="003A375B" w:rsidRDefault="003A375B" w:rsidP="003A375B">
                              <w:pPr>
                                <w:spacing w:after="75" w:line="300" w:lineRule="atLeast"/>
                                <w:jc w:val="right"/>
                                <w:rPr>
                                  <w:rFonts w:ascii="Verdana" w:eastAsia="Times New Roman" w:hAnsi="Verdana" w:cs="Times New Roman"/>
                                  <w:color w:val="000000"/>
                                  <w:sz w:val="18"/>
                                  <w:szCs w:val="18"/>
                                </w:rPr>
                              </w:pPr>
                              <w:r w:rsidRPr="003A375B">
                                <w:rPr>
                                  <w:rFonts w:ascii="Verdana" w:eastAsia="Times New Roman" w:hAnsi="Verdana" w:cs="Times New Roman"/>
                                  <w:color w:val="000000"/>
                                  <w:sz w:val="20"/>
                                  <w:szCs w:val="20"/>
                                </w:rPr>
                                <w:pict/>
                              </w:r>
                              <w:r w:rsidRPr="003A375B">
                                <w:rPr>
                                  <w:rFonts w:ascii="Verdana" w:eastAsia="Times New Roman" w:hAnsi="Verdana" w:cs="Times New Roman"/>
                                  <w:color w:val="000000"/>
                                  <w:sz w:val="20"/>
                                  <w:szCs w:val="20"/>
                                </w:rPr>
                                <w:pict/>
                              </w:r>
                              <w:hyperlink r:id="rId23" w:history="1">
                                <w:r w:rsidRPr="003A375B">
                                  <w:rPr>
                                    <w:rFonts w:ascii="Verdana" w:eastAsia="Times New Roman" w:hAnsi="Verdana" w:cs="Times New Roman"/>
                                    <w:color w:val="003366"/>
                                    <w:sz w:val="18"/>
                                    <w:szCs w:val="18"/>
                                    <w:u w:val="single"/>
                                  </w:rPr>
                                  <w:t>Translator Disclaimers</w:t>
                                </w:r>
                              </w:hyperlink>
                            </w:p>
                          </w:tc>
                        </w:tr>
                      </w:tbl>
                      <w:p w:rsidR="003A375B" w:rsidRPr="003A375B" w:rsidRDefault="003A375B" w:rsidP="003A375B">
                        <w:pPr>
                          <w:spacing w:after="0" w:line="240" w:lineRule="auto"/>
                          <w:rPr>
                            <w:rFonts w:ascii="Times New Roman" w:eastAsia="Times New Roman" w:hAnsi="Times New Roman" w:cs="Times New Roman"/>
                            <w:sz w:val="24"/>
                            <w:szCs w:val="24"/>
                          </w:rPr>
                        </w:pPr>
                      </w:p>
                    </w:tc>
                    <w:tc>
                      <w:tcPr>
                        <w:tcW w:w="0" w:type="auto"/>
                        <w:vAlign w:val="center"/>
                        <w:hideMark/>
                      </w:tcPr>
                      <w:p w:rsidR="003A375B" w:rsidRPr="003A375B" w:rsidRDefault="003A375B" w:rsidP="003A375B">
                        <w:pPr>
                          <w:spacing w:after="0" w:line="240" w:lineRule="auto"/>
                          <w:rPr>
                            <w:rFonts w:ascii="Times New Roman" w:eastAsia="Times New Roman" w:hAnsi="Times New Roman" w:cs="Times New Roman"/>
                            <w:sz w:val="20"/>
                            <w:szCs w:val="20"/>
                          </w:rPr>
                        </w:pPr>
                      </w:p>
                    </w:tc>
                    <w:tc>
                      <w:tcPr>
                        <w:tcW w:w="0" w:type="auto"/>
                        <w:vAlign w:val="center"/>
                        <w:hideMark/>
                      </w:tcPr>
                      <w:p w:rsidR="003A375B" w:rsidRPr="003A375B" w:rsidRDefault="003A375B" w:rsidP="003A375B">
                        <w:pPr>
                          <w:spacing w:after="0" w:line="240" w:lineRule="auto"/>
                          <w:rPr>
                            <w:rFonts w:ascii="Times New Roman" w:eastAsia="Times New Roman" w:hAnsi="Times New Roman" w:cs="Times New Roman"/>
                            <w:sz w:val="20"/>
                            <w:szCs w:val="20"/>
                          </w:rPr>
                        </w:pPr>
                      </w:p>
                    </w:tc>
                  </w:tr>
                  <w:tr w:rsidR="003A375B" w:rsidRPr="003A375B">
                    <w:trPr>
                      <w:tblCellSpacing w:w="0" w:type="dxa"/>
                    </w:trPr>
                    <w:tc>
                      <w:tcPr>
                        <w:tcW w:w="0" w:type="auto"/>
                        <w:vAlign w:val="center"/>
                        <w:hideMark/>
                      </w:tcPr>
                      <w:p w:rsidR="003A375B" w:rsidRPr="003A375B" w:rsidRDefault="003A375B" w:rsidP="003A37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90" cy="60325"/>
                              <wp:effectExtent l="0" t="0" r="0" b="0"/>
                              <wp:docPr id="9" name="Picture 9" descr="http://www.nj.gov/dep/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j.gov/dep/images/transparent.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90" cy="60325"/>
                                      </a:xfrm>
                                      <a:prstGeom prst="rect">
                                        <a:avLst/>
                                      </a:prstGeom>
                                      <a:noFill/>
                                      <a:ln>
                                        <a:noFill/>
                                      </a:ln>
                                    </pic:spPr>
                                  </pic:pic>
                                </a:graphicData>
                              </a:graphic>
                            </wp:inline>
                          </w:drawing>
                        </w:r>
                      </w:p>
                    </w:tc>
                    <w:tc>
                      <w:tcPr>
                        <w:tcW w:w="0" w:type="auto"/>
                        <w:vAlign w:val="center"/>
                        <w:hideMark/>
                      </w:tcPr>
                      <w:p w:rsidR="003A375B" w:rsidRPr="003A375B" w:rsidRDefault="003A375B" w:rsidP="003A375B">
                        <w:pPr>
                          <w:spacing w:after="0" w:line="240" w:lineRule="auto"/>
                          <w:rPr>
                            <w:rFonts w:ascii="Times New Roman" w:eastAsia="Times New Roman" w:hAnsi="Times New Roman" w:cs="Times New Roman"/>
                            <w:sz w:val="20"/>
                            <w:szCs w:val="20"/>
                          </w:rPr>
                        </w:pPr>
                      </w:p>
                    </w:tc>
                    <w:tc>
                      <w:tcPr>
                        <w:tcW w:w="0" w:type="auto"/>
                        <w:vAlign w:val="center"/>
                        <w:hideMark/>
                      </w:tcPr>
                      <w:p w:rsidR="003A375B" w:rsidRPr="003A375B" w:rsidRDefault="003A375B" w:rsidP="003A375B">
                        <w:pPr>
                          <w:spacing w:after="0" w:line="240" w:lineRule="auto"/>
                          <w:rPr>
                            <w:rFonts w:ascii="Times New Roman" w:eastAsia="Times New Roman" w:hAnsi="Times New Roman" w:cs="Times New Roman"/>
                            <w:sz w:val="20"/>
                            <w:szCs w:val="20"/>
                          </w:rPr>
                        </w:pPr>
                      </w:p>
                    </w:tc>
                  </w:tr>
                  <w:tr w:rsidR="003A375B" w:rsidRPr="003A375B">
                    <w:trPr>
                      <w:tblCellSpacing w:w="0" w:type="dxa"/>
                    </w:trPr>
                    <w:tc>
                      <w:tcPr>
                        <w:tcW w:w="0" w:type="auto"/>
                        <w:vAlign w:val="center"/>
                        <w:hideMark/>
                      </w:tcPr>
                      <w:tbl>
                        <w:tblPr>
                          <w:tblW w:w="4900" w:type="pct"/>
                          <w:jc w:val="center"/>
                          <w:tblCellSpacing w:w="0" w:type="dxa"/>
                          <w:tblCellMar>
                            <w:left w:w="0" w:type="dxa"/>
                            <w:right w:w="0" w:type="dxa"/>
                          </w:tblCellMar>
                          <w:tblLook w:val="04A0" w:firstRow="1" w:lastRow="0" w:firstColumn="1" w:lastColumn="0" w:noHBand="0" w:noVBand="1"/>
                        </w:tblPr>
                        <w:tblGrid>
                          <w:gridCol w:w="11657"/>
                        </w:tblGrid>
                        <w:tr w:rsidR="003A375B" w:rsidRPr="003A375B">
                          <w:trPr>
                            <w:tblCellSpacing w:w="0" w:type="dxa"/>
                            <w:jc w:val="center"/>
                          </w:trPr>
                          <w:tc>
                            <w:tcPr>
                              <w:tcW w:w="0" w:type="auto"/>
                              <w:vAlign w:val="center"/>
                              <w:hideMark/>
                            </w:tcPr>
                            <w:tbl>
                              <w:tblPr>
                                <w:tblW w:w="9780" w:type="dxa"/>
                                <w:jc w:val="center"/>
                                <w:tblCellSpacing w:w="0" w:type="dxa"/>
                                <w:tblCellMar>
                                  <w:left w:w="0" w:type="dxa"/>
                                  <w:right w:w="0" w:type="dxa"/>
                                </w:tblCellMar>
                                <w:tblLook w:val="04A0" w:firstRow="1" w:lastRow="0" w:firstColumn="1" w:lastColumn="0" w:noHBand="0" w:noVBand="1"/>
                              </w:tblPr>
                              <w:tblGrid>
                                <w:gridCol w:w="3951"/>
                                <w:gridCol w:w="5829"/>
                              </w:tblGrid>
                              <w:tr w:rsidR="003A375B" w:rsidRPr="003A375B">
                                <w:trPr>
                                  <w:trHeight w:val="840"/>
                                  <w:tblCellSpacing w:w="0" w:type="dxa"/>
                                  <w:jc w:val="center"/>
                                </w:trPr>
                                <w:tc>
                                  <w:tcPr>
                                    <w:tcW w:w="0" w:type="auto"/>
                                    <w:tcBorders>
                                      <w:bottom w:val="single" w:sz="6" w:space="0" w:color="CCCCDD"/>
                                    </w:tcBorders>
                                    <w:shd w:val="clear" w:color="auto" w:fill="FFFFFF"/>
                                    <w:noWrap/>
                                    <w:tcMar>
                                      <w:top w:w="0" w:type="dxa"/>
                                      <w:left w:w="0" w:type="dxa"/>
                                      <w:bottom w:w="225" w:type="dxa"/>
                                      <w:right w:w="0" w:type="dxa"/>
                                    </w:tcMar>
                                    <w:hideMark/>
                                  </w:tcPr>
                                  <w:p w:rsidR="003A375B" w:rsidRPr="003A375B" w:rsidRDefault="003A375B" w:rsidP="003A375B">
                                    <w:pPr>
                                      <w:spacing w:before="100" w:beforeAutospacing="1" w:after="100" w:afterAutospacing="1" w:line="300" w:lineRule="atLeast"/>
                                      <w:rPr>
                                        <w:rFonts w:ascii="Verdana" w:eastAsia="Times New Roman" w:hAnsi="Verdana" w:cs="Times New Roman"/>
                                        <w:sz w:val="18"/>
                                        <w:szCs w:val="18"/>
                                      </w:rPr>
                                    </w:pPr>
                                    <w:r w:rsidRPr="003A375B">
                                      <w:rPr>
                                        <w:rFonts w:ascii="Verdana" w:eastAsia="Times New Roman" w:hAnsi="Verdana" w:cs="Times New Roman"/>
                                        <w:b/>
                                        <w:bCs/>
                                        <w:sz w:val="18"/>
                                        <w:szCs w:val="18"/>
                                      </w:rPr>
                                      <w:t>FOR IMMEDIATE RELEASE</w:t>
                                    </w:r>
                                    <w:r w:rsidRPr="003A375B">
                                      <w:rPr>
                                        <w:rFonts w:ascii="Verdana" w:eastAsia="Times New Roman" w:hAnsi="Verdana" w:cs="Times New Roman"/>
                                        <w:b/>
                                        <w:bCs/>
                                        <w:sz w:val="18"/>
                                        <w:szCs w:val="18"/>
                                      </w:rPr>
                                      <w:br/>
                                    </w:r>
                                    <w:r w:rsidRPr="003A375B">
                                      <w:rPr>
                                        <w:rFonts w:ascii="Verdana" w:eastAsia="Times New Roman" w:hAnsi="Verdana" w:cs="Times New Roman"/>
                                        <w:sz w:val="18"/>
                                        <w:szCs w:val="18"/>
                                      </w:rPr>
                                      <w:t>October 21, 2016</w:t>
                                    </w:r>
                                  </w:p>
                                </w:tc>
                                <w:tc>
                                  <w:tcPr>
                                    <w:tcW w:w="0" w:type="auto"/>
                                    <w:tcBorders>
                                      <w:bottom w:val="single" w:sz="6" w:space="0" w:color="CCCCDD"/>
                                    </w:tcBorders>
                                    <w:shd w:val="clear" w:color="auto" w:fill="FFFFFF"/>
                                    <w:noWrap/>
                                    <w:tcMar>
                                      <w:top w:w="0" w:type="dxa"/>
                                      <w:left w:w="0" w:type="dxa"/>
                                      <w:bottom w:w="225" w:type="dxa"/>
                                      <w:right w:w="0" w:type="dxa"/>
                                    </w:tcMar>
                                    <w:hideMark/>
                                  </w:tcPr>
                                  <w:p w:rsidR="003A375B" w:rsidRPr="003A375B" w:rsidRDefault="003A375B" w:rsidP="003A375B">
                                    <w:pPr>
                                      <w:spacing w:before="100" w:beforeAutospacing="1" w:after="100" w:afterAutospacing="1" w:line="300" w:lineRule="atLeast"/>
                                      <w:jc w:val="right"/>
                                      <w:rPr>
                                        <w:rFonts w:ascii="Verdana" w:eastAsia="Times New Roman" w:hAnsi="Verdana" w:cs="Times New Roman"/>
                                        <w:sz w:val="18"/>
                                        <w:szCs w:val="18"/>
                                      </w:rPr>
                                    </w:pPr>
                                    <w:r w:rsidRPr="003A375B">
                                      <w:rPr>
                                        <w:rFonts w:ascii="Verdana" w:eastAsia="Times New Roman" w:hAnsi="Verdana" w:cs="Times New Roman"/>
                                        <w:b/>
                                        <w:bCs/>
                                        <w:sz w:val="18"/>
                                        <w:szCs w:val="18"/>
                                      </w:rPr>
                                      <w:t xml:space="preserve">Contact: </w:t>
                                    </w:r>
                                    <w:r w:rsidRPr="003A375B">
                                      <w:rPr>
                                        <w:rFonts w:ascii="Verdana" w:eastAsia="Times New Roman" w:hAnsi="Verdana" w:cs="Times New Roman"/>
                                        <w:sz w:val="18"/>
                                        <w:szCs w:val="18"/>
                                      </w:rPr>
                                      <w:t>Lawrence Hajna (609) 984-1795</w:t>
                                    </w:r>
                                    <w:r w:rsidRPr="003A375B">
                                      <w:rPr>
                                        <w:rFonts w:ascii="Verdana" w:eastAsia="Times New Roman" w:hAnsi="Verdana" w:cs="Times New Roman"/>
                                        <w:sz w:val="18"/>
                                        <w:szCs w:val="18"/>
                                      </w:rPr>
                                      <w:br/>
                                      <w:t>Bob Considine (609) 292-2994</w:t>
                                    </w:r>
                                    <w:r w:rsidRPr="003A375B">
                                      <w:rPr>
                                        <w:rFonts w:ascii="Verdana" w:eastAsia="Times New Roman" w:hAnsi="Verdana" w:cs="Times New Roman"/>
                                        <w:sz w:val="18"/>
                                        <w:szCs w:val="18"/>
                                      </w:rPr>
                                      <w:br/>
                                      <w:t>Caryn Shinske (609) 984-1795</w:t>
                                    </w:r>
                                  </w:p>
                                </w:tc>
                              </w:tr>
                              <w:tr w:rsidR="003A375B" w:rsidRPr="003A375B">
                                <w:trPr>
                                  <w:tblCellSpacing w:w="0" w:type="dxa"/>
                                  <w:jc w:val="center"/>
                                </w:trPr>
                                <w:tc>
                                  <w:tcPr>
                                    <w:tcW w:w="0" w:type="auto"/>
                                    <w:gridSpan w:val="2"/>
                                    <w:tcMar>
                                      <w:top w:w="150" w:type="dxa"/>
                                      <w:left w:w="0" w:type="dxa"/>
                                      <w:bottom w:w="225" w:type="dxa"/>
                                      <w:right w:w="0" w:type="dxa"/>
                                    </w:tcMar>
                                    <w:hideMark/>
                                  </w:tcPr>
                                  <w:p w:rsidR="003A375B" w:rsidRPr="003A375B" w:rsidRDefault="003A375B" w:rsidP="003A375B">
                                    <w:pPr>
                                      <w:spacing w:after="0" w:line="300" w:lineRule="atLeast"/>
                                      <w:jc w:val="center"/>
                                      <w:rPr>
                                        <w:rFonts w:ascii="Verdana" w:eastAsia="Times New Roman" w:hAnsi="Verdana" w:cs="Times New Roman"/>
                                        <w:sz w:val="18"/>
                                        <w:szCs w:val="18"/>
                                      </w:rPr>
                                    </w:pPr>
                                  </w:p>
                                </w:tc>
                              </w:tr>
                              <w:tr w:rsidR="003A375B" w:rsidRPr="003A375B">
                                <w:trPr>
                                  <w:tblCellSpacing w:w="0" w:type="dxa"/>
                                  <w:jc w:val="center"/>
                                </w:trPr>
                                <w:tc>
                                  <w:tcPr>
                                    <w:tcW w:w="0" w:type="auto"/>
                                    <w:gridSpan w:val="2"/>
                                    <w:tcMar>
                                      <w:top w:w="150" w:type="dxa"/>
                                      <w:left w:w="0" w:type="dxa"/>
                                      <w:bottom w:w="225" w:type="dxa"/>
                                      <w:right w:w="0" w:type="dxa"/>
                                    </w:tcMar>
                                    <w:hideMark/>
                                  </w:tcPr>
                                  <w:p w:rsidR="003A375B" w:rsidRPr="003A375B" w:rsidRDefault="003A375B" w:rsidP="003A375B">
                                    <w:pPr>
                                      <w:spacing w:after="0" w:line="300" w:lineRule="atLeast"/>
                                      <w:rPr>
                                        <w:rFonts w:ascii="Verdana" w:eastAsia="Times New Roman" w:hAnsi="Verdana" w:cs="Times New Roman"/>
                                        <w:sz w:val="18"/>
                                        <w:szCs w:val="18"/>
                                      </w:rPr>
                                    </w:pPr>
                                  </w:p>
                                </w:tc>
                              </w:tr>
                              <w:tr w:rsidR="003A375B" w:rsidRPr="003A375B">
                                <w:trPr>
                                  <w:tblCellSpacing w:w="0" w:type="dxa"/>
                                  <w:jc w:val="center"/>
                                </w:trPr>
                                <w:tc>
                                  <w:tcPr>
                                    <w:tcW w:w="0" w:type="auto"/>
                                    <w:gridSpan w:val="2"/>
                                    <w:tcMar>
                                      <w:top w:w="150" w:type="dxa"/>
                                      <w:left w:w="0" w:type="dxa"/>
                                      <w:bottom w:w="225" w:type="dxa"/>
                                      <w:right w:w="0" w:type="dxa"/>
                                    </w:tcMar>
                                    <w:hideMark/>
                                  </w:tcPr>
                                  <w:p w:rsidR="003A375B" w:rsidRPr="003A375B" w:rsidRDefault="003A375B" w:rsidP="003A375B">
                                    <w:pPr>
                                      <w:spacing w:before="100" w:beforeAutospacing="1" w:after="100" w:afterAutospacing="1" w:line="300" w:lineRule="atLeast"/>
                                      <w:jc w:val="center"/>
                                      <w:rPr>
                                        <w:rFonts w:ascii="Verdana" w:eastAsia="Times New Roman" w:hAnsi="Verdana" w:cs="Times New Roman"/>
                                        <w:caps/>
                                        <w:sz w:val="18"/>
                                        <w:szCs w:val="18"/>
                                      </w:rPr>
                                    </w:pPr>
                                    <w:r w:rsidRPr="003A375B">
                                      <w:rPr>
                                        <w:rFonts w:ascii="Verdana" w:eastAsia="Times New Roman" w:hAnsi="Verdana" w:cs="Times New Roman"/>
                                        <w:b/>
                                        <w:bCs/>
                                        <w:caps/>
                                        <w:sz w:val="18"/>
                                        <w:szCs w:val="18"/>
                                      </w:rPr>
                                      <w:t>Commissioner Martin Signs Administrative Order Designating Drought Warning for 14 Counties in Northern, Central and Northern Coastal New Jersey</w:t>
                                    </w:r>
                                    <w:r w:rsidRPr="003A375B">
                                      <w:rPr>
                                        <w:rFonts w:ascii="Verdana" w:eastAsia="Times New Roman" w:hAnsi="Verdana" w:cs="Times New Roman"/>
                                        <w:caps/>
                                        <w:sz w:val="18"/>
                                        <w:szCs w:val="18"/>
                                      </w:rPr>
                                      <w:br/>
                                    </w:r>
                                    <w:r w:rsidRPr="003A375B">
                                      <w:rPr>
                                        <w:rFonts w:ascii="Verdana" w:eastAsia="Times New Roman" w:hAnsi="Verdana" w:cs="Times New Roman"/>
                                        <w:i/>
                                        <w:iCs/>
                                        <w:caps/>
                                        <w:sz w:val="18"/>
                                        <w:szCs w:val="18"/>
                                      </w:rPr>
                                      <w:t>DIRECTIVE ACTIVATES DEP AUTHORITY TO CLOSELY MANAGE WATER SUPPLIES; PUBLIC STRONGLY URGED TO REDUCE WATER USE</w:t>
                                    </w:r>
                                  </w:p>
                                  <w:p w:rsidR="003A375B" w:rsidRPr="003A375B" w:rsidRDefault="003A375B" w:rsidP="003A375B">
                                    <w:pPr>
                                      <w:spacing w:before="100" w:beforeAutospacing="1" w:after="100" w:afterAutospacing="1" w:line="300" w:lineRule="atLeast"/>
                                      <w:rPr>
                                        <w:rFonts w:ascii="Verdana" w:eastAsia="Times New Roman" w:hAnsi="Verdana" w:cs="Times New Roman"/>
                                        <w:sz w:val="18"/>
                                        <w:szCs w:val="18"/>
                                      </w:rPr>
                                    </w:pPr>
                                    <w:r>
                                      <w:rPr>
                                        <w:rFonts w:ascii="Verdana" w:eastAsia="Times New Roman" w:hAnsi="Verdana" w:cs="Times New Roman"/>
                                        <w:caps/>
                                        <w:noProof/>
                                        <w:sz w:val="18"/>
                                        <w:szCs w:val="18"/>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057525" cy="4648200"/>
                                          <wp:effectExtent l="0" t="0" r="9525" b="0"/>
                                          <wp:wrapSquare wrapText="bothSides"/>
                                          <wp:docPr id="16" name="Picture 16" descr="http://www.nj.gov/dep/newsrel/2016/16_0102_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j.gov/dep/newsrel/2016/16_0102_clip_image00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57525" cy="464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75B">
                                      <w:rPr>
                                        <w:rFonts w:ascii="Verdana" w:eastAsia="Times New Roman" w:hAnsi="Verdana" w:cs="Times New Roman"/>
                                        <w:b/>
                                        <w:bCs/>
                                        <w:sz w:val="18"/>
                                        <w:szCs w:val="18"/>
                                      </w:rPr>
                                      <w:t xml:space="preserve">(16/P102) TRENTON – </w:t>
                                    </w:r>
                                    <w:r w:rsidRPr="003A375B">
                                      <w:rPr>
                                        <w:rFonts w:ascii="Verdana" w:eastAsia="Times New Roman" w:hAnsi="Verdana" w:cs="Times New Roman"/>
                                        <w:sz w:val="18"/>
                                        <w:szCs w:val="18"/>
                                      </w:rPr>
                                      <w:t>Department of Environmental Protection Commissioner Bob Martin today placed 14 counties encompassing the northern, central and northern coastal areas of New Jersey under a drought warning due to ongoing precipitation deficits and deteriorating water-supply conditions, particularly storage levels in reservoirs.</w:t>
                                    </w:r>
                                    <w:r w:rsidRPr="003A375B">
                                      <w:rPr>
                                        <w:rFonts w:ascii="Verdana" w:eastAsia="Times New Roman" w:hAnsi="Verdana" w:cs="Times New Roman"/>
                                        <w:sz w:val="18"/>
                                        <w:szCs w:val="18"/>
                                      </w:rPr>
                                      <w:br/>
                                    </w:r>
                                    <w:r w:rsidRPr="003A375B">
                                      <w:rPr>
                                        <w:rFonts w:ascii="Verdana" w:eastAsia="Times New Roman" w:hAnsi="Verdana" w:cs="Times New Roman"/>
                                        <w:sz w:val="18"/>
                                        <w:szCs w:val="18"/>
                                      </w:rPr>
                                      <w:br/>
                                      <w:t>Commissioner Martin signed an Administrative Order designating a drought warning for Bergen, Essex, Hudson, Hunterdon, Mercer, Middlesex, Monmouth, Morris, Ocean, Passaic, Somerset, Sussex, Union and Warren counties.</w:t>
                                    </w:r>
                                    <w:r w:rsidRPr="003A375B">
                                      <w:rPr>
                                        <w:rFonts w:ascii="Verdana" w:eastAsia="Times New Roman" w:hAnsi="Verdana" w:cs="Times New Roman"/>
                                        <w:sz w:val="18"/>
                                        <w:szCs w:val="18"/>
                                      </w:rPr>
                                      <w:br/>
                                      <w:t xml:space="preserve">This designation enables the DEP to more closely manage reservoir systems by directing water transfers among systems, controlling releases from reservoirs, and modifying the rate of flow in streams and rivers in order to balance ecological </w:t>
                                    </w:r>
                                    <w:r w:rsidRPr="003A375B">
                                      <w:rPr>
                                        <w:rFonts w:ascii="Verdana" w:eastAsia="Times New Roman" w:hAnsi="Verdana" w:cs="Times New Roman"/>
                                        <w:sz w:val="18"/>
                                        <w:szCs w:val="18"/>
                                      </w:rPr>
                                      <w:lastRenderedPageBreak/>
                                      <w:t xml:space="preserve">protection and needs of water suppliers. </w:t>
                                    </w:r>
                                    <w:r w:rsidRPr="003A375B">
                                      <w:rPr>
                                        <w:rFonts w:ascii="Verdana" w:eastAsia="Times New Roman" w:hAnsi="Verdana" w:cs="Times New Roman"/>
                                        <w:sz w:val="18"/>
                                        <w:szCs w:val="18"/>
                                      </w:rPr>
                                      <w:br/>
                                    </w:r>
                                    <w:r w:rsidRPr="003A375B">
                                      <w:rPr>
                                        <w:rFonts w:ascii="Verdana" w:eastAsia="Times New Roman" w:hAnsi="Verdana" w:cs="Times New Roman"/>
                                        <w:sz w:val="18"/>
                                        <w:szCs w:val="18"/>
                                      </w:rPr>
                                      <w:br/>
                                      <w:t>The goal of the drought warning is to preserve and balance available water supplies in an effort to avert more serious water shortages in the future. The warning also elevates the need for residents and businesses in impacted counties to reduce their water use.</w:t>
                                    </w:r>
                                    <w:r w:rsidRPr="003A375B">
                                      <w:rPr>
                                        <w:rFonts w:ascii="Verdana" w:eastAsia="Times New Roman" w:hAnsi="Verdana" w:cs="Times New Roman"/>
                                        <w:sz w:val="18"/>
                                        <w:szCs w:val="18"/>
                                      </w:rPr>
                                      <w:br/>
                                    </w:r>
                                    <w:r w:rsidRPr="003A375B">
                                      <w:rPr>
                                        <w:rFonts w:ascii="Verdana" w:eastAsia="Times New Roman" w:hAnsi="Verdana" w:cs="Times New Roman"/>
                                        <w:sz w:val="18"/>
                                        <w:szCs w:val="18"/>
                                      </w:rPr>
                                      <w:br/>
                                      <w:t xml:space="preserve">“The situation in our reservoir systems that serve some of the most densely populated regions of New Jersey is becoming more critical, with some systems dropping to half their capacity or less,” Commissioner Martin said. “Without knowing how much precipitation we are going to get over the fall and winter to replenish our water sources, it is vital that every resident and business step up efforts to voluntarily reduce water use in the hopes of averting </w:t>
                                    </w:r>
                                    <w:proofErr w:type="gramStart"/>
                                    <w:r w:rsidRPr="003A375B">
                                      <w:rPr>
                                        <w:rFonts w:ascii="Verdana" w:eastAsia="Times New Roman" w:hAnsi="Verdana" w:cs="Times New Roman"/>
                                        <w:sz w:val="18"/>
                                        <w:szCs w:val="18"/>
                                      </w:rPr>
                                      <w:t>a water emergency and mandatory restrictions</w:t>
                                    </w:r>
                                    <w:proofErr w:type="gramEnd"/>
                                    <w:r w:rsidRPr="003A375B">
                                      <w:rPr>
                                        <w:rFonts w:ascii="Verdana" w:eastAsia="Times New Roman" w:hAnsi="Verdana" w:cs="Times New Roman"/>
                                        <w:sz w:val="18"/>
                                        <w:szCs w:val="18"/>
                                      </w:rPr>
                                      <w:t>.”</w:t>
                                    </w:r>
                                    <w:r w:rsidRPr="003A375B">
                                      <w:rPr>
                                        <w:rFonts w:ascii="Verdana" w:eastAsia="Times New Roman" w:hAnsi="Verdana" w:cs="Times New Roman"/>
                                        <w:sz w:val="18"/>
                                        <w:szCs w:val="18"/>
                                      </w:rPr>
                                      <w:br/>
                                    </w:r>
                                    <w:r w:rsidRPr="003A375B">
                                      <w:rPr>
                                        <w:rFonts w:ascii="Verdana" w:eastAsia="Times New Roman" w:hAnsi="Verdana" w:cs="Times New Roman"/>
                                        <w:sz w:val="18"/>
                                        <w:szCs w:val="18"/>
                                      </w:rPr>
                                      <w:br/>
                                      <w:t xml:space="preserve">A drought watch calling for voluntary water conservation remains in effect for Burlington, Camden, </w:t>
                                    </w:r>
                                    <w:proofErr w:type="gramStart"/>
                                    <w:r w:rsidRPr="003A375B">
                                      <w:rPr>
                                        <w:rFonts w:ascii="Verdana" w:eastAsia="Times New Roman" w:hAnsi="Verdana" w:cs="Times New Roman"/>
                                        <w:sz w:val="18"/>
                                        <w:szCs w:val="18"/>
                                      </w:rPr>
                                      <w:t>Gloucester</w:t>
                                    </w:r>
                                    <w:proofErr w:type="gramEnd"/>
                                    <w:r w:rsidRPr="003A375B">
                                      <w:rPr>
                                        <w:rFonts w:ascii="Verdana" w:eastAsia="Times New Roman" w:hAnsi="Verdana" w:cs="Times New Roman"/>
                                        <w:sz w:val="18"/>
                                        <w:szCs w:val="18"/>
                                      </w:rPr>
                                      <w:t xml:space="preserve"> and Salem counties. The designation of a watch formally urges residents of these counties to voluntarily conserve water.  </w:t>
                                    </w:r>
                                  </w:p>
                                  <w:p w:rsidR="003A375B" w:rsidRPr="003A375B" w:rsidRDefault="003A375B" w:rsidP="003A375B">
                                    <w:pPr>
                                      <w:spacing w:before="100" w:beforeAutospacing="1" w:after="100" w:afterAutospacing="1" w:line="300" w:lineRule="atLeast"/>
                                      <w:rPr>
                                        <w:rFonts w:ascii="Verdana" w:eastAsia="Times New Roman" w:hAnsi="Verdana" w:cs="Times New Roman"/>
                                        <w:sz w:val="18"/>
                                        <w:szCs w:val="18"/>
                                      </w:rPr>
                                    </w:pPr>
                                    <w:r w:rsidRPr="003A375B">
                                      <w:rPr>
                                        <w:rFonts w:ascii="Verdana" w:eastAsia="Times New Roman" w:hAnsi="Verdana" w:cs="Times New Roman"/>
                                        <w:sz w:val="18"/>
                                        <w:szCs w:val="18"/>
                                      </w:rPr>
                                      <w:t>The only counties not under a warning or watch are Atlantic, Cape May and Cumberland, which have received near or above-normal rainfall over the past several months.</w:t>
                                    </w:r>
                                    <w:r w:rsidRPr="003A375B">
                                      <w:rPr>
                                        <w:rFonts w:ascii="Verdana" w:eastAsia="Times New Roman" w:hAnsi="Verdana" w:cs="Times New Roman"/>
                                        <w:sz w:val="18"/>
                                        <w:szCs w:val="18"/>
                                      </w:rPr>
                                      <w:br/>
                                    </w:r>
                                    <w:r w:rsidRPr="003A375B">
                                      <w:rPr>
                                        <w:rFonts w:ascii="Verdana" w:eastAsia="Times New Roman" w:hAnsi="Verdana" w:cs="Times New Roman"/>
                                        <w:sz w:val="18"/>
                                        <w:szCs w:val="18"/>
                                      </w:rPr>
                                      <w:br/>
                                      <w:t>The decision to designate a drought warning comes a day after the DEP held a hearing to update water suppliers and the public. The warning is the first since November 2001, which subsequently became an emergency that was phased in by regions as drought conditions worsened. The emergency was phased out over the latter half of 2002 into early 2003.</w:t>
                                    </w:r>
                                    <w:r w:rsidRPr="003A375B">
                                      <w:rPr>
                                        <w:rFonts w:ascii="Verdana" w:eastAsia="Times New Roman" w:hAnsi="Verdana" w:cs="Times New Roman"/>
                                        <w:sz w:val="18"/>
                                        <w:szCs w:val="18"/>
                                      </w:rPr>
                                      <w:br/>
                                      <w:t xml:space="preserve">The Administrative Order signed by Commissioner Martin establishes a formal process for the DEP to work with water suppliers in affected regions to ensure no single water supplier or region faces a significant shortfall should dry weather and high customer demand continue. </w:t>
                                    </w:r>
                                    <w:r w:rsidRPr="003A375B">
                                      <w:rPr>
                                        <w:rFonts w:ascii="Verdana" w:eastAsia="Times New Roman" w:hAnsi="Verdana" w:cs="Times New Roman"/>
                                        <w:sz w:val="18"/>
                                        <w:szCs w:val="18"/>
                                      </w:rPr>
                                      <w:br/>
                                    </w:r>
                                    <w:r w:rsidRPr="003A375B">
                                      <w:rPr>
                                        <w:rFonts w:ascii="Verdana" w:eastAsia="Times New Roman" w:hAnsi="Verdana" w:cs="Times New Roman"/>
                                        <w:sz w:val="18"/>
                                        <w:szCs w:val="18"/>
                                      </w:rPr>
                                      <w:br/>
                                      <w:t>The DEP has been consulting with water suppliers for months to assess conditions and ensure they are fully aware of the situation and are ready to cooperate with the DEP.</w:t>
                                    </w:r>
                                    <w:r w:rsidRPr="003A375B">
                                      <w:rPr>
                                        <w:rFonts w:ascii="Verdana" w:eastAsia="Times New Roman" w:hAnsi="Verdana" w:cs="Times New Roman"/>
                                        <w:sz w:val="18"/>
                                        <w:szCs w:val="18"/>
                                      </w:rPr>
                                      <w:br/>
                                    </w:r>
                                    <w:r w:rsidRPr="003A375B">
                                      <w:rPr>
                                        <w:rFonts w:ascii="Verdana" w:eastAsia="Times New Roman" w:hAnsi="Verdana" w:cs="Times New Roman"/>
                                        <w:sz w:val="18"/>
                                        <w:szCs w:val="18"/>
                                      </w:rPr>
                                      <w:br/>
                                      <w:t>“I want to thank water suppliers for working with the DEP to ensure the stability of our water supplies,” Commissioner Martin said. “At this point, we would need many periods of sustained precipitation over several months to return to normal. We are all in this together. Everyone must pitch in, whether taking simple steps to reduce water use within their homes and businesses or stopping watering of lawns and shrubs and letting them go dormant.”</w:t>
                                    </w:r>
                                    <w:r w:rsidRPr="003A375B">
                                      <w:rPr>
                                        <w:rFonts w:ascii="Verdana" w:eastAsia="Times New Roman" w:hAnsi="Verdana" w:cs="Times New Roman"/>
                                        <w:sz w:val="18"/>
                                        <w:szCs w:val="18"/>
                                      </w:rPr>
                                      <w:br/>
                                    </w:r>
                                    <w:r w:rsidRPr="003A375B">
                                      <w:rPr>
                                        <w:rFonts w:ascii="Verdana" w:eastAsia="Times New Roman" w:hAnsi="Verdana" w:cs="Times New Roman"/>
                                        <w:sz w:val="18"/>
                                        <w:szCs w:val="18"/>
                                      </w:rPr>
                                      <w:br/>
                                      <w:t>Drought and abnormally dry conditions are affecting large portions of the nation, including California and a large swath of the nation from West Virginia into the Deep South and eastern Texas.  Parts of Pennsylvania, most of New York State and all of New England are experiencing a range from abnormally dry conditions to extreme drought, according to the U.S. Department of Agriculture’s Drought Monitor.</w:t>
                                    </w:r>
                                  </w:p>
                                  <w:p w:rsidR="003A375B" w:rsidRPr="003A375B" w:rsidRDefault="003A375B" w:rsidP="003A375B">
                                    <w:pPr>
                                      <w:spacing w:before="100" w:beforeAutospacing="1" w:after="100" w:afterAutospacing="1" w:line="300" w:lineRule="atLeast"/>
                                      <w:rPr>
                                        <w:rFonts w:ascii="Verdana" w:eastAsia="Times New Roman" w:hAnsi="Verdana" w:cs="Times New Roman"/>
                                        <w:sz w:val="18"/>
                                        <w:szCs w:val="18"/>
                                      </w:rPr>
                                    </w:pPr>
                                    <w:r w:rsidRPr="003A375B">
                                      <w:rPr>
                                        <w:rFonts w:ascii="Verdana" w:eastAsia="Times New Roman" w:hAnsi="Verdana" w:cs="Times New Roman"/>
                                        <w:sz w:val="18"/>
                                        <w:szCs w:val="18"/>
                                      </w:rPr>
                                      <w:t xml:space="preserve">The DEP utilizes indicators to gauge the impacts that a shortfall of precipitation has had on water supplies, </w:t>
                                    </w:r>
                                    <w:r w:rsidRPr="003A375B">
                                      <w:rPr>
                                        <w:rFonts w:ascii="Verdana" w:eastAsia="Times New Roman" w:hAnsi="Verdana" w:cs="Times New Roman"/>
                                        <w:sz w:val="18"/>
                                        <w:szCs w:val="18"/>
                                      </w:rPr>
                                      <w:lastRenderedPageBreak/>
                                      <w:t xml:space="preserve">including reservoir levels, stream flows, and levels in shallow groundwater sources, known as unconfined aquifers, which is important in the longer-term replenishment of streams and reservoirs.  </w:t>
                                    </w:r>
                                  </w:p>
                                  <w:p w:rsidR="003A375B" w:rsidRPr="003A375B" w:rsidRDefault="003A375B" w:rsidP="003A375B">
                                    <w:pPr>
                                      <w:spacing w:before="100" w:beforeAutospacing="1" w:after="100" w:afterAutospacing="1" w:line="300" w:lineRule="atLeast"/>
                                      <w:rPr>
                                        <w:rFonts w:ascii="Verdana" w:eastAsia="Times New Roman" w:hAnsi="Verdana" w:cs="Times New Roman"/>
                                        <w:sz w:val="18"/>
                                        <w:szCs w:val="18"/>
                                      </w:rPr>
                                    </w:pPr>
                                    <w:r w:rsidRPr="003A375B">
                                      <w:rPr>
                                        <w:rFonts w:ascii="Verdana" w:eastAsia="Times New Roman" w:hAnsi="Verdana" w:cs="Times New Roman"/>
                                        <w:sz w:val="18"/>
                                        <w:szCs w:val="18"/>
                                      </w:rPr>
                                      <w:t>The northern tier of the state, in particular, has been grappling with below-normal precipitation. In this area, precipitation deficits for the past 12 months are as much as 12.7 inches below normal.</w:t>
                                    </w:r>
                                    <w:r w:rsidRPr="003A375B">
                                      <w:rPr>
                                        <w:rFonts w:ascii="Verdana" w:eastAsia="Times New Roman" w:hAnsi="Verdana" w:cs="Times New Roman"/>
                                        <w:sz w:val="18"/>
                                        <w:szCs w:val="18"/>
                                      </w:rPr>
                                      <w:br/>
                                    </w:r>
                                    <w:r w:rsidRPr="003A375B">
                                      <w:rPr>
                                        <w:rFonts w:ascii="Verdana" w:eastAsia="Times New Roman" w:hAnsi="Verdana" w:cs="Times New Roman"/>
                                        <w:sz w:val="18"/>
                                        <w:szCs w:val="18"/>
                                      </w:rPr>
                                      <w:br/>
                                      <w:t xml:space="preserve">Major reservoir systems are below their normal levels for this time of year, and will likely need transfers of water through interconnected infrastructure to balance storage.  </w:t>
                                    </w:r>
                                  </w:p>
                                  <w:p w:rsidR="003A375B" w:rsidRPr="003A375B" w:rsidRDefault="003A375B" w:rsidP="003A375B">
                                    <w:pPr>
                                      <w:numPr>
                                        <w:ilvl w:val="0"/>
                                        <w:numId w:val="1"/>
                                      </w:numPr>
                                      <w:spacing w:before="100" w:beforeAutospacing="1" w:after="100" w:afterAutospacing="1" w:line="300" w:lineRule="atLeast"/>
                                      <w:rPr>
                                        <w:rFonts w:ascii="Verdana" w:eastAsia="Times New Roman" w:hAnsi="Verdana" w:cs="Times New Roman"/>
                                        <w:sz w:val="18"/>
                                        <w:szCs w:val="18"/>
                                      </w:rPr>
                                    </w:pPr>
                                    <w:r w:rsidRPr="003A375B">
                                      <w:rPr>
                                        <w:rFonts w:ascii="Verdana" w:eastAsia="Times New Roman" w:hAnsi="Verdana" w:cs="Times New Roman"/>
                                        <w:sz w:val="18"/>
                                        <w:szCs w:val="18"/>
                                      </w:rPr>
                                      <w:t xml:space="preserve">The Northeast Combined Reservoir System – 12 reservoirs operated by four water suppliers serving the most densely populated region of the state – have dropped to 52 percent capacity, compared to a normal of about 67 percent for this time of year. </w:t>
                                    </w:r>
                                  </w:p>
                                  <w:p w:rsidR="003A375B" w:rsidRPr="003A375B" w:rsidRDefault="003A375B" w:rsidP="003A375B">
                                    <w:pPr>
                                      <w:numPr>
                                        <w:ilvl w:val="0"/>
                                        <w:numId w:val="2"/>
                                      </w:numPr>
                                      <w:spacing w:before="100" w:beforeAutospacing="1" w:after="100" w:afterAutospacing="1" w:line="300" w:lineRule="atLeast"/>
                                      <w:rPr>
                                        <w:rFonts w:ascii="Verdana" w:eastAsia="Times New Roman" w:hAnsi="Verdana" w:cs="Times New Roman"/>
                                        <w:sz w:val="18"/>
                                        <w:szCs w:val="18"/>
                                      </w:rPr>
                                    </w:pPr>
                                    <w:r w:rsidRPr="003A375B">
                                      <w:rPr>
                                        <w:rFonts w:ascii="Verdana" w:eastAsia="Times New Roman" w:hAnsi="Verdana" w:cs="Times New Roman"/>
                                        <w:sz w:val="18"/>
                                        <w:szCs w:val="18"/>
                                      </w:rPr>
                                      <w:t>The North Jersey District Water Supply Commission’s two reservoirs have dropped to below 50 percent capacity, compared to a normal of about 68 percent for this time of year. The Commission serves portions of Bergen, Essex, Hudson and Passaic counties.</w:t>
                                    </w:r>
                                  </w:p>
                                  <w:p w:rsidR="003A375B" w:rsidRPr="003A375B" w:rsidRDefault="003A375B" w:rsidP="003A375B">
                                    <w:pPr>
                                      <w:numPr>
                                        <w:ilvl w:val="0"/>
                                        <w:numId w:val="3"/>
                                      </w:numPr>
                                      <w:spacing w:before="100" w:beforeAutospacing="1" w:after="100" w:afterAutospacing="1" w:line="300" w:lineRule="atLeast"/>
                                      <w:rPr>
                                        <w:rFonts w:ascii="Verdana" w:eastAsia="Times New Roman" w:hAnsi="Verdana" w:cs="Times New Roman"/>
                                        <w:sz w:val="18"/>
                                        <w:szCs w:val="18"/>
                                      </w:rPr>
                                    </w:pPr>
                                    <w:r w:rsidRPr="003A375B">
                                      <w:rPr>
                                        <w:rFonts w:ascii="Verdana" w:eastAsia="Times New Roman" w:hAnsi="Verdana" w:cs="Times New Roman"/>
                                        <w:sz w:val="18"/>
                                        <w:szCs w:val="18"/>
                                      </w:rPr>
                                      <w:t xml:space="preserve">The New Jersey Water Supply Authority’s Raritan Basin reservoirs – serving densely populated central parts of the state – are 25 percent below their normal storage level of 89 percent for this time of year. </w:t>
                                    </w:r>
                                  </w:p>
                                  <w:p w:rsidR="003A375B" w:rsidRPr="003A375B" w:rsidRDefault="003A375B" w:rsidP="003A375B">
                                    <w:pPr>
                                      <w:numPr>
                                        <w:ilvl w:val="0"/>
                                        <w:numId w:val="3"/>
                                      </w:numPr>
                                      <w:spacing w:before="100" w:beforeAutospacing="1" w:after="100" w:afterAutospacing="1" w:line="300" w:lineRule="atLeast"/>
                                      <w:rPr>
                                        <w:rFonts w:ascii="Verdana" w:eastAsia="Times New Roman" w:hAnsi="Verdana" w:cs="Times New Roman"/>
                                        <w:sz w:val="18"/>
                                        <w:szCs w:val="18"/>
                                      </w:rPr>
                                    </w:pPr>
                                    <w:r w:rsidRPr="003A375B">
                                      <w:rPr>
                                        <w:rFonts w:ascii="Verdana" w:eastAsia="Times New Roman" w:hAnsi="Verdana" w:cs="Times New Roman"/>
                                        <w:sz w:val="18"/>
                                        <w:szCs w:val="18"/>
                                      </w:rPr>
                                      <w:t xml:space="preserve">The Suez-NJ system (formerly United Water-NJ) consists of three reservoirs serving Bergen County that have dropped to less than 45 percent total capacity, compared to a normal capacity of 60 percent for this time of year. </w:t>
                                    </w:r>
                                  </w:p>
                                  <w:p w:rsidR="003A375B" w:rsidRPr="003A375B" w:rsidRDefault="003A375B" w:rsidP="003A375B">
                                    <w:pPr>
                                      <w:numPr>
                                        <w:ilvl w:val="0"/>
                                        <w:numId w:val="4"/>
                                      </w:numPr>
                                      <w:spacing w:before="100" w:beforeAutospacing="1" w:after="100" w:afterAutospacing="1" w:line="300" w:lineRule="atLeast"/>
                                      <w:rPr>
                                        <w:rFonts w:ascii="Verdana" w:eastAsia="Times New Roman" w:hAnsi="Verdana" w:cs="Times New Roman"/>
                                        <w:sz w:val="18"/>
                                        <w:szCs w:val="18"/>
                                      </w:rPr>
                                    </w:pPr>
                                    <w:r w:rsidRPr="003A375B">
                                      <w:rPr>
                                        <w:rFonts w:ascii="Verdana" w:eastAsia="Times New Roman" w:hAnsi="Verdana" w:cs="Times New Roman"/>
                                        <w:sz w:val="18"/>
                                        <w:szCs w:val="18"/>
                                      </w:rPr>
                                      <w:t>The combined storage in reservoirs operated by New Jersey American Water and the New Jersey Water Supply Authority serving portions of Monmouth and Ocean counties are 14 percent below their normal level of 86 percent for this time of year.</w:t>
                                    </w:r>
                                  </w:p>
                                  <w:p w:rsidR="003A375B" w:rsidRPr="003A375B" w:rsidRDefault="003A375B" w:rsidP="003A375B">
                                    <w:pPr>
                                      <w:spacing w:before="100" w:beforeAutospacing="1" w:after="100" w:afterAutospacing="1" w:line="300" w:lineRule="atLeast"/>
                                      <w:rPr>
                                        <w:rFonts w:ascii="Verdana" w:eastAsia="Times New Roman" w:hAnsi="Verdana" w:cs="Times New Roman"/>
                                        <w:sz w:val="18"/>
                                        <w:szCs w:val="18"/>
                                      </w:rPr>
                                    </w:pPr>
                                    <w:r w:rsidRPr="003A375B">
                                      <w:rPr>
                                        <w:rFonts w:ascii="Verdana" w:eastAsia="Times New Roman" w:hAnsi="Verdana" w:cs="Times New Roman"/>
                                        <w:sz w:val="18"/>
                                        <w:szCs w:val="18"/>
                                      </w:rPr>
                                      <w:t xml:space="preserve">Sussex and Warren counties rely primarily on groundwater and have been included in the warning because groundwater in this area is rated as extremely dry while precipitation and stream flows are rated as severely dry. </w:t>
                                    </w:r>
                                  </w:p>
                                  <w:p w:rsidR="003A375B" w:rsidRPr="003A375B" w:rsidRDefault="003A375B" w:rsidP="003A375B">
                                    <w:pPr>
                                      <w:spacing w:before="100" w:beforeAutospacing="1" w:after="100" w:afterAutospacing="1" w:line="300" w:lineRule="atLeast"/>
                                      <w:rPr>
                                        <w:rFonts w:ascii="Verdana" w:eastAsia="Times New Roman" w:hAnsi="Verdana" w:cs="Times New Roman"/>
                                        <w:sz w:val="18"/>
                                        <w:szCs w:val="18"/>
                                      </w:rPr>
                                    </w:pPr>
                                    <w:r w:rsidRPr="003A375B">
                                      <w:rPr>
                                        <w:rFonts w:ascii="Verdana" w:eastAsia="Times New Roman" w:hAnsi="Verdana" w:cs="Times New Roman"/>
                                        <w:sz w:val="18"/>
                                        <w:szCs w:val="18"/>
                                      </w:rPr>
                                      <w:t xml:space="preserve">The southwestern part of the state – Burlington, Camden, Gloucester and Salem counties – relies primarily on groundwater. Precipitation in this part of the state is rated as moderately dry while stream flows and groundwater are rated as severely dry. </w:t>
                                    </w:r>
                                  </w:p>
                                  <w:p w:rsidR="003A375B" w:rsidRPr="003A375B" w:rsidRDefault="003A375B" w:rsidP="003A375B">
                                    <w:pPr>
                                      <w:spacing w:before="100" w:beforeAutospacing="1" w:after="100" w:afterAutospacing="1" w:line="300" w:lineRule="atLeast"/>
                                      <w:rPr>
                                        <w:rFonts w:ascii="Verdana" w:eastAsia="Times New Roman" w:hAnsi="Verdana" w:cs="Times New Roman"/>
                                        <w:sz w:val="18"/>
                                        <w:szCs w:val="18"/>
                                      </w:rPr>
                                    </w:pPr>
                                    <w:r w:rsidRPr="003A375B">
                                      <w:rPr>
                                        <w:rFonts w:ascii="Verdana" w:eastAsia="Times New Roman" w:hAnsi="Verdana" w:cs="Times New Roman"/>
                                        <w:sz w:val="18"/>
                                        <w:szCs w:val="18"/>
                                      </w:rPr>
                                      <w:t xml:space="preserve">In the southern coastal region of the state – Atlantic, Cape May and Cumberland counties – rainfall is near or above normal. Still, stream flow is considered moderately dry. The DEP is continuing to monitor local conditions but at this time has not issued a drought watch or warning for these counties. </w:t>
                                    </w:r>
                                  </w:p>
                                  <w:p w:rsidR="003A375B" w:rsidRPr="003A375B" w:rsidRDefault="003A375B" w:rsidP="003A375B">
                                    <w:pPr>
                                      <w:spacing w:before="100" w:beforeAutospacing="1" w:after="100" w:afterAutospacing="1" w:line="300" w:lineRule="atLeast"/>
                                      <w:rPr>
                                        <w:rFonts w:ascii="Verdana" w:eastAsia="Times New Roman" w:hAnsi="Verdana" w:cs="Times New Roman"/>
                                        <w:sz w:val="18"/>
                                        <w:szCs w:val="18"/>
                                      </w:rPr>
                                    </w:pPr>
                                    <w:r w:rsidRPr="003A375B">
                                      <w:rPr>
                                        <w:rFonts w:ascii="Verdana" w:eastAsia="Times New Roman" w:hAnsi="Verdana" w:cs="Times New Roman"/>
                                        <w:sz w:val="18"/>
                                        <w:szCs w:val="18"/>
                                      </w:rPr>
                                      <w:t xml:space="preserve">The DEP offers the following tips to reduce water use: </w:t>
                                    </w:r>
                                  </w:p>
                                  <w:p w:rsidR="003A375B" w:rsidRPr="003A375B" w:rsidRDefault="003A375B" w:rsidP="003A375B">
                                    <w:pPr>
                                      <w:numPr>
                                        <w:ilvl w:val="0"/>
                                        <w:numId w:val="5"/>
                                      </w:numPr>
                                      <w:spacing w:before="100" w:beforeAutospacing="1" w:after="100" w:afterAutospacing="1" w:line="300" w:lineRule="atLeast"/>
                                      <w:rPr>
                                        <w:rFonts w:ascii="Verdana" w:eastAsia="Times New Roman" w:hAnsi="Verdana" w:cs="Times New Roman"/>
                                        <w:sz w:val="18"/>
                                        <w:szCs w:val="18"/>
                                      </w:rPr>
                                    </w:pPr>
                                    <w:r w:rsidRPr="003A375B">
                                      <w:rPr>
                                        <w:rFonts w:ascii="Verdana" w:eastAsia="Times New Roman" w:hAnsi="Verdana" w:cs="Times New Roman"/>
                                        <w:sz w:val="18"/>
                                        <w:szCs w:val="18"/>
                                      </w:rPr>
                                      <w:lastRenderedPageBreak/>
                                      <w:t>At this time of year, it is appropriate to let your lawns go dormant.</w:t>
                                    </w:r>
                                  </w:p>
                                  <w:p w:rsidR="003A375B" w:rsidRPr="003A375B" w:rsidRDefault="003A375B" w:rsidP="003A375B">
                                    <w:pPr>
                                      <w:numPr>
                                        <w:ilvl w:val="0"/>
                                        <w:numId w:val="5"/>
                                      </w:numPr>
                                      <w:spacing w:before="100" w:beforeAutospacing="1" w:after="100" w:afterAutospacing="1" w:line="300" w:lineRule="atLeast"/>
                                      <w:rPr>
                                        <w:rFonts w:ascii="Verdana" w:eastAsia="Times New Roman" w:hAnsi="Verdana" w:cs="Times New Roman"/>
                                        <w:sz w:val="18"/>
                                        <w:szCs w:val="18"/>
                                      </w:rPr>
                                    </w:pPr>
                                    <w:r w:rsidRPr="003A375B">
                                      <w:rPr>
                                        <w:rFonts w:ascii="Verdana" w:eastAsia="Times New Roman" w:hAnsi="Verdana" w:cs="Times New Roman"/>
                                        <w:sz w:val="18"/>
                                        <w:szCs w:val="18"/>
                                      </w:rPr>
                                      <w:t xml:space="preserve">Turn sprinkler systems off automatic timers. </w:t>
                                    </w:r>
                                  </w:p>
                                  <w:p w:rsidR="003A375B" w:rsidRPr="003A375B" w:rsidRDefault="003A375B" w:rsidP="003A375B">
                                    <w:pPr>
                                      <w:numPr>
                                        <w:ilvl w:val="0"/>
                                        <w:numId w:val="5"/>
                                      </w:numPr>
                                      <w:spacing w:before="100" w:beforeAutospacing="1" w:after="100" w:afterAutospacing="1" w:line="300" w:lineRule="atLeast"/>
                                      <w:rPr>
                                        <w:rFonts w:ascii="Verdana" w:eastAsia="Times New Roman" w:hAnsi="Verdana" w:cs="Times New Roman"/>
                                        <w:sz w:val="18"/>
                                        <w:szCs w:val="18"/>
                                      </w:rPr>
                                    </w:pPr>
                                    <w:r w:rsidRPr="003A375B">
                                      <w:rPr>
                                        <w:rFonts w:ascii="Verdana" w:eastAsia="Times New Roman" w:hAnsi="Verdana" w:cs="Times New Roman"/>
                                        <w:sz w:val="18"/>
                                        <w:szCs w:val="18"/>
                                      </w:rPr>
                                      <w:t xml:space="preserve">Use a hose with a hand-held nozzle to water flowers and shrubs, or let them go dormant. </w:t>
                                    </w:r>
                                  </w:p>
                                  <w:p w:rsidR="003A375B" w:rsidRPr="003A375B" w:rsidRDefault="003A375B" w:rsidP="003A375B">
                                    <w:pPr>
                                      <w:numPr>
                                        <w:ilvl w:val="0"/>
                                        <w:numId w:val="5"/>
                                      </w:numPr>
                                      <w:spacing w:before="100" w:beforeAutospacing="1" w:after="100" w:afterAutospacing="1" w:line="300" w:lineRule="atLeast"/>
                                      <w:rPr>
                                        <w:rFonts w:ascii="Verdana" w:eastAsia="Times New Roman" w:hAnsi="Verdana" w:cs="Times New Roman"/>
                                        <w:sz w:val="18"/>
                                        <w:szCs w:val="18"/>
                                      </w:rPr>
                                    </w:pPr>
                                    <w:r w:rsidRPr="003A375B">
                                      <w:rPr>
                                        <w:rFonts w:ascii="Verdana" w:eastAsia="Times New Roman" w:hAnsi="Verdana" w:cs="Times New Roman"/>
                                        <w:sz w:val="18"/>
                                        <w:szCs w:val="18"/>
                                      </w:rPr>
                                      <w:t xml:space="preserve">Use a broom to sweep the sidewalk, rather than a hose. </w:t>
                                    </w:r>
                                  </w:p>
                                  <w:p w:rsidR="003A375B" w:rsidRPr="003A375B" w:rsidRDefault="003A375B" w:rsidP="003A375B">
                                    <w:pPr>
                                      <w:numPr>
                                        <w:ilvl w:val="0"/>
                                        <w:numId w:val="5"/>
                                      </w:numPr>
                                      <w:spacing w:before="100" w:beforeAutospacing="1" w:after="100" w:afterAutospacing="1" w:line="300" w:lineRule="atLeast"/>
                                      <w:rPr>
                                        <w:rFonts w:ascii="Verdana" w:eastAsia="Times New Roman" w:hAnsi="Verdana" w:cs="Times New Roman"/>
                                        <w:sz w:val="18"/>
                                        <w:szCs w:val="18"/>
                                      </w:rPr>
                                    </w:pPr>
                                    <w:r w:rsidRPr="003A375B">
                                      <w:rPr>
                                        <w:rFonts w:ascii="Verdana" w:eastAsia="Times New Roman" w:hAnsi="Verdana" w:cs="Times New Roman"/>
                                        <w:sz w:val="18"/>
                                        <w:szCs w:val="18"/>
                                      </w:rPr>
                                      <w:t>Wash vehicles with a bucket and do not run the hose more than necessary, or use a commercial car wash that recycles water.</w:t>
                                    </w:r>
                                  </w:p>
                                  <w:p w:rsidR="003A375B" w:rsidRPr="003A375B" w:rsidRDefault="003A375B" w:rsidP="003A375B">
                                    <w:pPr>
                                      <w:numPr>
                                        <w:ilvl w:val="0"/>
                                        <w:numId w:val="5"/>
                                      </w:numPr>
                                      <w:spacing w:before="100" w:beforeAutospacing="1" w:after="100" w:afterAutospacing="1" w:line="300" w:lineRule="atLeast"/>
                                      <w:rPr>
                                        <w:rFonts w:ascii="Verdana" w:eastAsia="Times New Roman" w:hAnsi="Verdana" w:cs="Times New Roman"/>
                                        <w:sz w:val="18"/>
                                        <w:szCs w:val="18"/>
                                      </w:rPr>
                                    </w:pPr>
                                    <w:r w:rsidRPr="003A375B">
                                      <w:rPr>
                                        <w:rFonts w:ascii="Verdana" w:eastAsia="Times New Roman" w:hAnsi="Verdana" w:cs="Times New Roman"/>
                                        <w:sz w:val="18"/>
                                        <w:szCs w:val="18"/>
                                      </w:rPr>
                                      <w:t xml:space="preserve">To save water at home, fix leaky faucets and pipes. Consider replacing your toilet with a low-flow version; this can save around 11,000 gallons per year. </w:t>
                                    </w:r>
                                  </w:p>
                                  <w:p w:rsidR="003A375B" w:rsidRPr="003A375B" w:rsidRDefault="003A375B" w:rsidP="003A375B">
                                    <w:pPr>
                                      <w:numPr>
                                        <w:ilvl w:val="0"/>
                                        <w:numId w:val="5"/>
                                      </w:numPr>
                                      <w:spacing w:before="100" w:beforeAutospacing="1" w:after="100" w:afterAutospacing="1" w:line="300" w:lineRule="atLeast"/>
                                      <w:rPr>
                                        <w:rFonts w:ascii="Verdana" w:eastAsia="Times New Roman" w:hAnsi="Verdana" w:cs="Times New Roman"/>
                                        <w:sz w:val="18"/>
                                        <w:szCs w:val="18"/>
                                      </w:rPr>
                                    </w:pPr>
                                    <w:r w:rsidRPr="003A375B">
                                      <w:rPr>
                                        <w:rFonts w:ascii="Verdana" w:eastAsia="Times New Roman" w:hAnsi="Verdana" w:cs="Times New Roman"/>
                                        <w:sz w:val="18"/>
                                        <w:szCs w:val="18"/>
                                      </w:rPr>
                                      <w:t xml:space="preserve">Upgrade your showerhead to low-flow versions, which can save some 7,700 gallons per year. </w:t>
                                    </w:r>
                                  </w:p>
                                  <w:p w:rsidR="003A375B" w:rsidRPr="003A375B" w:rsidRDefault="003A375B" w:rsidP="003A375B">
                                    <w:pPr>
                                      <w:numPr>
                                        <w:ilvl w:val="0"/>
                                        <w:numId w:val="5"/>
                                      </w:numPr>
                                      <w:spacing w:before="100" w:beforeAutospacing="1" w:after="100" w:afterAutospacing="1" w:line="300" w:lineRule="atLeast"/>
                                      <w:rPr>
                                        <w:rFonts w:ascii="Verdana" w:eastAsia="Times New Roman" w:hAnsi="Verdana" w:cs="Times New Roman"/>
                                        <w:sz w:val="18"/>
                                        <w:szCs w:val="18"/>
                                      </w:rPr>
                                    </w:pPr>
                                    <w:r w:rsidRPr="003A375B">
                                      <w:rPr>
                                        <w:rFonts w:ascii="Verdana" w:eastAsia="Times New Roman" w:hAnsi="Verdana" w:cs="Times New Roman"/>
                                        <w:sz w:val="18"/>
                                        <w:szCs w:val="18"/>
                                      </w:rPr>
                                      <w:t xml:space="preserve">Upgrade your faucets or install faucet aerators; this can save some 16,000 gallons per year. </w:t>
                                    </w:r>
                                  </w:p>
                                  <w:p w:rsidR="003A375B" w:rsidRPr="003A375B" w:rsidRDefault="003A375B" w:rsidP="003A375B">
                                    <w:pPr>
                                      <w:spacing w:before="100" w:beforeAutospacing="1" w:after="100" w:afterAutospacing="1" w:line="300" w:lineRule="atLeast"/>
                                      <w:rPr>
                                        <w:rFonts w:ascii="Verdana" w:eastAsia="Times New Roman" w:hAnsi="Verdana" w:cs="Times New Roman"/>
                                        <w:sz w:val="18"/>
                                        <w:szCs w:val="18"/>
                                      </w:rPr>
                                    </w:pPr>
                                    <w:r w:rsidRPr="003A375B">
                                      <w:rPr>
                                        <w:rFonts w:ascii="Verdana" w:eastAsia="Times New Roman" w:hAnsi="Verdana" w:cs="Times New Roman"/>
                                        <w:sz w:val="18"/>
                                        <w:szCs w:val="18"/>
                                      </w:rPr>
                                      <w:t xml:space="preserve">For more state water supply status information and to view the Administrative Order, visit: </w:t>
                                    </w:r>
                                    <w:hyperlink r:id="rId26" w:history="1">
                                      <w:r w:rsidRPr="003A375B">
                                        <w:rPr>
                                          <w:rFonts w:ascii="Verdana" w:eastAsia="Times New Roman" w:hAnsi="Verdana" w:cs="Times New Roman"/>
                                          <w:color w:val="003366"/>
                                          <w:sz w:val="18"/>
                                          <w:szCs w:val="18"/>
                                          <w:u w:val="single"/>
                                        </w:rPr>
                                        <w:t>www.njdrought.org</w:t>
                                      </w:r>
                                    </w:hyperlink>
                                    <w:r w:rsidRPr="003A375B">
                                      <w:rPr>
                                        <w:rFonts w:ascii="Verdana" w:eastAsia="Times New Roman" w:hAnsi="Verdana" w:cs="Times New Roman"/>
                                        <w:sz w:val="18"/>
                                        <w:szCs w:val="18"/>
                                        <w:u w:val="single"/>
                                      </w:rPr>
                                      <w:t xml:space="preserve"> </w:t>
                                    </w:r>
                                  </w:p>
                                  <w:p w:rsidR="003A375B" w:rsidRPr="003A375B" w:rsidRDefault="003A375B" w:rsidP="003A375B">
                                    <w:pPr>
                                      <w:spacing w:before="100" w:beforeAutospacing="1" w:after="100" w:afterAutospacing="1" w:line="300" w:lineRule="atLeast"/>
                                      <w:rPr>
                                        <w:rFonts w:ascii="Verdana" w:eastAsia="Times New Roman" w:hAnsi="Verdana" w:cs="Times New Roman"/>
                                        <w:sz w:val="18"/>
                                        <w:szCs w:val="18"/>
                                      </w:rPr>
                                    </w:pPr>
                                    <w:r w:rsidRPr="003A375B">
                                      <w:rPr>
                                        <w:rFonts w:ascii="Verdana" w:eastAsia="Times New Roman" w:hAnsi="Verdana" w:cs="Times New Roman"/>
                                        <w:sz w:val="18"/>
                                        <w:szCs w:val="18"/>
                                      </w:rPr>
                                      <w:t xml:space="preserve">For more detailed information on water conservation technologies and interesting facts, visit: </w:t>
                                    </w:r>
                                  </w:p>
                                  <w:p w:rsidR="003A375B" w:rsidRPr="003A375B" w:rsidRDefault="003A375B" w:rsidP="003A375B">
                                    <w:pPr>
                                      <w:spacing w:after="0" w:line="300" w:lineRule="atLeast"/>
                                      <w:rPr>
                                        <w:rFonts w:ascii="Verdana" w:eastAsia="Times New Roman" w:hAnsi="Verdana" w:cs="Times New Roman"/>
                                        <w:sz w:val="18"/>
                                        <w:szCs w:val="18"/>
                                      </w:rPr>
                                    </w:pPr>
                                    <w:hyperlink r:id="rId27" w:history="1">
                                      <w:r w:rsidRPr="003A375B">
                                        <w:rPr>
                                          <w:rFonts w:ascii="Verdana" w:eastAsia="Times New Roman" w:hAnsi="Verdana" w:cs="Times New Roman"/>
                                          <w:color w:val="003366"/>
                                          <w:sz w:val="18"/>
                                          <w:szCs w:val="18"/>
                                          <w:u w:val="single"/>
                                        </w:rPr>
                                        <w:t>www.nj.gov/dep/watersupply/conserve.htm</w:t>
                                      </w:r>
                                    </w:hyperlink>
                                    <w:r w:rsidRPr="003A375B">
                                      <w:rPr>
                                        <w:rFonts w:ascii="Verdana" w:eastAsia="Times New Roman" w:hAnsi="Verdana" w:cs="Times New Roman"/>
                                        <w:sz w:val="18"/>
                                        <w:szCs w:val="18"/>
                                      </w:rPr>
                                      <w:t xml:space="preserve"> </w:t>
                                    </w:r>
                                  </w:p>
                                </w:tc>
                              </w:tr>
                              <w:tr w:rsidR="003A375B" w:rsidRPr="003A375B">
                                <w:trPr>
                                  <w:tblCellSpacing w:w="0" w:type="dxa"/>
                                  <w:jc w:val="center"/>
                                </w:trPr>
                                <w:tc>
                                  <w:tcPr>
                                    <w:tcW w:w="0" w:type="auto"/>
                                    <w:gridSpan w:val="2"/>
                                    <w:hideMark/>
                                  </w:tcPr>
                                  <w:p w:rsidR="003A375B" w:rsidRPr="003A375B" w:rsidRDefault="003A375B" w:rsidP="003A375B">
                                    <w:pPr>
                                      <w:spacing w:after="0" w:line="300" w:lineRule="atLeast"/>
                                      <w:rPr>
                                        <w:rFonts w:ascii="Verdana" w:eastAsia="Times New Roman" w:hAnsi="Verdana" w:cs="Times New Roman"/>
                                        <w:sz w:val="18"/>
                                        <w:szCs w:val="18"/>
                                      </w:rPr>
                                    </w:pPr>
                                    <w:r w:rsidRPr="003A375B">
                                      <w:rPr>
                                        <w:rFonts w:ascii="Verdana" w:eastAsia="Times New Roman" w:hAnsi="Verdana" w:cs="Times New Roman"/>
                                        <w:sz w:val="18"/>
                                        <w:szCs w:val="18"/>
                                      </w:rPr>
                                      <w:lastRenderedPageBreak/>
                                      <w:t> </w:t>
                                    </w:r>
                                  </w:p>
                                </w:tc>
                              </w:tr>
                            </w:tbl>
                            <w:p w:rsidR="003A375B" w:rsidRPr="003A375B" w:rsidRDefault="003A375B" w:rsidP="003A375B">
                              <w:pPr>
                                <w:spacing w:after="0" w:line="300" w:lineRule="atLeast"/>
                                <w:rPr>
                                  <w:rFonts w:ascii="Verdana" w:eastAsia="Times New Roman" w:hAnsi="Verdana" w:cs="Times New Roman"/>
                                  <w:color w:val="000000"/>
                                  <w:sz w:val="18"/>
                                  <w:szCs w:val="18"/>
                                </w:rPr>
                              </w:pPr>
                            </w:p>
                          </w:tc>
                        </w:tr>
                      </w:tbl>
                      <w:p w:rsidR="003A375B" w:rsidRPr="003A375B" w:rsidRDefault="003A375B" w:rsidP="003A375B">
                        <w:pPr>
                          <w:spacing w:after="0" w:line="240" w:lineRule="auto"/>
                          <w:rPr>
                            <w:rFonts w:ascii="Times New Roman" w:eastAsia="Times New Roman" w:hAnsi="Times New Roman" w:cs="Times New Roman"/>
                            <w:sz w:val="24"/>
                            <w:szCs w:val="24"/>
                          </w:rPr>
                        </w:pPr>
                      </w:p>
                    </w:tc>
                    <w:tc>
                      <w:tcPr>
                        <w:tcW w:w="0" w:type="auto"/>
                        <w:vAlign w:val="center"/>
                        <w:hideMark/>
                      </w:tcPr>
                      <w:p w:rsidR="003A375B" w:rsidRPr="003A375B" w:rsidRDefault="003A375B" w:rsidP="003A375B">
                        <w:pPr>
                          <w:spacing w:after="0" w:line="240" w:lineRule="auto"/>
                          <w:rPr>
                            <w:rFonts w:ascii="Times New Roman" w:eastAsia="Times New Roman" w:hAnsi="Times New Roman" w:cs="Times New Roman"/>
                            <w:sz w:val="20"/>
                            <w:szCs w:val="20"/>
                          </w:rPr>
                        </w:pPr>
                      </w:p>
                    </w:tc>
                    <w:tc>
                      <w:tcPr>
                        <w:tcW w:w="0" w:type="auto"/>
                        <w:vAlign w:val="center"/>
                        <w:hideMark/>
                      </w:tcPr>
                      <w:p w:rsidR="003A375B" w:rsidRPr="003A375B" w:rsidRDefault="003A375B" w:rsidP="003A375B">
                        <w:pPr>
                          <w:spacing w:after="0" w:line="240" w:lineRule="auto"/>
                          <w:rPr>
                            <w:rFonts w:ascii="Times New Roman" w:eastAsia="Times New Roman" w:hAnsi="Times New Roman" w:cs="Times New Roman"/>
                            <w:sz w:val="20"/>
                            <w:szCs w:val="20"/>
                          </w:rPr>
                        </w:pPr>
                      </w:p>
                    </w:tc>
                  </w:tr>
                  <w:tr w:rsidR="003A375B" w:rsidRPr="003A375B">
                    <w:trPr>
                      <w:tblCellSpacing w:w="0" w:type="dxa"/>
                    </w:trPr>
                    <w:tc>
                      <w:tcPr>
                        <w:tcW w:w="0" w:type="auto"/>
                        <w:gridSpan w:val="3"/>
                        <w:vAlign w:val="center"/>
                        <w:hideMark/>
                      </w:tcPr>
                      <w:p w:rsidR="003A375B" w:rsidRPr="003A375B" w:rsidRDefault="003A375B" w:rsidP="003A37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8890" cy="60325"/>
                              <wp:effectExtent l="0" t="0" r="0" b="0"/>
                              <wp:docPr id="8" name="Picture 8" descr="http://www.nj.gov/dep/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j.gov/dep/images/transparent.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90" cy="60325"/>
                                      </a:xfrm>
                                      <a:prstGeom prst="rect">
                                        <a:avLst/>
                                      </a:prstGeom>
                                      <a:noFill/>
                                      <a:ln>
                                        <a:noFill/>
                                      </a:ln>
                                    </pic:spPr>
                                  </pic:pic>
                                </a:graphicData>
                              </a:graphic>
                            </wp:inline>
                          </w:drawing>
                        </w:r>
                      </w:p>
                    </w:tc>
                  </w:tr>
                </w:tbl>
                <w:p w:rsidR="003A375B" w:rsidRPr="003A375B" w:rsidRDefault="003A375B" w:rsidP="003A375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1585"/>
                    <w:gridCol w:w="360"/>
                  </w:tblGrid>
                  <w:tr w:rsidR="003A375B" w:rsidRPr="003A375B">
                    <w:trPr>
                      <w:tblCellSpacing w:w="0" w:type="dxa"/>
                      <w:jc w:val="center"/>
                    </w:trPr>
                    <w:tc>
                      <w:tcPr>
                        <w:tcW w:w="4850" w:type="pct"/>
                        <w:shd w:val="clear" w:color="auto" w:fill="FFFFFF"/>
                        <w:vAlign w:val="center"/>
                        <w:hideMark/>
                      </w:tcPr>
                      <w:p w:rsidR="003A375B" w:rsidRPr="003A375B" w:rsidRDefault="003A375B" w:rsidP="003A375B">
                        <w:pPr>
                          <w:spacing w:after="0" w:line="240" w:lineRule="auto"/>
                          <w:jc w:val="right"/>
                          <w:rPr>
                            <w:rFonts w:ascii="Times New Roman" w:eastAsia="Times New Roman" w:hAnsi="Times New Roman" w:cs="Times New Roman"/>
                            <w:sz w:val="24"/>
                            <w:szCs w:val="24"/>
                          </w:rPr>
                        </w:pPr>
                        <w:hyperlink r:id="rId28" w:history="1">
                          <w:r w:rsidRPr="003A375B">
                            <w:rPr>
                              <w:rFonts w:ascii="Verdana" w:eastAsia="Times New Roman" w:hAnsi="Verdana" w:cs="Times New Roman"/>
                              <w:b/>
                              <w:bCs/>
                              <w:color w:val="003366"/>
                              <w:sz w:val="15"/>
                              <w:szCs w:val="15"/>
                            </w:rPr>
                            <w:t>Contact DEP</w:t>
                          </w:r>
                        </w:hyperlink>
                        <w:r w:rsidRPr="003A375B">
                          <w:rPr>
                            <w:rFonts w:ascii="Verdana" w:eastAsia="Times New Roman" w:hAnsi="Verdana" w:cs="Times New Roman"/>
                            <w:color w:val="000000"/>
                            <w:sz w:val="15"/>
                            <w:szCs w:val="15"/>
                          </w:rPr>
                          <w:t xml:space="preserve"> | </w:t>
                        </w:r>
                        <w:hyperlink r:id="rId29" w:history="1">
                          <w:r w:rsidRPr="003A375B">
                            <w:rPr>
                              <w:rFonts w:ascii="Verdana" w:eastAsia="Times New Roman" w:hAnsi="Verdana" w:cs="Times New Roman"/>
                              <w:b/>
                              <w:bCs/>
                              <w:color w:val="003366"/>
                              <w:sz w:val="15"/>
                              <w:szCs w:val="15"/>
                            </w:rPr>
                            <w:t>Privacy Notice</w:t>
                          </w:r>
                        </w:hyperlink>
                        <w:r w:rsidRPr="003A375B">
                          <w:rPr>
                            <w:rFonts w:ascii="Verdana" w:eastAsia="Times New Roman" w:hAnsi="Verdana" w:cs="Times New Roman"/>
                            <w:color w:val="000000"/>
                            <w:sz w:val="15"/>
                            <w:szCs w:val="15"/>
                          </w:rPr>
                          <w:t xml:space="preserve"> | </w:t>
                        </w:r>
                        <w:hyperlink r:id="rId30" w:history="1">
                          <w:r w:rsidRPr="003A375B">
                            <w:rPr>
                              <w:rFonts w:ascii="Verdana" w:eastAsia="Times New Roman" w:hAnsi="Verdana" w:cs="Times New Roman"/>
                              <w:b/>
                              <w:bCs/>
                              <w:color w:val="003366"/>
                              <w:sz w:val="15"/>
                              <w:szCs w:val="15"/>
                            </w:rPr>
                            <w:t>Legal Statement &amp; Disclaimers</w:t>
                          </w:r>
                        </w:hyperlink>
                        <w:r w:rsidRPr="003A375B">
                          <w:rPr>
                            <w:rFonts w:ascii="Verdana" w:eastAsia="Times New Roman" w:hAnsi="Verdana" w:cs="Times New Roman"/>
                            <w:color w:val="000000"/>
                            <w:sz w:val="15"/>
                            <w:szCs w:val="15"/>
                          </w:rPr>
                          <w:t xml:space="preserve"> | </w:t>
                        </w:r>
                        <w:hyperlink r:id="rId31" w:history="1">
                          <w:r w:rsidRPr="003A375B">
                            <w:rPr>
                              <w:rFonts w:ascii="Verdana" w:eastAsia="Times New Roman" w:hAnsi="Verdana" w:cs="Times New Roman"/>
                              <w:b/>
                              <w:bCs/>
                              <w:color w:val="003366"/>
                              <w:sz w:val="15"/>
                              <w:szCs w:val="15"/>
                            </w:rPr>
                            <w:t>Accessibility Statement</w:t>
                          </w:r>
                        </w:hyperlink>
                      </w:p>
                    </w:tc>
                    <w:tc>
                      <w:tcPr>
                        <w:tcW w:w="150" w:type="pct"/>
                        <w:shd w:val="clear" w:color="auto" w:fill="FFFFFF"/>
                        <w:vAlign w:val="bottom"/>
                        <w:hideMark/>
                      </w:tcPr>
                      <w:p w:rsidR="003A375B" w:rsidRPr="003A375B" w:rsidRDefault="003A375B" w:rsidP="003A37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3366"/>
                            <w:sz w:val="24"/>
                            <w:szCs w:val="24"/>
                          </w:rPr>
                          <w:drawing>
                            <wp:inline distT="0" distB="0" distL="0" distR="0">
                              <wp:extent cx="224155" cy="224155"/>
                              <wp:effectExtent l="0" t="0" r="4445" b="4445"/>
                              <wp:docPr id="7" name="Picture 7" descr="NJ Hom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J Home">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r>
                </w:tbl>
                <w:p w:rsidR="003A375B" w:rsidRPr="003A375B" w:rsidRDefault="003A375B" w:rsidP="003A375B">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1945"/>
                  </w:tblGrid>
                  <w:tr w:rsidR="003A375B" w:rsidRPr="003A375B">
                    <w:trPr>
                      <w:tblCellSpacing w:w="0" w:type="dxa"/>
                      <w:jc w:val="center"/>
                    </w:trPr>
                    <w:tc>
                      <w:tcPr>
                        <w:tcW w:w="0" w:type="auto"/>
                        <w:shd w:val="clear" w:color="auto" w:fill="FFFFFF"/>
                        <w:hideMark/>
                      </w:tcPr>
                      <w:tbl>
                        <w:tblPr>
                          <w:tblW w:w="4900" w:type="pct"/>
                          <w:jc w:val="center"/>
                          <w:tblCellSpacing w:w="0" w:type="dxa"/>
                          <w:tblCellMar>
                            <w:left w:w="0" w:type="dxa"/>
                            <w:right w:w="0" w:type="dxa"/>
                          </w:tblCellMar>
                          <w:tblLook w:val="04A0" w:firstRow="1" w:lastRow="0" w:firstColumn="1" w:lastColumn="0" w:noHBand="0" w:noVBand="1"/>
                        </w:tblPr>
                        <w:tblGrid>
                          <w:gridCol w:w="11706"/>
                        </w:tblGrid>
                        <w:tr w:rsidR="003A375B" w:rsidRPr="003A375B">
                          <w:trPr>
                            <w:tblCellSpacing w:w="0" w:type="dxa"/>
                            <w:jc w:val="center"/>
                          </w:trPr>
                          <w:tc>
                            <w:tcPr>
                              <w:tcW w:w="0" w:type="auto"/>
                              <w:vAlign w:val="bottom"/>
                              <w:hideMark/>
                            </w:tcPr>
                            <w:p w:rsidR="003A375B" w:rsidRPr="003A375B" w:rsidRDefault="003A375B" w:rsidP="003A37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90" cy="112395"/>
                                    <wp:effectExtent l="0" t="0" r="0" b="0"/>
                                    <wp:docPr id="6" name="Picture 6" descr="http://www.nj.gov/dep/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j.gov/dep/images/transparent.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90" cy="112395"/>
                                            </a:xfrm>
                                            <a:prstGeom prst="rect">
                                              <a:avLst/>
                                            </a:prstGeom>
                                            <a:noFill/>
                                            <a:ln>
                                              <a:noFill/>
                                            </a:ln>
                                          </pic:spPr>
                                        </pic:pic>
                                      </a:graphicData>
                                    </a:graphic>
                                  </wp:inline>
                                </w:drawing>
                              </w:r>
                            </w:p>
                          </w:tc>
                        </w:tr>
                        <w:tr w:rsidR="003A375B" w:rsidRPr="003A375B">
                          <w:trPr>
                            <w:tblCellSpacing w:w="0" w:type="dxa"/>
                            <w:jc w:val="center"/>
                          </w:trPr>
                          <w:tc>
                            <w:tcPr>
                              <w:tcW w:w="0" w:type="auto"/>
                              <w:vAlign w:val="bottom"/>
                              <w:hideMark/>
                            </w:tcPr>
                            <w:p w:rsidR="003A375B" w:rsidRPr="003A375B" w:rsidRDefault="003A375B" w:rsidP="003A375B">
                              <w:pPr>
                                <w:spacing w:before="100" w:beforeAutospacing="1" w:after="100" w:afterAutospacing="1" w:line="210" w:lineRule="atLeast"/>
                                <w:rPr>
                                  <w:rFonts w:ascii="Verdana" w:eastAsia="Times New Roman" w:hAnsi="Verdana" w:cs="Times New Roman"/>
                                  <w:color w:val="000000"/>
                                  <w:sz w:val="15"/>
                                  <w:szCs w:val="15"/>
                                </w:rPr>
                              </w:pPr>
                              <w:r w:rsidRPr="003A375B">
                                <w:rPr>
                                  <w:rFonts w:ascii="Verdana" w:eastAsia="Times New Roman" w:hAnsi="Verdana" w:cs="Times New Roman"/>
                                  <w:color w:val="000000"/>
                                  <w:sz w:val="15"/>
                                  <w:szCs w:val="15"/>
                                </w:rPr>
                                <w:t xml:space="preserve">News Releases: </w:t>
                              </w:r>
                              <w:hyperlink r:id="rId34" w:history="1">
                                <w:r w:rsidRPr="003A375B">
                                  <w:rPr>
                                    <w:rFonts w:ascii="Verdana" w:eastAsia="Times New Roman" w:hAnsi="Verdana" w:cs="Times New Roman"/>
                                    <w:color w:val="003366"/>
                                    <w:sz w:val="15"/>
                                    <w:szCs w:val="15"/>
                                    <w:u w:val="single"/>
                                  </w:rPr>
                                  <w:t>DEP News Home</w:t>
                                </w:r>
                              </w:hyperlink>
                              <w:r w:rsidRPr="003A375B">
                                <w:rPr>
                                  <w:rFonts w:ascii="Verdana" w:eastAsia="Times New Roman" w:hAnsi="Verdana" w:cs="Times New Roman"/>
                                  <w:color w:val="000000"/>
                                  <w:sz w:val="15"/>
                                  <w:szCs w:val="15"/>
                                </w:rPr>
                                <w:t xml:space="preserve"> | </w:t>
                              </w:r>
                              <w:hyperlink r:id="rId35" w:history="1">
                                <w:r w:rsidRPr="003A375B">
                                  <w:rPr>
                                    <w:rFonts w:ascii="Verdana" w:eastAsia="Times New Roman" w:hAnsi="Verdana" w:cs="Times New Roman"/>
                                    <w:color w:val="003366"/>
                                    <w:sz w:val="15"/>
                                    <w:szCs w:val="15"/>
                                    <w:u w:val="single"/>
                                  </w:rPr>
                                  <w:t>Archives</w:t>
                                </w:r>
                              </w:hyperlink>
                              <w:r w:rsidRPr="003A375B">
                                <w:rPr>
                                  <w:rFonts w:ascii="Verdana" w:eastAsia="Times New Roman" w:hAnsi="Verdana" w:cs="Times New Roman"/>
                                  <w:color w:val="000000"/>
                                  <w:sz w:val="15"/>
                                  <w:szCs w:val="15"/>
                                </w:rPr>
                                <w:br/>
                                <w:t>Department: </w:t>
                              </w:r>
                              <w:hyperlink r:id="rId36" w:history="1">
                                <w:r w:rsidRPr="003A375B">
                                  <w:rPr>
                                    <w:rFonts w:ascii="Verdana" w:eastAsia="Times New Roman" w:hAnsi="Verdana" w:cs="Times New Roman"/>
                                    <w:color w:val="003366"/>
                                    <w:sz w:val="15"/>
                                    <w:szCs w:val="15"/>
                                    <w:u w:val="single"/>
                                  </w:rPr>
                                  <w:t>NJDEP Home</w:t>
                                </w:r>
                              </w:hyperlink>
                              <w:r w:rsidRPr="003A375B">
                                <w:rPr>
                                  <w:rFonts w:ascii="Verdana" w:eastAsia="Times New Roman" w:hAnsi="Verdana" w:cs="Times New Roman"/>
                                  <w:color w:val="000000"/>
                                  <w:sz w:val="15"/>
                                  <w:szCs w:val="15"/>
                                </w:rPr>
                                <w:t xml:space="preserve"> | </w:t>
                              </w:r>
                              <w:hyperlink r:id="rId37" w:history="1">
                                <w:r w:rsidRPr="003A375B">
                                  <w:rPr>
                                    <w:rFonts w:ascii="Verdana" w:eastAsia="Times New Roman" w:hAnsi="Verdana" w:cs="Times New Roman"/>
                                    <w:color w:val="003366"/>
                                    <w:sz w:val="15"/>
                                    <w:szCs w:val="15"/>
                                    <w:u w:val="single"/>
                                  </w:rPr>
                                  <w:t>About DEP</w:t>
                                </w:r>
                              </w:hyperlink>
                              <w:r w:rsidRPr="003A375B">
                                <w:rPr>
                                  <w:rFonts w:ascii="Verdana" w:eastAsia="Times New Roman" w:hAnsi="Verdana" w:cs="Times New Roman"/>
                                  <w:color w:val="000000"/>
                                  <w:sz w:val="15"/>
                                  <w:szCs w:val="15"/>
                                </w:rPr>
                                <w:t xml:space="preserve"> | </w:t>
                              </w:r>
                              <w:hyperlink r:id="rId38" w:history="1">
                                <w:r w:rsidRPr="003A375B">
                                  <w:rPr>
                                    <w:rFonts w:ascii="Verdana" w:eastAsia="Times New Roman" w:hAnsi="Verdana" w:cs="Times New Roman"/>
                                    <w:color w:val="003366"/>
                                    <w:sz w:val="15"/>
                                    <w:szCs w:val="15"/>
                                    <w:u w:val="single"/>
                                  </w:rPr>
                                  <w:t>Index by Topic</w:t>
                                </w:r>
                              </w:hyperlink>
                              <w:r w:rsidRPr="003A375B">
                                <w:rPr>
                                  <w:rFonts w:ascii="Verdana" w:eastAsia="Times New Roman" w:hAnsi="Verdana" w:cs="Times New Roman"/>
                                  <w:color w:val="000000"/>
                                  <w:sz w:val="15"/>
                                  <w:szCs w:val="15"/>
                                </w:rPr>
                                <w:t xml:space="preserve"> | </w:t>
                              </w:r>
                              <w:hyperlink r:id="rId39" w:history="1">
                                <w:r w:rsidRPr="003A375B">
                                  <w:rPr>
                                    <w:rFonts w:ascii="Verdana" w:eastAsia="Times New Roman" w:hAnsi="Verdana" w:cs="Times New Roman"/>
                                    <w:color w:val="003366"/>
                                    <w:sz w:val="15"/>
                                    <w:szCs w:val="15"/>
                                    <w:u w:val="single"/>
                                  </w:rPr>
                                  <w:t>Programs/Units</w:t>
                                </w:r>
                              </w:hyperlink>
                              <w:r w:rsidRPr="003A375B">
                                <w:rPr>
                                  <w:rFonts w:ascii="Verdana" w:eastAsia="Times New Roman" w:hAnsi="Verdana" w:cs="Times New Roman"/>
                                  <w:color w:val="000000"/>
                                  <w:sz w:val="15"/>
                                  <w:szCs w:val="15"/>
                                </w:rPr>
                                <w:t xml:space="preserve"> | </w:t>
                              </w:r>
                              <w:hyperlink r:id="rId40" w:history="1">
                                <w:r w:rsidRPr="003A375B">
                                  <w:rPr>
                                    <w:rFonts w:ascii="Verdana" w:eastAsia="Times New Roman" w:hAnsi="Verdana" w:cs="Times New Roman"/>
                                    <w:color w:val="003366"/>
                                    <w:sz w:val="15"/>
                                    <w:szCs w:val="15"/>
                                    <w:u w:val="single"/>
                                  </w:rPr>
                                  <w:t>DEP Online</w:t>
                                </w:r>
                              </w:hyperlink>
                              <w:r w:rsidRPr="003A375B">
                                <w:rPr>
                                  <w:rFonts w:ascii="Verdana" w:eastAsia="Times New Roman" w:hAnsi="Verdana" w:cs="Times New Roman"/>
                                  <w:color w:val="000000"/>
                                  <w:sz w:val="15"/>
                                  <w:szCs w:val="15"/>
                                </w:rPr>
                                <w:br/>
                                <w:t>Statewide: </w:t>
                              </w:r>
                              <w:hyperlink r:id="rId41" w:history="1">
                                <w:r w:rsidRPr="003A375B">
                                  <w:rPr>
                                    <w:rFonts w:ascii="Verdana" w:eastAsia="Times New Roman" w:hAnsi="Verdana" w:cs="Times New Roman"/>
                                    <w:color w:val="003366"/>
                                    <w:sz w:val="15"/>
                                    <w:szCs w:val="15"/>
                                    <w:u w:val="single"/>
                                  </w:rPr>
                                  <w:t>NJ Home</w:t>
                                </w:r>
                              </w:hyperlink>
                              <w:r w:rsidRPr="003A375B">
                                <w:rPr>
                                  <w:rFonts w:ascii="Verdana" w:eastAsia="Times New Roman" w:hAnsi="Verdana" w:cs="Times New Roman"/>
                                  <w:color w:val="000000"/>
                                  <w:sz w:val="15"/>
                                  <w:szCs w:val="15"/>
                                </w:rPr>
                                <w:t xml:space="preserve"> | </w:t>
                              </w:r>
                              <w:hyperlink r:id="rId42" w:history="1">
                                <w:r w:rsidRPr="003A375B">
                                  <w:rPr>
                                    <w:rFonts w:ascii="Verdana" w:eastAsia="Times New Roman" w:hAnsi="Verdana" w:cs="Times New Roman"/>
                                    <w:color w:val="003366"/>
                                    <w:sz w:val="15"/>
                                    <w:szCs w:val="15"/>
                                    <w:u w:val="single"/>
                                  </w:rPr>
                                  <w:t>Services A to Z</w:t>
                                </w:r>
                              </w:hyperlink>
                              <w:r w:rsidRPr="003A375B">
                                <w:rPr>
                                  <w:rFonts w:ascii="Verdana" w:eastAsia="Times New Roman" w:hAnsi="Verdana" w:cs="Times New Roman"/>
                                  <w:color w:val="000000"/>
                                  <w:sz w:val="15"/>
                                  <w:szCs w:val="15"/>
                                </w:rPr>
                                <w:t xml:space="preserve"> | </w:t>
                              </w:r>
                              <w:hyperlink r:id="rId43" w:history="1">
                                <w:r w:rsidRPr="003A375B">
                                  <w:rPr>
                                    <w:rFonts w:ascii="Verdana" w:eastAsia="Times New Roman" w:hAnsi="Verdana" w:cs="Times New Roman"/>
                                    <w:color w:val="003366"/>
                                    <w:sz w:val="15"/>
                                    <w:szCs w:val="15"/>
                                    <w:u w:val="single"/>
                                  </w:rPr>
                                  <w:t>Departments/Agencies</w:t>
                                </w:r>
                              </w:hyperlink>
                              <w:r w:rsidRPr="003A375B">
                                <w:rPr>
                                  <w:rFonts w:ascii="Verdana" w:eastAsia="Times New Roman" w:hAnsi="Verdana" w:cs="Times New Roman"/>
                                  <w:color w:val="000000"/>
                                  <w:sz w:val="15"/>
                                  <w:szCs w:val="15"/>
                                </w:rPr>
                                <w:t xml:space="preserve"> | </w:t>
                              </w:r>
                              <w:hyperlink r:id="rId44" w:history="1">
                                <w:r w:rsidRPr="003A375B">
                                  <w:rPr>
                                    <w:rFonts w:ascii="Verdana" w:eastAsia="Times New Roman" w:hAnsi="Verdana" w:cs="Times New Roman"/>
                                    <w:color w:val="003366"/>
                                    <w:sz w:val="15"/>
                                    <w:szCs w:val="15"/>
                                    <w:u w:val="single"/>
                                  </w:rPr>
                                  <w:t>FAQs</w:t>
                                </w:r>
                              </w:hyperlink>
                            </w:p>
                            <w:p w:rsidR="003A375B" w:rsidRPr="003A375B" w:rsidRDefault="003A375B" w:rsidP="003A375B">
                              <w:pPr>
                                <w:spacing w:before="100" w:beforeAutospacing="1" w:after="100" w:afterAutospacing="1" w:line="210" w:lineRule="atLeast"/>
                                <w:rPr>
                                  <w:rFonts w:ascii="Verdana" w:eastAsia="Times New Roman" w:hAnsi="Verdana" w:cs="Times New Roman"/>
                                  <w:color w:val="000000"/>
                                  <w:sz w:val="15"/>
                                  <w:szCs w:val="15"/>
                                </w:rPr>
                              </w:pPr>
                              <w:r w:rsidRPr="003A375B">
                                <w:rPr>
                                  <w:rFonts w:ascii="Verdana" w:eastAsia="Times New Roman" w:hAnsi="Verdana" w:cs="Times New Roman"/>
                                  <w:color w:val="000000"/>
                                  <w:sz w:val="15"/>
                                  <w:szCs w:val="15"/>
                                </w:rPr>
                                <w:t>Copyright © State of New Jersey, 1996-2016</w:t>
                              </w:r>
                              <w:r w:rsidRPr="003A375B">
                                <w:rPr>
                                  <w:rFonts w:ascii="Verdana" w:eastAsia="Times New Roman" w:hAnsi="Verdana" w:cs="Times New Roman"/>
                                  <w:color w:val="000000"/>
                                  <w:sz w:val="15"/>
                                  <w:szCs w:val="15"/>
                                </w:rPr>
                                <w:br/>
                              </w:r>
                              <w:r w:rsidRPr="003A375B">
                                <w:rPr>
                                  <w:rFonts w:ascii="Verdana" w:eastAsia="Times New Roman" w:hAnsi="Verdana" w:cs="Times New Roman"/>
                                  <w:color w:val="000000"/>
                                  <w:sz w:val="15"/>
                                  <w:szCs w:val="15"/>
                                </w:rPr>
                                <w:br/>
                                <w:t>Last Updated: November 30, 2016</w:t>
                              </w:r>
                            </w:p>
                          </w:tc>
                        </w:tr>
                      </w:tbl>
                      <w:p w:rsidR="003A375B" w:rsidRPr="003A375B" w:rsidRDefault="003A375B" w:rsidP="003A375B">
                        <w:pPr>
                          <w:spacing w:after="0" w:line="240" w:lineRule="auto"/>
                          <w:rPr>
                            <w:rFonts w:ascii="Times New Roman" w:eastAsia="Times New Roman" w:hAnsi="Times New Roman" w:cs="Times New Roman"/>
                            <w:sz w:val="24"/>
                            <w:szCs w:val="24"/>
                          </w:rPr>
                        </w:pPr>
                      </w:p>
                    </w:tc>
                  </w:tr>
                  <w:tr w:rsidR="003A375B" w:rsidRPr="003A375B">
                    <w:trPr>
                      <w:tblCellSpacing w:w="0" w:type="dxa"/>
                      <w:jc w:val="center"/>
                    </w:trPr>
                    <w:tc>
                      <w:tcPr>
                        <w:tcW w:w="0" w:type="auto"/>
                        <w:shd w:val="clear" w:color="auto" w:fill="FFFFFF"/>
                        <w:vAlign w:val="center"/>
                        <w:hideMark/>
                      </w:tcPr>
                      <w:p w:rsidR="003A375B" w:rsidRPr="003A375B" w:rsidRDefault="003A375B" w:rsidP="003A37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90" cy="17145"/>
                              <wp:effectExtent l="0" t="0" r="0" b="0"/>
                              <wp:docPr id="5" name="Picture 5" descr="http://www.nj.gov/dep/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j.gov/dep/images/transparent.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90" cy="17145"/>
                                      </a:xfrm>
                                      <a:prstGeom prst="rect">
                                        <a:avLst/>
                                      </a:prstGeom>
                                      <a:noFill/>
                                      <a:ln>
                                        <a:noFill/>
                                      </a:ln>
                                    </pic:spPr>
                                  </pic:pic>
                                </a:graphicData>
                              </a:graphic>
                            </wp:inline>
                          </w:drawing>
                        </w:r>
                      </w:p>
                    </w:tc>
                  </w:tr>
                </w:tbl>
                <w:p w:rsidR="003A375B" w:rsidRPr="003A375B" w:rsidRDefault="003A375B" w:rsidP="003A375B">
                  <w:pPr>
                    <w:spacing w:after="0" w:line="240" w:lineRule="auto"/>
                    <w:jc w:val="center"/>
                    <w:rPr>
                      <w:rFonts w:ascii="Times New Roman" w:eastAsia="Times New Roman" w:hAnsi="Times New Roman" w:cs="Times New Roman"/>
                      <w:sz w:val="24"/>
                      <w:szCs w:val="24"/>
                    </w:rPr>
                  </w:pPr>
                </w:p>
              </w:tc>
            </w:tr>
          </w:tbl>
          <w:p w:rsidR="003A375B" w:rsidRPr="003A375B" w:rsidRDefault="003A375B" w:rsidP="003A375B">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3A375B" w:rsidRPr="003A375B" w:rsidRDefault="003A375B" w:rsidP="003A37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6035" cy="8890"/>
                  <wp:effectExtent l="0" t="0" r="0" b="0"/>
                  <wp:docPr id="4" name="Picture 4" descr="http://www.nj.gov/dep/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nj.gov/dep/images/transparent.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35" cy="8890"/>
                          </a:xfrm>
                          <a:prstGeom prst="rect">
                            <a:avLst/>
                          </a:prstGeom>
                          <a:noFill/>
                          <a:ln>
                            <a:noFill/>
                          </a:ln>
                        </pic:spPr>
                      </pic:pic>
                    </a:graphicData>
                  </a:graphic>
                </wp:inline>
              </w:drawing>
            </w:r>
          </w:p>
        </w:tc>
        <w:tc>
          <w:tcPr>
            <w:tcW w:w="0" w:type="auto"/>
            <w:shd w:val="clear" w:color="auto" w:fill="003366"/>
            <w:vAlign w:val="center"/>
            <w:hideMark/>
          </w:tcPr>
          <w:p w:rsidR="003A375B" w:rsidRPr="003A375B" w:rsidRDefault="003A375B" w:rsidP="003A37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90" cy="8890"/>
                  <wp:effectExtent l="0" t="0" r="0" b="0"/>
                  <wp:docPr id="3" name="Picture 3" descr="http://www.nj.gov/dep/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nj.gov/dep/images/transparent.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3A375B" w:rsidRPr="003A375B">
        <w:trPr>
          <w:tblCellSpacing w:w="0" w:type="dxa"/>
          <w:jc w:val="center"/>
        </w:trPr>
        <w:tc>
          <w:tcPr>
            <w:tcW w:w="0" w:type="auto"/>
            <w:shd w:val="clear" w:color="auto" w:fill="003366"/>
            <w:vAlign w:val="center"/>
            <w:hideMark/>
          </w:tcPr>
          <w:p w:rsidR="003A375B" w:rsidRPr="003A375B" w:rsidRDefault="003A375B" w:rsidP="003A37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8890" cy="8890"/>
                  <wp:effectExtent l="0" t="0" r="0" b="0"/>
                  <wp:docPr id="2" name="Picture 2" descr="http://www.nj.gov/dep/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nj.gov/dep/images/transparent.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0" w:type="auto"/>
            <w:gridSpan w:val="2"/>
            <w:shd w:val="clear" w:color="auto" w:fill="336699"/>
            <w:vAlign w:val="center"/>
            <w:hideMark/>
          </w:tcPr>
          <w:p w:rsidR="003A375B" w:rsidRPr="003A375B" w:rsidRDefault="003A375B" w:rsidP="003A37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90" cy="284480"/>
                  <wp:effectExtent l="0" t="0" r="0" b="0"/>
                  <wp:docPr id="1" name="Picture 1" descr="http://www.nj.gov/dep/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nj.gov/dep/images/transparent.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90" cy="284480"/>
                          </a:xfrm>
                          <a:prstGeom prst="rect">
                            <a:avLst/>
                          </a:prstGeom>
                          <a:noFill/>
                          <a:ln>
                            <a:noFill/>
                          </a:ln>
                        </pic:spPr>
                      </pic:pic>
                    </a:graphicData>
                  </a:graphic>
                </wp:inline>
              </w:drawing>
            </w:r>
          </w:p>
        </w:tc>
      </w:tr>
    </w:tbl>
    <w:p w:rsidR="00DE2BE3" w:rsidRDefault="00DE2BE3"/>
    <w:sectPr w:rsidR="00DE2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50B5"/>
    <w:multiLevelType w:val="multilevel"/>
    <w:tmpl w:val="F182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B5378"/>
    <w:multiLevelType w:val="multilevel"/>
    <w:tmpl w:val="E836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3959B4"/>
    <w:multiLevelType w:val="multilevel"/>
    <w:tmpl w:val="4F00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CB32C5"/>
    <w:multiLevelType w:val="multilevel"/>
    <w:tmpl w:val="DE92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0A792A"/>
    <w:multiLevelType w:val="multilevel"/>
    <w:tmpl w:val="2822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75B"/>
    <w:rsid w:val="00000EAB"/>
    <w:rsid w:val="00004FFB"/>
    <w:rsid w:val="00005343"/>
    <w:rsid w:val="00006AF7"/>
    <w:rsid w:val="0000782A"/>
    <w:rsid w:val="000245BF"/>
    <w:rsid w:val="0002518E"/>
    <w:rsid w:val="00025613"/>
    <w:rsid w:val="00031FDE"/>
    <w:rsid w:val="00033109"/>
    <w:rsid w:val="00033CE3"/>
    <w:rsid w:val="00035153"/>
    <w:rsid w:val="00037CD1"/>
    <w:rsid w:val="0004334D"/>
    <w:rsid w:val="0004585A"/>
    <w:rsid w:val="000504C8"/>
    <w:rsid w:val="00052F8D"/>
    <w:rsid w:val="00055476"/>
    <w:rsid w:val="000555D3"/>
    <w:rsid w:val="00055B3A"/>
    <w:rsid w:val="00055CB6"/>
    <w:rsid w:val="000576FA"/>
    <w:rsid w:val="00062497"/>
    <w:rsid w:val="00062586"/>
    <w:rsid w:val="000755D5"/>
    <w:rsid w:val="00077696"/>
    <w:rsid w:val="00080128"/>
    <w:rsid w:val="0008291A"/>
    <w:rsid w:val="000833F8"/>
    <w:rsid w:val="00084B72"/>
    <w:rsid w:val="00087FB0"/>
    <w:rsid w:val="00097138"/>
    <w:rsid w:val="000A1B34"/>
    <w:rsid w:val="000A2CF1"/>
    <w:rsid w:val="000A3FD8"/>
    <w:rsid w:val="000A56BC"/>
    <w:rsid w:val="000A6898"/>
    <w:rsid w:val="000B3F7D"/>
    <w:rsid w:val="000C0478"/>
    <w:rsid w:val="000C0489"/>
    <w:rsid w:val="000C2746"/>
    <w:rsid w:val="000C4CEB"/>
    <w:rsid w:val="000C647C"/>
    <w:rsid w:val="000C676B"/>
    <w:rsid w:val="000C779F"/>
    <w:rsid w:val="000D11BB"/>
    <w:rsid w:val="000E5368"/>
    <w:rsid w:val="000E608C"/>
    <w:rsid w:val="000F21EF"/>
    <w:rsid w:val="000F2A8A"/>
    <w:rsid w:val="000F2D28"/>
    <w:rsid w:val="000F39AF"/>
    <w:rsid w:val="000F3CDC"/>
    <w:rsid w:val="000F5295"/>
    <w:rsid w:val="000F7FF6"/>
    <w:rsid w:val="00100E2D"/>
    <w:rsid w:val="00112296"/>
    <w:rsid w:val="00113D77"/>
    <w:rsid w:val="00115EBF"/>
    <w:rsid w:val="00116431"/>
    <w:rsid w:val="001167C7"/>
    <w:rsid w:val="00117915"/>
    <w:rsid w:val="00126251"/>
    <w:rsid w:val="00127314"/>
    <w:rsid w:val="0013338D"/>
    <w:rsid w:val="00133E93"/>
    <w:rsid w:val="00134972"/>
    <w:rsid w:val="00135731"/>
    <w:rsid w:val="00137627"/>
    <w:rsid w:val="00144B48"/>
    <w:rsid w:val="001529D2"/>
    <w:rsid w:val="00155130"/>
    <w:rsid w:val="001603AB"/>
    <w:rsid w:val="00163A00"/>
    <w:rsid w:val="00163FA8"/>
    <w:rsid w:val="00175439"/>
    <w:rsid w:val="001767BD"/>
    <w:rsid w:val="00186F75"/>
    <w:rsid w:val="00192E71"/>
    <w:rsid w:val="00193B13"/>
    <w:rsid w:val="001A17BC"/>
    <w:rsid w:val="001A32CC"/>
    <w:rsid w:val="001A4977"/>
    <w:rsid w:val="001A6A32"/>
    <w:rsid w:val="001B2F07"/>
    <w:rsid w:val="001B62DC"/>
    <w:rsid w:val="001D0191"/>
    <w:rsid w:val="001D3653"/>
    <w:rsid w:val="001D6D48"/>
    <w:rsid w:val="001E09A1"/>
    <w:rsid w:val="001E22DD"/>
    <w:rsid w:val="001E363C"/>
    <w:rsid w:val="001E604D"/>
    <w:rsid w:val="001E6B01"/>
    <w:rsid w:val="001F472E"/>
    <w:rsid w:val="001F4B0D"/>
    <w:rsid w:val="00200284"/>
    <w:rsid w:val="002010EA"/>
    <w:rsid w:val="002121EF"/>
    <w:rsid w:val="0021407B"/>
    <w:rsid w:val="00217F2D"/>
    <w:rsid w:val="002263B3"/>
    <w:rsid w:val="00227C91"/>
    <w:rsid w:val="0023310C"/>
    <w:rsid w:val="0023761B"/>
    <w:rsid w:val="00240759"/>
    <w:rsid w:val="00244A6E"/>
    <w:rsid w:val="002456BE"/>
    <w:rsid w:val="002472D3"/>
    <w:rsid w:val="00253B27"/>
    <w:rsid w:val="00253ECC"/>
    <w:rsid w:val="0026566D"/>
    <w:rsid w:val="00265AE5"/>
    <w:rsid w:val="00267E89"/>
    <w:rsid w:val="00272FDC"/>
    <w:rsid w:val="00275806"/>
    <w:rsid w:val="00276167"/>
    <w:rsid w:val="00291063"/>
    <w:rsid w:val="00295611"/>
    <w:rsid w:val="002A285F"/>
    <w:rsid w:val="002A365E"/>
    <w:rsid w:val="002C0458"/>
    <w:rsid w:val="002C07EE"/>
    <w:rsid w:val="002D4805"/>
    <w:rsid w:val="002D53CD"/>
    <w:rsid w:val="002D5A1A"/>
    <w:rsid w:val="002E240C"/>
    <w:rsid w:val="002E36CE"/>
    <w:rsid w:val="002E3FBB"/>
    <w:rsid w:val="002E6919"/>
    <w:rsid w:val="002F07C3"/>
    <w:rsid w:val="002F2C4E"/>
    <w:rsid w:val="002F5D82"/>
    <w:rsid w:val="002F7B27"/>
    <w:rsid w:val="00302D17"/>
    <w:rsid w:val="00303916"/>
    <w:rsid w:val="00305CE7"/>
    <w:rsid w:val="00310856"/>
    <w:rsid w:val="00311F8C"/>
    <w:rsid w:val="00314345"/>
    <w:rsid w:val="00320136"/>
    <w:rsid w:val="0032312E"/>
    <w:rsid w:val="003239D7"/>
    <w:rsid w:val="00323C94"/>
    <w:rsid w:val="003266B9"/>
    <w:rsid w:val="00332E65"/>
    <w:rsid w:val="003371E3"/>
    <w:rsid w:val="00342829"/>
    <w:rsid w:val="00343B34"/>
    <w:rsid w:val="003440DC"/>
    <w:rsid w:val="00344216"/>
    <w:rsid w:val="00346F1D"/>
    <w:rsid w:val="00357758"/>
    <w:rsid w:val="00360325"/>
    <w:rsid w:val="00365BC3"/>
    <w:rsid w:val="00371809"/>
    <w:rsid w:val="0037391F"/>
    <w:rsid w:val="003747D3"/>
    <w:rsid w:val="00374CC1"/>
    <w:rsid w:val="00375E15"/>
    <w:rsid w:val="003761C0"/>
    <w:rsid w:val="00376CA7"/>
    <w:rsid w:val="00377DF4"/>
    <w:rsid w:val="003807BA"/>
    <w:rsid w:val="003808ED"/>
    <w:rsid w:val="0038627E"/>
    <w:rsid w:val="0038652F"/>
    <w:rsid w:val="00391034"/>
    <w:rsid w:val="00392C66"/>
    <w:rsid w:val="00392D34"/>
    <w:rsid w:val="003943B0"/>
    <w:rsid w:val="003A1907"/>
    <w:rsid w:val="003A1ED6"/>
    <w:rsid w:val="003A375B"/>
    <w:rsid w:val="003A4739"/>
    <w:rsid w:val="003A4EAF"/>
    <w:rsid w:val="003B1461"/>
    <w:rsid w:val="003B1DF5"/>
    <w:rsid w:val="003B5F33"/>
    <w:rsid w:val="003B6931"/>
    <w:rsid w:val="003B6BCE"/>
    <w:rsid w:val="003C3C57"/>
    <w:rsid w:val="003D14F4"/>
    <w:rsid w:val="003E1ADA"/>
    <w:rsid w:val="003E3C05"/>
    <w:rsid w:val="003E7486"/>
    <w:rsid w:val="003F22F0"/>
    <w:rsid w:val="003F293D"/>
    <w:rsid w:val="003F7826"/>
    <w:rsid w:val="004067D3"/>
    <w:rsid w:val="00407232"/>
    <w:rsid w:val="0041092F"/>
    <w:rsid w:val="004210D9"/>
    <w:rsid w:val="00422B80"/>
    <w:rsid w:val="00422EA0"/>
    <w:rsid w:val="004266F1"/>
    <w:rsid w:val="00432BA7"/>
    <w:rsid w:val="00434946"/>
    <w:rsid w:val="00437F12"/>
    <w:rsid w:val="004415BC"/>
    <w:rsid w:val="00441B61"/>
    <w:rsid w:val="00443B83"/>
    <w:rsid w:val="00446386"/>
    <w:rsid w:val="00450E4D"/>
    <w:rsid w:val="00451318"/>
    <w:rsid w:val="00451A4F"/>
    <w:rsid w:val="00462B85"/>
    <w:rsid w:val="00463C6C"/>
    <w:rsid w:val="00466F9B"/>
    <w:rsid w:val="00477595"/>
    <w:rsid w:val="0048777B"/>
    <w:rsid w:val="0049339B"/>
    <w:rsid w:val="00493C64"/>
    <w:rsid w:val="00494059"/>
    <w:rsid w:val="004A4215"/>
    <w:rsid w:val="004A5F50"/>
    <w:rsid w:val="004A6E78"/>
    <w:rsid w:val="004A71E3"/>
    <w:rsid w:val="004B0846"/>
    <w:rsid w:val="004B11A9"/>
    <w:rsid w:val="004B74C1"/>
    <w:rsid w:val="004C10BE"/>
    <w:rsid w:val="004C260A"/>
    <w:rsid w:val="004D2A40"/>
    <w:rsid w:val="004D46EE"/>
    <w:rsid w:val="004D4BAD"/>
    <w:rsid w:val="004F1DA4"/>
    <w:rsid w:val="004F32BA"/>
    <w:rsid w:val="004F5BFC"/>
    <w:rsid w:val="004F65AD"/>
    <w:rsid w:val="00500571"/>
    <w:rsid w:val="005065DA"/>
    <w:rsid w:val="00506662"/>
    <w:rsid w:val="0050688B"/>
    <w:rsid w:val="0051263F"/>
    <w:rsid w:val="0051328F"/>
    <w:rsid w:val="00514768"/>
    <w:rsid w:val="00514E7F"/>
    <w:rsid w:val="0051580C"/>
    <w:rsid w:val="005334F0"/>
    <w:rsid w:val="00534E24"/>
    <w:rsid w:val="0053538F"/>
    <w:rsid w:val="00536264"/>
    <w:rsid w:val="00542D76"/>
    <w:rsid w:val="00543438"/>
    <w:rsid w:val="005454B4"/>
    <w:rsid w:val="0054798C"/>
    <w:rsid w:val="00550A7B"/>
    <w:rsid w:val="0055322F"/>
    <w:rsid w:val="005616F4"/>
    <w:rsid w:val="00566035"/>
    <w:rsid w:val="005676BE"/>
    <w:rsid w:val="00571C0E"/>
    <w:rsid w:val="00573D4B"/>
    <w:rsid w:val="00574077"/>
    <w:rsid w:val="00574BBF"/>
    <w:rsid w:val="00580418"/>
    <w:rsid w:val="00590DC0"/>
    <w:rsid w:val="00593831"/>
    <w:rsid w:val="005A0051"/>
    <w:rsid w:val="005A23B5"/>
    <w:rsid w:val="005A4036"/>
    <w:rsid w:val="005A7737"/>
    <w:rsid w:val="005B38EC"/>
    <w:rsid w:val="005B4D4A"/>
    <w:rsid w:val="005B6FEF"/>
    <w:rsid w:val="005C0485"/>
    <w:rsid w:val="005C17FD"/>
    <w:rsid w:val="005C3267"/>
    <w:rsid w:val="005C4A18"/>
    <w:rsid w:val="005D23BE"/>
    <w:rsid w:val="005D30EB"/>
    <w:rsid w:val="005D6455"/>
    <w:rsid w:val="005D65D1"/>
    <w:rsid w:val="005D781C"/>
    <w:rsid w:val="005D7EF8"/>
    <w:rsid w:val="005E04B4"/>
    <w:rsid w:val="005E0ACC"/>
    <w:rsid w:val="005E20E4"/>
    <w:rsid w:val="005E624B"/>
    <w:rsid w:val="005E6B01"/>
    <w:rsid w:val="005E7E73"/>
    <w:rsid w:val="005F1775"/>
    <w:rsid w:val="005F2202"/>
    <w:rsid w:val="005F409B"/>
    <w:rsid w:val="005F4F6A"/>
    <w:rsid w:val="005F68D7"/>
    <w:rsid w:val="00601056"/>
    <w:rsid w:val="00605046"/>
    <w:rsid w:val="00607DC6"/>
    <w:rsid w:val="00607F7C"/>
    <w:rsid w:val="006126F8"/>
    <w:rsid w:val="00617C64"/>
    <w:rsid w:val="0062126D"/>
    <w:rsid w:val="0062613A"/>
    <w:rsid w:val="0062692A"/>
    <w:rsid w:val="00633F53"/>
    <w:rsid w:val="006358FD"/>
    <w:rsid w:val="00636F42"/>
    <w:rsid w:val="00640F98"/>
    <w:rsid w:val="00643F1D"/>
    <w:rsid w:val="00647FF8"/>
    <w:rsid w:val="00650650"/>
    <w:rsid w:val="006507D8"/>
    <w:rsid w:val="0065196F"/>
    <w:rsid w:val="0065272F"/>
    <w:rsid w:val="00652FB4"/>
    <w:rsid w:val="006548EA"/>
    <w:rsid w:val="00665C08"/>
    <w:rsid w:val="00667899"/>
    <w:rsid w:val="006703ED"/>
    <w:rsid w:val="00676569"/>
    <w:rsid w:val="00680BD8"/>
    <w:rsid w:val="00684CBF"/>
    <w:rsid w:val="00685502"/>
    <w:rsid w:val="0069402B"/>
    <w:rsid w:val="006B03AB"/>
    <w:rsid w:val="006B0920"/>
    <w:rsid w:val="006B0A27"/>
    <w:rsid w:val="006B1B4C"/>
    <w:rsid w:val="006B2016"/>
    <w:rsid w:val="006B4753"/>
    <w:rsid w:val="006B4F86"/>
    <w:rsid w:val="006C230B"/>
    <w:rsid w:val="006C6376"/>
    <w:rsid w:val="006C70DE"/>
    <w:rsid w:val="006C7AF1"/>
    <w:rsid w:val="006D150C"/>
    <w:rsid w:val="006D2CC9"/>
    <w:rsid w:val="006D71AD"/>
    <w:rsid w:val="006E25DC"/>
    <w:rsid w:val="006F6917"/>
    <w:rsid w:val="0070057B"/>
    <w:rsid w:val="00701090"/>
    <w:rsid w:val="00702AE6"/>
    <w:rsid w:val="00703493"/>
    <w:rsid w:val="00705526"/>
    <w:rsid w:val="00705DC3"/>
    <w:rsid w:val="007130D8"/>
    <w:rsid w:val="0071618A"/>
    <w:rsid w:val="00716828"/>
    <w:rsid w:val="00717CA4"/>
    <w:rsid w:val="00721F9B"/>
    <w:rsid w:val="00724912"/>
    <w:rsid w:val="00730BEE"/>
    <w:rsid w:val="00734A4F"/>
    <w:rsid w:val="00737347"/>
    <w:rsid w:val="007401B7"/>
    <w:rsid w:val="0074670D"/>
    <w:rsid w:val="0076122B"/>
    <w:rsid w:val="00764275"/>
    <w:rsid w:val="00764DA8"/>
    <w:rsid w:val="00765E6D"/>
    <w:rsid w:val="00770590"/>
    <w:rsid w:val="00771409"/>
    <w:rsid w:val="007719DB"/>
    <w:rsid w:val="00772811"/>
    <w:rsid w:val="00775F8A"/>
    <w:rsid w:val="007769DE"/>
    <w:rsid w:val="00777923"/>
    <w:rsid w:val="00781AA6"/>
    <w:rsid w:val="007821BE"/>
    <w:rsid w:val="00791561"/>
    <w:rsid w:val="00795F2B"/>
    <w:rsid w:val="007A3B5D"/>
    <w:rsid w:val="007A63E0"/>
    <w:rsid w:val="007B27A5"/>
    <w:rsid w:val="007B7A38"/>
    <w:rsid w:val="007C3EF2"/>
    <w:rsid w:val="007C4063"/>
    <w:rsid w:val="007C40BD"/>
    <w:rsid w:val="007C5B69"/>
    <w:rsid w:val="007D2043"/>
    <w:rsid w:val="007D5486"/>
    <w:rsid w:val="007D72AE"/>
    <w:rsid w:val="007E3702"/>
    <w:rsid w:val="007F1BFD"/>
    <w:rsid w:val="007F1CD9"/>
    <w:rsid w:val="007F2D49"/>
    <w:rsid w:val="007F4F8F"/>
    <w:rsid w:val="007F68F2"/>
    <w:rsid w:val="00801F1D"/>
    <w:rsid w:val="0080747A"/>
    <w:rsid w:val="00807777"/>
    <w:rsid w:val="00810605"/>
    <w:rsid w:val="00812109"/>
    <w:rsid w:val="0081210B"/>
    <w:rsid w:val="0081239C"/>
    <w:rsid w:val="00821895"/>
    <w:rsid w:val="00823386"/>
    <w:rsid w:val="00834E68"/>
    <w:rsid w:val="00834E86"/>
    <w:rsid w:val="00835AF8"/>
    <w:rsid w:val="00840B53"/>
    <w:rsid w:val="00842F67"/>
    <w:rsid w:val="008447CE"/>
    <w:rsid w:val="00851F81"/>
    <w:rsid w:val="00853311"/>
    <w:rsid w:val="008607EA"/>
    <w:rsid w:val="0087317E"/>
    <w:rsid w:val="00877A61"/>
    <w:rsid w:val="0088404D"/>
    <w:rsid w:val="008853F5"/>
    <w:rsid w:val="008865C5"/>
    <w:rsid w:val="00887D70"/>
    <w:rsid w:val="008943EC"/>
    <w:rsid w:val="00894B24"/>
    <w:rsid w:val="00896E7A"/>
    <w:rsid w:val="008A2CCD"/>
    <w:rsid w:val="008A50E3"/>
    <w:rsid w:val="008A696B"/>
    <w:rsid w:val="008A6E10"/>
    <w:rsid w:val="008B1821"/>
    <w:rsid w:val="008C0657"/>
    <w:rsid w:val="008D4922"/>
    <w:rsid w:val="008D7134"/>
    <w:rsid w:val="008D75B6"/>
    <w:rsid w:val="008E2FC7"/>
    <w:rsid w:val="008E67B0"/>
    <w:rsid w:val="008E6FAA"/>
    <w:rsid w:val="008F23D3"/>
    <w:rsid w:val="008F3E53"/>
    <w:rsid w:val="008F5C1A"/>
    <w:rsid w:val="009031F8"/>
    <w:rsid w:val="009053C6"/>
    <w:rsid w:val="00906ACC"/>
    <w:rsid w:val="00906F53"/>
    <w:rsid w:val="00917704"/>
    <w:rsid w:val="00924A2E"/>
    <w:rsid w:val="009279AC"/>
    <w:rsid w:val="009307D8"/>
    <w:rsid w:val="00931FD5"/>
    <w:rsid w:val="009332C9"/>
    <w:rsid w:val="00936D53"/>
    <w:rsid w:val="0093707C"/>
    <w:rsid w:val="00940DE0"/>
    <w:rsid w:val="00941D75"/>
    <w:rsid w:val="00944F4F"/>
    <w:rsid w:val="00951DC1"/>
    <w:rsid w:val="009532DF"/>
    <w:rsid w:val="00954029"/>
    <w:rsid w:val="00955D68"/>
    <w:rsid w:val="00956184"/>
    <w:rsid w:val="0096505E"/>
    <w:rsid w:val="00967DC4"/>
    <w:rsid w:val="009716FC"/>
    <w:rsid w:val="009720FB"/>
    <w:rsid w:val="009727F2"/>
    <w:rsid w:val="0097744D"/>
    <w:rsid w:val="009910AC"/>
    <w:rsid w:val="0099289B"/>
    <w:rsid w:val="00996661"/>
    <w:rsid w:val="009A454B"/>
    <w:rsid w:val="009B6B2E"/>
    <w:rsid w:val="009B785C"/>
    <w:rsid w:val="009C1B3A"/>
    <w:rsid w:val="009C3E96"/>
    <w:rsid w:val="009C5E7F"/>
    <w:rsid w:val="009D2511"/>
    <w:rsid w:val="009E4004"/>
    <w:rsid w:val="009E42C7"/>
    <w:rsid w:val="009E723A"/>
    <w:rsid w:val="009E7632"/>
    <w:rsid w:val="009F08F6"/>
    <w:rsid w:val="009F24FE"/>
    <w:rsid w:val="009F2775"/>
    <w:rsid w:val="009F65D7"/>
    <w:rsid w:val="00A00C05"/>
    <w:rsid w:val="00A105CA"/>
    <w:rsid w:val="00A126F1"/>
    <w:rsid w:val="00A1755C"/>
    <w:rsid w:val="00A225FE"/>
    <w:rsid w:val="00A23EB7"/>
    <w:rsid w:val="00A256EA"/>
    <w:rsid w:val="00A25EE5"/>
    <w:rsid w:val="00A27022"/>
    <w:rsid w:val="00A31F57"/>
    <w:rsid w:val="00A32C27"/>
    <w:rsid w:val="00A33C27"/>
    <w:rsid w:val="00A46D16"/>
    <w:rsid w:val="00A51F25"/>
    <w:rsid w:val="00A62868"/>
    <w:rsid w:val="00A63E04"/>
    <w:rsid w:val="00A667EB"/>
    <w:rsid w:val="00A70882"/>
    <w:rsid w:val="00A7469E"/>
    <w:rsid w:val="00A75568"/>
    <w:rsid w:val="00A75DAB"/>
    <w:rsid w:val="00A8045E"/>
    <w:rsid w:val="00A87D1F"/>
    <w:rsid w:val="00A91ED0"/>
    <w:rsid w:val="00A937C9"/>
    <w:rsid w:val="00AA367C"/>
    <w:rsid w:val="00AA5706"/>
    <w:rsid w:val="00AA7DA4"/>
    <w:rsid w:val="00AC3DDB"/>
    <w:rsid w:val="00AC64F7"/>
    <w:rsid w:val="00AC7639"/>
    <w:rsid w:val="00AD09EE"/>
    <w:rsid w:val="00AD7C15"/>
    <w:rsid w:val="00AE0A9F"/>
    <w:rsid w:val="00AE2EF1"/>
    <w:rsid w:val="00AE43B6"/>
    <w:rsid w:val="00AE77E6"/>
    <w:rsid w:val="00AF4B0B"/>
    <w:rsid w:val="00B012A8"/>
    <w:rsid w:val="00B06B1F"/>
    <w:rsid w:val="00B14BC7"/>
    <w:rsid w:val="00B17917"/>
    <w:rsid w:val="00B24FEA"/>
    <w:rsid w:val="00B34EB5"/>
    <w:rsid w:val="00B36222"/>
    <w:rsid w:val="00B40A85"/>
    <w:rsid w:val="00B41BA2"/>
    <w:rsid w:val="00B457A7"/>
    <w:rsid w:val="00B45E33"/>
    <w:rsid w:val="00B464FA"/>
    <w:rsid w:val="00B52AFE"/>
    <w:rsid w:val="00B54987"/>
    <w:rsid w:val="00B54EC5"/>
    <w:rsid w:val="00B55E78"/>
    <w:rsid w:val="00B604B4"/>
    <w:rsid w:val="00B657AB"/>
    <w:rsid w:val="00B65CA2"/>
    <w:rsid w:val="00B66EDD"/>
    <w:rsid w:val="00B70422"/>
    <w:rsid w:val="00B76CB1"/>
    <w:rsid w:val="00B7742A"/>
    <w:rsid w:val="00B778C9"/>
    <w:rsid w:val="00B803B7"/>
    <w:rsid w:val="00B81076"/>
    <w:rsid w:val="00B82134"/>
    <w:rsid w:val="00B87F2F"/>
    <w:rsid w:val="00B95939"/>
    <w:rsid w:val="00BB0C01"/>
    <w:rsid w:val="00BC3820"/>
    <w:rsid w:val="00BC4AEA"/>
    <w:rsid w:val="00BC60A2"/>
    <w:rsid w:val="00BC6FA3"/>
    <w:rsid w:val="00BD4601"/>
    <w:rsid w:val="00BD529F"/>
    <w:rsid w:val="00BD68D4"/>
    <w:rsid w:val="00BD7ABC"/>
    <w:rsid w:val="00BE1557"/>
    <w:rsid w:val="00BF5D51"/>
    <w:rsid w:val="00C01629"/>
    <w:rsid w:val="00C02B86"/>
    <w:rsid w:val="00C0356F"/>
    <w:rsid w:val="00C06258"/>
    <w:rsid w:val="00C06EE2"/>
    <w:rsid w:val="00C12595"/>
    <w:rsid w:val="00C14E2D"/>
    <w:rsid w:val="00C24B32"/>
    <w:rsid w:val="00C31213"/>
    <w:rsid w:val="00C32453"/>
    <w:rsid w:val="00C35186"/>
    <w:rsid w:val="00C47BA2"/>
    <w:rsid w:val="00C5275B"/>
    <w:rsid w:val="00C52C29"/>
    <w:rsid w:val="00C54A90"/>
    <w:rsid w:val="00C55C1B"/>
    <w:rsid w:val="00C56084"/>
    <w:rsid w:val="00C57204"/>
    <w:rsid w:val="00C60082"/>
    <w:rsid w:val="00C60D05"/>
    <w:rsid w:val="00C62E5E"/>
    <w:rsid w:val="00C65262"/>
    <w:rsid w:val="00C663EE"/>
    <w:rsid w:val="00C70372"/>
    <w:rsid w:val="00C71730"/>
    <w:rsid w:val="00C769E6"/>
    <w:rsid w:val="00C80F83"/>
    <w:rsid w:val="00C817C9"/>
    <w:rsid w:val="00C91F46"/>
    <w:rsid w:val="00C931F0"/>
    <w:rsid w:val="00C96E4E"/>
    <w:rsid w:val="00C97572"/>
    <w:rsid w:val="00C97662"/>
    <w:rsid w:val="00CA1906"/>
    <w:rsid w:val="00CA5B21"/>
    <w:rsid w:val="00CB1B4D"/>
    <w:rsid w:val="00CB1F9D"/>
    <w:rsid w:val="00CB2648"/>
    <w:rsid w:val="00CB408B"/>
    <w:rsid w:val="00CE10B6"/>
    <w:rsid w:val="00CE18EF"/>
    <w:rsid w:val="00CE7354"/>
    <w:rsid w:val="00CE7C20"/>
    <w:rsid w:val="00CF02DD"/>
    <w:rsid w:val="00CF2A8A"/>
    <w:rsid w:val="00CF4032"/>
    <w:rsid w:val="00D000CE"/>
    <w:rsid w:val="00D03A4C"/>
    <w:rsid w:val="00D12F14"/>
    <w:rsid w:val="00D175FA"/>
    <w:rsid w:val="00D203B0"/>
    <w:rsid w:val="00D223A3"/>
    <w:rsid w:val="00D22A10"/>
    <w:rsid w:val="00D2356D"/>
    <w:rsid w:val="00D24C4D"/>
    <w:rsid w:val="00D26870"/>
    <w:rsid w:val="00D30A6F"/>
    <w:rsid w:val="00D31064"/>
    <w:rsid w:val="00D326A2"/>
    <w:rsid w:val="00D3459C"/>
    <w:rsid w:val="00D355A4"/>
    <w:rsid w:val="00D40BCB"/>
    <w:rsid w:val="00D40C3F"/>
    <w:rsid w:val="00D418B8"/>
    <w:rsid w:val="00D42474"/>
    <w:rsid w:val="00D43CC4"/>
    <w:rsid w:val="00D56954"/>
    <w:rsid w:val="00D573F1"/>
    <w:rsid w:val="00D603BE"/>
    <w:rsid w:val="00D635AC"/>
    <w:rsid w:val="00D651EC"/>
    <w:rsid w:val="00D656C6"/>
    <w:rsid w:val="00D6674B"/>
    <w:rsid w:val="00D709BE"/>
    <w:rsid w:val="00D7224D"/>
    <w:rsid w:val="00D72CC0"/>
    <w:rsid w:val="00D745E4"/>
    <w:rsid w:val="00D7676C"/>
    <w:rsid w:val="00D81932"/>
    <w:rsid w:val="00D81A41"/>
    <w:rsid w:val="00D90DC1"/>
    <w:rsid w:val="00D97BFA"/>
    <w:rsid w:val="00DA39B9"/>
    <w:rsid w:val="00DA3C38"/>
    <w:rsid w:val="00DB2CDC"/>
    <w:rsid w:val="00DB36E1"/>
    <w:rsid w:val="00DB4C87"/>
    <w:rsid w:val="00DB64BA"/>
    <w:rsid w:val="00DB7D30"/>
    <w:rsid w:val="00DC1A01"/>
    <w:rsid w:val="00DC2A8B"/>
    <w:rsid w:val="00DC49C5"/>
    <w:rsid w:val="00DC5809"/>
    <w:rsid w:val="00DC6079"/>
    <w:rsid w:val="00DD067B"/>
    <w:rsid w:val="00DD10EE"/>
    <w:rsid w:val="00DE2BE3"/>
    <w:rsid w:val="00DE7F6C"/>
    <w:rsid w:val="00E00EBD"/>
    <w:rsid w:val="00E03D38"/>
    <w:rsid w:val="00E04D58"/>
    <w:rsid w:val="00E122C9"/>
    <w:rsid w:val="00E12426"/>
    <w:rsid w:val="00E148DF"/>
    <w:rsid w:val="00E16086"/>
    <w:rsid w:val="00E17A7A"/>
    <w:rsid w:val="00E17B4D"/>
    <w:rsid w:val="00E2135A"/>
    <w:rsid w:val="00E24062"/>
    <w:rsid w:val="00E24BA0"/>
    <w:rsid w:val="00E24F54"/>
    <w:rsid w:val="00E325F3"/>
    <w:rsid w:val="00E32D25"/>
    <w:rsid w:val="00E3577F"/>
    <w:rsid w:val="00E444A5"/>
    <w:rsid w:val="00E530A1"/>
    <w:rsid w:val="00E564DE"/>
    <w:rsid w:val="00E60DB1"/>
    <w:rsid w:val="00E74220"/>
    <w:rsid w:val="00E82D6A"/>
    <w:rsid w:val="00E82F88"/>
    <w:rsid w:val="00E84CA3"/>
    <w:rsid w:val="00E85147"/>
    <w:rsid w:val="00E87DF4"/>
    <w:rsid w:val="00E9162C"/>
    <w:rsid w:val="00E92713"/>
    <w:rsid w:val="00E93643"/>
    <w:rsid w:val="00E95A3D"/>
    <w:rsid w:val="00EA2D9D"/>
    <w:rsid w:val="00EA3B3A"/>
    <w:rsid w:val="00EA6434"/>
    <w:rsid w:val="00EA6CC3"/>
    <w:rsid w:val="00EB1188"/>
    <w:rsid w:val="00EB3511"/>
    <w:rsid w:val="00EB63FC"/>
    <w:rsid w:val="00EC1C46"/>
    <w:rsid w:val="00EC2AEB"/>
    <w:rsid w:val="00EC2E50"/>
    <w:rsid w:val="00EC3B39"/>
    <w:rsid w:val="00EC3D6F"/>
    <w:rsid w:val="00EE1D9A"/>
    <w:rsid w:val="00EE6DC9"/>
    <w:rsid w:val="00EF0455"/>
    <w:rsid w:val="00EF0F37"/>
    <w:rsid w:val="00EF22D9"/>
    <w:rsid w:val="00EF2AB3"/>
    <w:rsid w:val="00EF2C77"/>
    <w:rsid w:val="00EF4F91"/>
    <w:rsid w:val="00EF6095"/>
    <w:rsid w:val="00EF7B5B"/>
    <w:rsid w:val="00F045DF"/>
    <w:rsid w:val="00F0478C"/>
    <w:rsid w:val="00F05272"/>
    <w:rsid w:val="00F05539"/>
    <w:rsid w:val="00F16046"/>
    <w:rsid w:val="00F2080E"/>
    <w:rsid w:val="00F2410D"/>
    <w:rsid w:val="00F24E80"/>
    <w:rsid w:val="00F25651"/>
    <w:rsid w:val="00F26658"/>
    <w:rsid w:val="00F271E6"/>
    <w:rsid w:val="00F44967"/>
    <w:rsid w:val="00F45D69"/>
    <w:rsid w:val="00F46BB4"/>
    <w:rsid w:val="00F46D23"/>
    <w:rsid w:val="00F5186F"/>
    <w:rsid w:val="00F57A2D"/>
    <w:rsid w:val="00F600AC"/>
    <w:rsid w:val="00F70323"/>
    <w:rsid w:val="00F75675"/>
    <w:rsid w:val="00F75C7A"/>
    <w:rsid w:val="00F802D4"/>
    <w:rsid w:val="00F80EF6"/>
    <w:rsid w:val="00F92E59"/>
    <w:rsid w:val="00F937A5"/>
    <w:rsid w:val="00F93898"/>
    <w:rsid w:val="00F93F29"/>
    <w:rsid w:val="00FA1F30"/>
    <w:rsid w:val="00FB30D9"/>
    <w:rsid w:val="00FB5FF2"/>
    <w:rsid w:val="00FC10A9"/>
    <w:rsid w:val="00FC1EC7"/>
    <w:rsid w:val="00FC3D0A"/>
    <w:rsid w:val="00FD0EDA"/>
    <w:rsid w:val="00FD149E"/>
    <w:rsid w:val="00FD6D69"/>
    <w:rsid w:val="00FD7222"/>
    <w:rsid w:val="00FE124A"/>
    <w:rsid w:val="00FE37FA"/>
    <w:rsid w:val="00FE531B"/>
    <w:rsid w:val="00FE795F"/>
    <w:rsid w:val="00FF6016"/>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375B"/>
    <w:rPr>
      <w:color w:val="003366"/>
      <w:u w:val="single"/>
    </w:rPr>
  </w:style>
  <w:style w:type="character" w:styleId="Emphasis">
    <w:name w:val="Emphasis"/>
    <w:basedOn w:val="DefaultParagraphFont"/>
    <w:uiPriority w:val="20"/>
    <w:qFormat/>
    <w:rsid w:val="003A375B"/>
    <w:rPr>
      <w:i/>
      <w:iCs/>
    </w:rPr>
  </w:style>
  <w:style w:type="character" w:styleId="Strong">
    <w:name w:val="Strong"/>
    <w:basedOn w:val="DefaultParagraphFont"/>
    <w:uiPriority w:val="22"/>
    <w:qFormat/>
    <w:rsid w:val="003A375B"/>
    <w:rPr>
      <w:b/>
      <w:bCs/>
    </w:rPr>
  </w:style>
  <w:style w:type="paragraph" w:styleId="NormalWeb">
    <w:name w:val="Normal (Web)"/>
    <w:basedOn w:val="Normal"/>
    <w:uiPriority w:val="99"/>
    <w:unhideWhenUsed/>
    <w:rsid w:val="003A37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ack10">
    <w:name w:val="black10"/>
    <w:basedOn w:val="Normal"/>
    <w:rsid w:val="003A375B"/>
    <w:pPr>
      <w:spacing w:before="100" w:beforeAutospacing="1" w:after="100" w:afterAutospacing="1" w:line="210" w:lineRule="atLeast"/>
    </w:pPr>
    <w:rPr>
      <w:rFonts w:ascii="Verdana" w:eastAsia="Times New Roman" w:hAnsi="Verdana" w:cs="Times New Roman"/>
      <w:color w:val="000000"/>
      <w:sz w:val="15"/>
      <w:szCs w:val="15"/>
    </w:rPr>
  </w:style>
  <w:style w:type="character" w:customStyle="1" w:styleId="black101">
    <w:name w:val="black101"/>
    <w:basedOn w:val="DefaultParagraphFont"/>
    <w:rsid w:val="003A375B"/>
    <w:rPr>
      <w:rFonts w:ascii="Verdana" w:hAnsi="Verdana" w:hint="default"/>
      <w:strike w:val="0"/>
      <w:dstrike w:val="0"/>
      <w:color w:val="000000"/>
      <w:sz w:val="15"/>
      <w:szCs w:val="15"/>
      <w:u w:val="none"/>
      <w:effect w:val="none"/>
    </w:rPr>
  </w:style>
  <w:style w:type="paragraph" w:styleId="BalloonText">
    <w:name w:val="Balloon Text"/>
    <w:basedOn w:val="Normal"/>
    <w:link w:val="BalloonTextChar"/>
    <w:uiPriority w:val="99"/>
    <w:semiHidden/>
    <w:unhideWhenUsed/>
    <w:rsid w:val="003A3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375B"/>
    <w:rPr>
      <w:color w:val="003366"/>
      <w:u w:val="single"/>
    </w:rPr>
  </w:style>
  <w:style w:type="character" w:styleId="Emphasis">
    <w:name w:val="Emphasis"/>
    <w:basedOn w:val="DefaultParagraphFont"/>
    <w:uiPriority w:val="20"/>
    <w:qFormat/>
    <w:rsid w:val="003A375B"/>
    <w:rPr>
      <w:i/>
      <w:iCs/>
    </w:rPr>
  </w:style>
  <w:style w:type="character" w:styleId="Strong">
    <w:name w:val="Strong"/>
    <w:basedOn w:val="DefaultParagraphFont"/>
    <w:uiPriority w:val="22"/>
    <w:qFormat/>
    <w:rsid w:val="003A375B"/>
    <w:rPr>
      <w:b/>
      <w:bCs/>
    </w:rPr>
  </w:style>
  <w:style w:type="paragraph" w:styleId="NormalWeb">
    <w:name w:val="Normal (Web)"/>
    <w:basedOn w:val="Normal"/>
    <w:uiPriority w:val="99"/>
    <w:unhideWhenUsed/>
    <w:rsid w:val="003A37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ack10">
    <w:name w:val="black10"/>
    <w:basedOn w:val="Normal"/>
    <w:rsid w:val="003A375B"/>
    <w:pPr>
      <w:spacing w:before="100" w:beforeAutospacing="1" w:after="100" w:afterAutospacing="1" w:line="210" w:lineRule="atLeast"/>
    </w:pPr>
    <w:rPr>
      <w:rFonts w:ascii="Verdana" w:eastAsia="Times New Roman" w:hAnsi="Verdana" w:cs="Times New Roman"/>
      <w:color w:val="000000"/>
      <w:sz w:val="15"/>
      <w:szCs w:val="15"/>
    </w:rPr>
  </w:style>
  <w:style w:type="character" w:customStyle="1" w:styleId="black101">
    <w:name w:val="black101"/>
    <w:basedOn w:val="DefaultParagraphFont"/>
    <w:rsid w:val="003A375B"/>
    <w:rPr>
      <w:rFonts w:ascii="Verdana" w:hAnsi="Verdana" w:hint="default"/>
      <w:strike w:val="0"/>
      <w:dstrike w:val="0"/>
      <w:color w:val="000000"/>
      <w:sz w:val="15"/>
      <w:szCs w:val="15"/>
      <w:u w:val="none"/>
      <w:effect w:val="none"/>
    </w:rPr>
  </w:style>
  <w:style w:type="paragraph" w:styleId="BalloonText">
    <w:name w:val="Balloon Text"/>
    <w:basedOn w:val="Normal"/>
    <w:link w:val="BalloonTextChar"/>
    <w:uiPriority w:val="99"/>
    <w:semiHidden/>
    <w:unhideWhenUsed/>
    <w:rsid w:val="003A3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7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33717">
      <w:bodyDiv w:val="1"/>
      <w:marLeft w:val="0"/>
      <w:marRight w:val="0"/>
      <w:marTop w:val="0"/>
      <w:marBottom w:val="0"/>
      <w:divBdr>
        <w:top w:val="none" w:sz="0" w:space="0" w:color="auto"/>
        <w:left w:val="none" w:sz="0" w:space="0" w:color="auto"/>
        <w:bottom w:val="none" w:sz="0" w:space="0" w:color="auto"/>
        <w:right w:val="none" w:sz="0" w:space="0" w:color="auto"/>
      </w:divBdr>
      <w:divsChild>
        <w:div w:id="1318411654">
          <w:marLeft w:val="0"/>
          <w:marRight w:val="0"/>
          <w:marTop w:val="0"/>
          <w:marBottom w:val="0"/>
          <w:divBdr>
            <w:top w:val="none" w:sz="0" w:space="0" w:color="auto"/>
            <w:left w:val="none" w:sz="0" w:space="0" w:color="auto"/>
            <w:bottom w:val="none" w:sz="0" w:space="0" w:color="auto"/>
            <w:right w:val="none" w:sz="0" w:space="0" w:color="auto"/>
          </w:divBdr>
          <w:divsChild>
            <w:div w:id="2030256518">
              <w:marLeft w:val="0"/>
              <w:marRight w:val="0"/>
              <w:marTop w:val="0"/>
              <w:marBottom w:val="0"/>
              <w:divBdr>
                <w:top w:val="none" w:sz="0" w:space="0" w:color="auto"/>
                <w:left w:val="none" w:sz="0" w:space="0" w:color="auto"/>
                <w:bottom w:val="none" w:sz="0" w:space="0" w:color="auto"/>
                <w:right w:val="none" w:sz="0" w:space="0" w:color="auto"/>
              </w:divBdr>
              <w:divsChild>
                <w:div w:id="270207457">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 w:id="1895039313">
          <w:marLeft w:val="240"/>
          <w:marRight w:val="75"/>
          <w:marTop w:val="315"/>
          <w:marBottom w:val="75"/>
          <w:divBdr>
            <w:top w:val="none" w:sz="0" w:space="0" w:color="auto"/>
            <w:left w:val="none" w:sz="0" w:space="0" w:color="auto"/>
            <w:bottom w:val="none" w:sz="0" w:space="0" w:color="auto"/>
            <w:right w:val="none" w:sz="0" w:space="0" w:color="auto"/>
          </w:divBdr>
        </w:div>
        <w:div w:id="190848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nj.gov/dep/" TargetMode="External"/><Relationship Id="rId18" Type="http://schemas.openxmlformats.org/officeDocument/2006/relationships/hyperlink" Target="http://www.nj.gov/dep/units.htm" TargetMode="External"/><Relationship Id="rId26" Type="http://schemas.openxmlformats.org/officeDocument/2006/relationships/hyperlink" Target="http://www.njdrought.org/" TargetMode="External"/><Relationship Id="rId39" Type="http://schemas.openxmlformats.org/officeDocument/2006/relationships/hyperlink" Target="http://www.nj.gov/dep/units.htm" TargetMode="External"/><Relationship Id="rId3" Type="http://schemas.microsoft.com/office/2007/relationships/stylesWithEffects" Target="stylesWithEffects.xml"/><Relationship Id="rId21" Type="http://schemas.openxmlformats.org/officeDocument/2006/relationships/image" Target="media/image7.gif"/><Relationship Id="rId34" Type="http://schemas.openxmlformats.org/officeDocument/2006/relationships/hyperlink" Target="http://www.nj.gov/dep/newsrel/" TargetMode="External"/><Relationship Id="rId42" Type="http://schemas.openxmlformats.org/officeDocument/2006/relationships/hyperlink" Target="http://www.nj.gov/nj/gov/njgov/alphaserv.html" TargetMode="External"/><Relationship Id="rId7" Type="http://schemas.openxmlformats.org/officeDocument/2006/relationships/control" Target="activeX/activeX1.xml"/><Relationship Id="rId12" Type="http://schemas.openxmlformats.org/officeDocument/2006/relationships/image" Target="media/image4.gif"/><Relationship Id="rId17" Type="http://schemas.openxmlformats.org/officeDocument/2006/relationships/hyperlink" Target="http://www.nj.gov/dep/topics.html" TargetMode="External"/><Relationship Id="rId25" Type="http://schemas.openxmlformats.org/officeDocument/2006/relationships/image" Target="media/image9.jpeg"/><Relationship Id="rId33" Type="http://schemas.openxmlformats.org/officeDocument/2006/relationships/image" Target="media/image10.gif"/><Relationship Id="rId38" Type="http://schemas.openxmlformats.org/officeDocument/2006/relationships/hyperlink" Target="http://www.nj.gov/dep/topics.htm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j.gov/dep/about.html" TargetMode="External"/><Relationship Id="rId20" Type="http://schemas.openxmlformats.org/officeDocument/2006/relationships/image" Target="media/image6.gif"/><Relationship Id="rId29" Type="http://schemas.openxmlformats.org/officeDocument/2006/relationships/hyperlink" Target="http://www.nj.gov/nj/privacy.html" TargetMode="External"/><Relationship Id="rId41" Type="http://schemas.openxmlformats.org/officeDocument/2006/relationships/hyperlink" Target="http://www.nj.gov/"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image" Target="media/image8.gif"/><Relationship Id="rId32" Type="http://schemas.openxmlformats.org/officeDocument/2006/relationships/hyperlink" Target="http://www.nj.gov/" TargetMode="External"/><Relationship Id="rId37" Type="http://schemas.openxmlformats.org/officeDocument/2006/relationships/hyperlink" Target="http://www.nj.gov/dep/about.html" TargetMode="External"/><Relationship Id="rId40" Type="http://schemas.openxmlformats.org/officeDocument/2006/relationships/hyperlink" Target="http://www.nj.gov/dep/onlin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j.gov/dep" TargetMode="External"/><Relationship Id="rId23" Type="http://schemas.openxmlformats.org/officeDocument/2006/relationships/hyperlink" Target="http://www.nj.gov/dep/translate.htm" TargetMode="External"/><Relationship Id="rId28" Type="http://schemas.openxmlformats.org/officeDocument/2006/relationships/hyperlink" Target="http://www.nj.gov/cgi-bin/dep/contactdep.pl" TargetMode="External"/><Relationship Id="rId36" Type="http://schemas.openxmlformats.org/officeDocument/2006/relationships/hyperlink" Target="http://www.nj.gov/dep" TargetMode="External"/><Relationship Id="rId10" Type="http://schemas.openxmlformats.org/officeDocument/2006/relationships/image" Target="media/image3.wmf"/><Relationship Id="rId19" Type="http://schemas.openxmlformats.org/officeDocument/2006/relationships/hyperlink" Target="http://www.nj.gov/dep/online/" TargetMode="External"/><Relationship Id="rId31" Type="http://schemas.openxmlformats.org/officeDocument/2006/relationships/hyperlink" Target="http://www.nj.gov/accessibility.html" TargetMode="External"/><Relationship Id="rId44" Type="http://schemas.openxmlformats.org/officeDocument/2006/relationships/hyperlink" Target="http://www.nj.gov/faqs/" TargetMode="Externa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image" Target="media/image5.gif"/><Relationship Id="rId22" Type="http://schemas.openxmlformats.org/officeDocument/2006/relationships/hyperlink" Target="javascript:void(0)" TargetMode="External"/><Relationship Id="rId27" Type="http://schemas.openxmlformats.org/officeDocument/2006/relationships/hyperlink" Target="http://www.nj.gov/dep/watersupply/conserve.htm" TargetMode="External"/><Relationship Id="rId30" Type="http://schemas.openxmlformats.org/officeDocument/2006/relationships/hyperlink" Target="http://www.nj.gov/nj/legal.html" TargetMode="External"/><Relationship Id="rId35" Type="http://schemas.openxmlformats.org/officeDocument/2006/relationships/hyperlink" Target="http://www.nj.gov/dep/newsrel/archives.htm" TargetMode="External"/><Relationship Id="rId43" Type="http://schemas.openxmlformats.org/officeDocument/2006/relationships/hyperlink" Target="http://www.nj.gov/nj/gov/deptserv/"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GTI</Company>
  <LinksUpToDate>false</LinksUpToDate>
  <CharactersWithSpaces>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Russick</dc:creator>
  <cp:lastModifiedBy>Edward Russick</cp:lastModifiedBy>
  <cp:revision>1</cp:revision>
  <dcterms:created xsi:type="dcterms:W3CDTF">2016-12-22T22:26:00Z</dcterms:created>
  <dcterms:modified xsi:type="dcterms:W3CDTF">2016-12-22T22:27:00Z</dcterms:modified>
</cp:coreProperties>
</file>