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9DA" w:rsidRPr="00390BBD" w:rsidRDefault="005779DA" w:rsidP="00645510">
      <w:pPr>
        <w:spacing w:after="0"/>
        <w:jc w:val="center"/>
        <w:rPr>
          <w:rFonts w:cstheme="minorHAnsi"/>
          <w:b/>
        </w:rPr>
      </w:pPr>
      <w:bookmarkStart w:id="0" w:name="_GoBack"/>
      <w:bookmarkEnd w:id="0"/>
      <w:r w:rsidRPr="00390BBD">
        <w:rPr>
          <w:rFonts w:cstheme="minorHAnsi"/>
          <w:b/>
          <w:noProof/>
          <w:lang w:eastAsia="en-GB"/>
        </w:rPr>
        <w:drawing>
          <wp:inline distT="0" distB="0" distL="0" distR="0" wp14:anchorId="20845C94" wp14:editId="10E06C1D">
            <wp:extent cx="1219200" cy="1047750"/>
            <wp:effectExtent l="0" t="0" r="0" b="0"/>
            <wp:docPr id="1" name="Picture 1" descr="BIBwithR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withRHS-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047750"/>
                    </a:xfrm>
                    <a:prstGeom prst="rect">
                      <a:avLst/>
                    </a:prstGeom>
                    <a:noFill/>
                    <a:ln>
                      <a:noFill/>
                    </a:ln>
                  </pic:spPr>
                </pic:pic>
              </a:graphicData>
            </a:graphic>
          </wp:inline>
        </w:drawing>
      </w:r>
    </w:p>
    <w:p w:rsidR="005779DA" w:rsidRDefault="005779DA" w:rsidP="00645510">
      <w:pPr>
        <w:spacing w:after="0"/>
        <w:jc w:val="center"/>
        <w:rPr>
          <w:rFonts w:cstheme="minorHAnsi"/>
          <w:b/>
        </w:rPr>
      </w:pPr>
      <w:r w:rsidRPr="00390BBD">
        <w:rPr>
          <w:rFonts w:cstheme="minorHAnsi"/>
          <w:b/>
        </w:rPr>
        <w:t>RHS Britain in Bloom</w:t>
      </w:r>
    </w:p>
    <w:p w:rsidR="00D70FCC" w:rsidRPr="00390BBD" w:rsidRDefault="00D70FCC" w:rsidP="00645510">
      <w:pPr>
        <w:spacing w:after="0"/>
        <w:jc w:val="center"/>
        <w:rPr>
          <w:rFonts w:cstheme="minorHAnsi"/>
          <w:b/>
        </w:rPr>
      </w:pPr>
    </w:p>
    <w:p w:rsidR="005779DA" w:rsidRPr="00390BBD" w:rsidRDefault="005779DA" w:rsidP="00645510">
      <w:pPr>
        <w:spacing w:after="0"/>
        <w:jc w:val="center"/>
        <w:rPr>
          <w:rFonts w:cstheme="minorHAnsi"/>
        </w:rPr>
      </w:pPr>
      <w:r w:rsidRPr="00390BBD">
        <w:rPr>
          <w:rFonts w:cstheme="minorHAnsi"/>
          <w:b/>
        </w:rPr>
        <w:t>UK Finals Marking Sheet 2019</w:t>
      </w:r>
    </w:p>
    <w:p w:rsidR="005779DA" w:rsidRPr="00390BBD" w:rsidRDefault="005779DA" w:rsidP="00645510">
      <w:pPr>
        <w:pStyle w:val="Header"/>
        <w:tabs>
          <w:tab w:val="clear" w:pos="4153"/>
          <w:tab w:val="clear" w:pos="8306"/>
        </w:tabs>
        <w:overflowPunct/>
        <w:autoSpaceDE/>
        <w:autoSpaceDN/>
        <w:adjustRightInd/>
        <w:textAlignment w:val="auto"/>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500"/>
      </w:tblGrid>
      <w:tr w:rsidR="005779DA" w:rsidRPr="00390BBD" w:rsidTr="008E17E0">
        <w:tc>
          <w:tcPr>
            <w:tcW w:w="4788" w:type="dxa"/>
          </w:tcPr>
          <w:p w:rsidR="005779DA" w:rsidRPr="00390BBD" w:rsidRDefault="005779DA" w:rsidP="00645510">
            <w:pPr>
              <w:pStyle w:val="Header"/>
              <w:tabs>
                <w:tab w:val="clear" w:pos="4153"/>
                <w:tab w:val="clear" w:pos="8306"/>
              </w:tabs>
              <w:overflowPunct/>
              <w:autoSpaceDE/>
              <w:autoSpaceDN/>
              <w:adjustRightInd/>
              <w:textAlignment w:val="auto"/>
              <w:rPr>
                <w:rFonts w:asciiTheme="minorHAnsi" w:hAnsiTheme="minorHAnsi" w:cstheme="minorHAnsi"/>
                <w:b/>
                <w:sz w:val="22"/>
                <w:szCs w:val="22"/>
              </w:rPr>
            </w:pPr>
            <w:r w:rsidRPr="00390BBD">
              <w:rPr>
                <w:rFonts w:asciiTheme="minorHAnsi" w:hAnsiTheme="minorHAnsi" w:cstheme="minorHAnsi"/>
                <w:b/>
                <w:sz w:val="22"/>
                <w:szCs w:val="22"/>
              </w:rPr>
              <w:t xml:space="preserve">Name of entry: </w:t>
            </w:r>
            <w:r w:rsidR="00D1396B" w:rsidRPr="00D1396B">
              <w:rPr>
                <w:rFonts w:asciiTheme="minorHAnsi" w:hAnsiTheme="minorHAnsi" w:cstheme="minorHAnsi"/>
                <w:b/>
                <w:sz w:val="22"/>
                <w:szCs w:val="22"/>
              </w:rPr>
              <w:t>Norton-in-Hales</w:t>
            </w:r>
          </w:p>
          <w:p w:rsidR="005779DA" w:rsidRPr="00390BBD" w:rsidRDefault="005779DA" w:rsidP="00645510">
            <w:pPr>
              <w:pStyle w:val="Header"/>
              <w:tabs>
                <w:tab w:val="clear" w:pos="4153"/>
                <w:tab w:val="clear" w:pos="8306"/>
              </w:tabs>
              <w:overflowPunct/>
              <w:autoSpaceDE/>
              <w:autoSpaceDN/>
              <w:adjustRightInd/>
              <w:textAlignment w:val="auto"/>
              <w:rPr>
                <w:rFonts w:asciiTheme="minorHAnsi" w:hAnsiTheme="minorHAnsi" w:cstheme="minorHAnsi"/>
                <w:b/>
                <w:sz w:val="22"/>
                <w:szCs w:val="22"/>
              </w:rPr>
            </w:pPr>
          </w:p>
        </w:tc>
        <w:tc>
          <w:tcPr>
            <w:tcW w:w="4500" w:type="dxa"/>
          </w:tcPr>
          <w:p w:rsidR="005779DA" w:rsidRPr="00390BBD" w:rsidRDefault="007E6EAD" w:rsidP="00AA6BC6">
            <w:pPr>
              <w:pStyle w:val="Header"/>
              <w:tabs>
                <w:tab w:val="clear" w:pos="4153"/>
                <w:tab w:val="clear" w:pos="8306"/>
              </w:tabs>
              <w:overflowPunct/>
              <w:autoSpaceDE/>
              <w:autoSpaceDN/>
              <w:adjustRightInd/>
              <w:textAlignment w:val="auto"/>
              <w:rPr>
                <w:rFonts w:asciiTheme="minorHAnsi" w:hAnsiTheme="minorHAnsi" w:cstheme="minorHAnsi"/>
                <w:b/>
                <w:sz w:val="22"/>
                <w:szCs w:val="22"/>
              </w:rPr>
            </w:pPr>
            <w:r w:rsidRPr="00390BBD">
              <w:rPr>
                <w:rFonts w:asciiTheme="minorHAnsi" w:hAnsiTheme="minorHAnsi" w:cstheme="minorHAnsi"/>
                <w:b/>
                <w:sz w:val="22"/>
                <w:szCs w:val="22"/>
              </w:rPr>
              <w:t xml:space="preserve">Judging Date: </w:t>
            </w:r>
            <w:r w:rsidR="00D1396B" w:rsidRPr="00D1396B">
              <w:rPr>
                <w:rFonts w:asciiTheme="minorHAnsi" w:hAnsiTheme="minorHAnsi" w:cstheme="minorHAnsi"/>
                <w:b/>
                <w:sz w:val="22"/>
                <w:szCs w:val="22"/>
              </w:rPr>
              <w:t>5 August 2019</w:t>
            </w:r>
          </w:p>
        </w:tc>
      </w:tr>
      <w:tr w:rsidR="005779DA" w:rsidRPr="00390BBD" w:rsidTr="008E17E0">
        <w:tc>
          <w:tcPr>
            <w:tcW w:w="4788" w:type="dxa"/>
          </w:tcPr>
          <w:p w:rsidR="005779DA" w:rsidRPr="00390BBD" w:rsidRDefault="005779DA" w:rsidP="00645510">
            <w:pPr>
              <w:pStyle w:val="Header"/>
              <w:tabs>
                <w:tab w:val="clear" w:pos="4153"/>
                <w:tab w:val="clear" w:pos="8306"/>
              </w:tabs>
              <w:overflowPunct/>
              <w:autoSpaceDE/>
              <w:autoSpaceDN/>
              <w:adjustRightInd/>
              <w:textAlignment w:val="auto"/>
              <w:rPr>
                <w:rFonts w:asciiTheme="minorHAnsi" w:hAnsiTheme="minorHAnsi" w:cstheme="minorHAnsi"/>
                <w:b/>
                <w:sz w:val="22"/>
                <w:szCs w:val="22"/>
              </w:rPr>
            </w:pPr>
            <w:r w:rsidRPr="00390BBD">
              <w:rPr>
                <w:rFonts w:asciiTheme="minorHAnsi" w:hAnsiTheme="minorHAnsi" w:cstheme="minorHAnsi"/>
                <w:b/>
                <w:sz w:val="22"/>
                <w:szCs w:val="22"/>
              </w:rPr>
              <w:t xml:space="preserve">Category: </w:t>
            </w:r>
            <w:r w:rsidR="00D70FCC">
              <w:rPr>
                <w:rFonts w:asciiTheme="minorHAnsi" w:hAnsiTheme="minorHAnsi" w:cstheme="minorHAnsi"/>
                <w:b/>
                <w:sz w:val="22"/>
                <w:szCs w:val="22"/>
              </w:rPr>
              <w:t>Village</w:t>
            </w:r>
          </w:p>
          <w:p w:rsidR="005779DA" w:rsidRPr="00390BBD" w:rsidRDefault="005779DA" w:rsidP="00645510">
            <w:pPr>
              <w:pStyle w:val="Header"/>
              <w:tabs>
                <w:tab w:val="clear" w:pos="4153"/>
                <w:tab w:val="clear" w:pos="8306"/>
              </w:tabs>
              <w:overflowPunct/>
              <w:autoSpaceDE/>
              <w:autoSpaceDN/>
              <w:adjustRightInd/>
              <w:textAlignment w:val="auto"/>
              <w:rPr>
                <w:rFonts w:asciiTheme="minorHAnsi" w:hAnsiTheme="minorHAnsi" w:cstheme="minorHAnsi"/>
                <w:b/>
                <w:sz w:val="22"/>
                <w:szCs w:val="22"/>
              </w:rPr>
            </w:pPr>
          </w:p>
        </w:tc>
        <w:tc>
          <w:tcPr>
            <w:tcW w:w="4500" w:type="dxa"/>
          </w:tcPr>
          <w:p w:rsidR="005779DA" w:rsidRPr="00390BBD" w:rsidRDefault="005779DA" w:rsidP="00D70FCC">
            <w:pPr>
              <w:pStyle w:val="Header"/>
              <w:tabs>
                <w:tab w:val="clear" w:pos="4153"/>
                <w:tab w:val="clear" w:pos="8306"/>
                <w:tab w:val="left" w:pos="1215"/>
              </w:tabs>
              <w:overflowPunct/>
              <w:autoSpaceDE/>
              <w:autoSpaceDN/>
              <w:adjustRightInd/>
              <w:textAlignment w:val="auto"/>
              <w:rPr>
                <w:rFonts w:asciiTheme="minorHAnsi" w:hAnsiTheme="minorHAnsi" w:cstheme="minorHAnsi"/>
                <w:b/>
                <w:sz w:val="22"/>
                <w:szCs w:val="22"/>
              </w:rPr>
            </w:pPr>
            <w:r w:rsidRPr="00390BBD">
              <w:rPr>
                <w:rFonts w:asciiTheme="minorHAnsi" w:hAnsiTheme="minorHAnsi" w:cstheme="minorHAnsi"/>
                <w:b/>
                <w:sz w:val="22"/>
                <w:szCs w:val="22"/>
              </w:rPr>
              <w:t>Judges:</w:t>
            </w:r>
            <w:r w:rsidR="00645510" w:rsidRPr="00390BBD">
              <w:rPr>
                <w:rFonts w:asciiTheme="minorHAnsi" w:eastAsia="Calibri" w:hAnsiTheme="minorHAnsi" w:cstheme="minorHAnsi"/>
                <w:b/>
                <w:sz w:val="22"/>
                <w:szCs w:val="22"/>
              </w:rPr>
              <w:t xml:space="preserve"> </w:t>
            </w:r>
            <w:r w:rsidR="00D70FCC" w:rsidRPr="00D70FCC">
              <w:rPr>
                <w:rFonts w:asciiTheme="minorHAnsi" w:eastAsia="Calibri" w:hAnsiTheme="minorHAnsi" w:cstheme="minorHAnsi"/>
                <w:b/>
                <w:sz w:val="22"/>
                <w:szCs w:val="22"/>
              </w:rPr>
              <w:t xml:space="preserve">Brendan </w:t>
            </w:r>
            <w:proofErr w:type="spellStart"/>
            <w:r w:rsidR="00D70FCC" w:rsidRPr="00D70FCC">
              <w:rPr>
                <w:rFonts w:asciiTheme="minorHAnsi" w:eastAsia="Calibri" w:hAnsiTheme="minorHAnsi" w:cstheme="minorHAnsi"/>
                <w:b/>
                <w:sz w:val="22"/>
                <w:szCs w:val="22"/>
              </w:rPr>
              <w:t>Mowforth</w:t>
            </w:r>
            <w:proofErr w:type="spellEnd"/>
            <w:r w:rsidR="00D70FCC" w:rsidRPr="00D70FCC">
              <w:rPr>
                <w:rFonts w:asciiTheme="minorHAnsi" w:eastAsia="Calibri" w:hAnsiTheme="minorHAnsi" w:cstheme="minorHAnsi"/>
                <w:b/>
                <w:sz w:val="22"/>
                <w:szCs w:val="22"/>
              </w:rPr>
              <w:t xml:space="preserve"> and Ruth </w:t>
            </w:r>
            <w:proofErr w:type="spellStart"/>
            <w:r w:rsidR="00D70FCC" w:rsidRPr="00D70FCC">
              <w:rPr>
                <w:rFonts w:asciiTheme="minorHAnsi" w:eastAsia="Calibri" w:hAnsiTheme="minorHAnsi" w:cstheme="minorHAnsi"/>
                <w:b/>
                <w:sz w:val="22"/>
                <w:szCs w:val="22"/>
              </w:rPr>
              <w:t>Growney</w:t>
            </w:r>
            <w:proofErr w:type="spellEnd"/>
          </w:p>
        </w:tc>
      </w:tr>
    </w:tbl>
    <w:p w:rsidR="005779DA" w:rsidRPr="00390BBD" w:rsidRDefault="005779DA" w:rsidP="00645510">
      <w:pPr>
        <w:pStyle w:val="Header"/>
        <w:tabs>
          <w:tab w:val="clear" w:pos="4153"/>
          <w:tab w:val="clear" w:pos="8306"/>
        </w:tabs>
        <w:overflowPunct/>
        <w:autoSpaceDE/>
        <w:autoSpaceDN/>
        <w:adjustRightInd/>
        <w:textAlignment w:val="auto"/>
        <w:rPr>
          <w:rFonts w:asciiTheme="minorHAnsi" w:hAnsiTheme="minorHAnsi" w:cstheme="minorHAnsi"/>
          <w:sz w:val="22"/>
          <w:szCs w:val="22"/>
        </w:rPr>
      </w:pPr>
    </w:p>
    <w:tbl>
      <w:tblPr>
        <w:tblStyle w:val="TableGrid"/>
        <w:tblW w:w="9310" w:type="dxa"/>
        <w:tblLook w:val="04A0" w:firstRow="1" w:lastRow="0" w:firstColumn="1" w:lastColumn="0" w:noHBand="0" w:noVBand="1"/>
      </w:tblPr>
      <w:tblGrid>
        <w:gridCol w:w="4786"/>
        <w:gridCol w:w="4524"/>
      </w:tblGrid>
      <w:tr w:rsidR="005779DA" w:rsidRPr="00390BBD" w:rsidTr="008E17E0">
        <w:trPr>
          <w:trHeight w:val="316"/>
        </w:trPr>
        <w:tc>
          <w:tcPr>
            <w:tcW w:w="4786" w:type="dxa"/>
          </w:tcPr>
          <w:p w:rsidR="005779DA" w:rsidRPr="00390BBD" w:rsidRDefault="005779DA" w:rsidP="00645510">
            <w:pPr>
              <w:pStyle w:val="Header"/>
              <w:tabs>
                <w:tab w:val="clear" w:pos="4153"/>
                <w:tab w:val="clear" w:pos="8306"/>
              </w:tabs>
              <w:overflowPunct/>
              <w:autoSpaceDE/>
              <w:autoSpaceDN/>
              <w:adjustRightInd/>
              <w:textAlignment w:val="auto"/>
              <w:rPr>
                <w:rFonts w:asciiTheme="minorHAnsi" w:hAnsiTheme="minorHAnsi" w:cstheme="minorHAnsi"/>
                <w:b/>
                <w:sz w:val="22"/>
                <w:szCs w:val="22"/>
              </w:rPr>
            </w:pPr>
            <w:r w:rsidRPr="00390BBD">
              <w:rPr>
                <w:rFonts w:asciiTheme="minorHAnsi" w:hAnsiTheme="minorHAnsi" w:cstheme="minorHAnsi"/>
                <w:b/>
                <w:sz w:val="22"/>
                <w:szCs w:val="22"/>
              </w:rPr>
              <w:t>Horticultural Achievement (40%)</w:t>
            </w:r>
          </w:p>
        </w:tc>
        <w:tc>
          <w:tcPr>
            <w:tcW w:w="4524" w:type="dxa"/>
          </w:tcPr>
          <w:p w:rsidR="005779DA" w:rsidRPr="00390BBD" w:rsidRDefault="00D1396B" w:rsidP="00645510">
            <w:pPr>
              <w:pStyle w:val="Header"/>
              <w:tabs>
                <w:tab w:val="clear" w:pos="4153"/>
                <w:tab w:val="clear" w:pos="8306"/>
              </w:tabs>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Gold</w:t>
            </w:r>
          </w:p>
        </w:tc>
      </w:tr>
      <w:tr w:rsidR="005779DA" w:rsidRPr="00390BBD" w:rsidTr="008E17E0">
        <w:trPr>
          <w:trHeight w:val="298"/>
        </w:trPr>
        <w:tc>
          <w:tcPr>
            <w:tcW w:w="4786" w:type="dxa"/>
          </w:tcPr>
          <w:p w:rsidR="005779DA" w:rsidRPr="00390BBD" w:rsidRDefault="005779DA" w:rsidP="00645510">
            <w:pPr>
              <w:pStyle w:val="Header"/>
              <w:rPr>
                <w:rFonts w:asciiTheme="minorHAnsi" w:hAnsiTheme="minorHAnsi" w:cstheme="minorHAnsi"/>
                <w:b/>
                <w:sz w:val="22"/>
                <w:szCs w:val="22"/>
              </w:rPr>
            </w:pPr>
            <w:r w:rsidRPr="00390BBD">
              <w:rPr>
                <w:rFonts w:asciiTheme="minorHAnsi" w:hAnsiTheme="minorHAnsi" w:cstheme="minorHAnsi"/>
                <w:b/>
                <w:sz w:val="22"/>
                <w:szCs w:val="22"/>
              </w:rPr>
              <w:t>Environmental Responsibility (30%)</w:t>
            </w:r>
          </w:p>
        </w:tc>
        <w:tc>
          <w:tcPr>
            <w:tcW w:w="4524" w:type="dxa"/>
          </w:tcPr>
          <w:p w:rsidR="005779DA" w:rsidRPr="00390BBD" w:rsidRDefault="00D1396B" w:rsidP="00645510">
            <w:pPr>
              <w:pStyle w:val="Header"/>
              <w:tabs>
                <w:tab w:val="clear" w:pos="4153"/>
                <w:tab w:val="clear" w:pos="8306"/>
              </w:tabs>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Silver Gilt</w:t>
            </w:r>
          </w:p>
        </w:tc>
      </w:tr>
      <w:tr w:rsidR="005779DA" w:rsidRPr="00390BBD" w:rsidTr="008E17E0">
        <w:trPr>
          <w:trHeight w:val="316"/>
        </w:trPr>
        <w:tc>
          <w:tcPr>
            <w:tcW w:w="4786" w:type="dxa"/>
          </w:tcPr>
          <w:p w:rsidR="005779DA" w:rsidRPr="00390BBD" w:rsidRDefault="005779DA" w:rsidP="00645510">
            <w:pPr>
              <w:pStyle w:val="Header"/>
              <w:tabs>
                <w:tab w:val="clear" w:pos="4153"/>
                <w:tab w:val="clear" w:pos="8306"/>
              </w:tabs>
              <w:overflowPunct/>
              <w:autoSpaceDE/>
              <w:autoSpaceDN/>
              <w:adjustRightInd/>
              <w:textAlignment w:val="auto"/>
              <w:rPr>
                <w:rFonts w:asciiTheme="minorHAnsi" w:hAnsiTheme="minorHAnsi" w:cstheme="minorHAnsi"/>
                <w:b/>
                <w:sz w:val="22"/>
                <w:szCs w:val="22"/>
              </w:rPr>
            </w:pPr>
            <w:r w:rsidRPr="00390BBD">
              <w:rPr>
                <w:rFonts w:asciiTheme="minorHAnsi" w:hAnsiTheme="minorHAnsi" w:cstheme="minorHAnsi"/>
                <w:b/>
                <w:sz w:val="22"/>
                <w:szCs w:val="22"/>
              </w:rPr>
              <w:t>Community Participation (30%)</w:t>
            </w:r>
          </w:p>
        </w:tc>
        <w:tc>
          <w:tcPr>
            <w:tcW w:w="4524" w:type="dxa"/>
          </w:tcPr>
          <w:p w:rsidR="005779DA" w:rsidRPr="00390BBD" w:rsidRDefault="00D1396B" w:rsidP="00645510">
            <w:pPr>
              <w:pStyle w:val="Header"/>
              <w:tabs>
                <w:tab w:val="clear" w:pos="4153"/>
                <w:tab w:val="clear" w:pos="8306"/>
              </w:tabs>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Gold</w:t>
            </w:r>
          </w:p>
        </w:tc>
      </w:tr>
      <w:tr w:rsidR="005779DA" w:rsidRPr="00390BBD" w:rsidTr="008E17E0">
        <w:trPr>
          <w:trHeight w:val="316"/>
        </w:trPr>
        <w:tc>
          <w:tcPr>
            <w:tcW w:w="4786" w:type="dxa"/>
          </w:tcPr>
          <w:p w:rsidR="005779DA" w:rsidRPr="00390BBD" w:rsidRDefault="005779DA" w:rsidP="00645510">
            <w:pPr>
              <w:pStyle w:val="Header"/>
              <w:tabs>
                <w:tab w:val="clear" w:pos="4153"/>
                <w:tab w:val="clear" w:pos="8306"/>
              </w:tabs>
              <w:overflowPunct/>
              <w:autoSpaceDE/>
              <w:autoSpaceDN/>
              <w:adjustRightInd/>
              <w:textAlignment w:val="auto"/>
              <w:rPr>
                <w:rFonts w:asciiTheme="minorHAnsi" w:hAnsiTheme="minorHAnsi" w:cstheme="minorHAnsi"/>
                <w:b/>
                <w:sz w:val="22"/>
                <w:szCs w:val="22"/>
              </w:rPr>
            </w:pPr>
            <w:r w:rsidRPr="00390BBD">
              <w:rPr>
                <w:rFonts w:asciiTheme="minorHAnsi" w:hAnsiTheme="minorHAnsi" w:cstheme="minorHAnsi"/>
                <w:b/>
                <w:sz w:val="22"/>
                <w:szCs w:val="22"/>
              </w:rPr>
              <w:t>Overall</w:t>
            </w:r>
          </w:p>
        </w:tc>
        <w:tc>
          <w:tcPr>
            <w:tcW w:w="4524" w:type="dxa"/>
          </w:tcPr>
          <w:p w:rsidR="005779DA" w:rsidRPr="00390BBD" w:rsidRDefault="00D1396B" w:rsidP="00645510">
            <w:pPr>
              <w:pStyle w:val="Header"/>
              <w:tabs>
                <w:tab w:val="clear" w:pos="4153"/>
                <w:tab w:val="clear" w:pos="8306"/>
              </w:tabs>
              <w:overflowPunct/>
              <w:autoSpaceDE/>
              <w:autoSpaceDN/>
              <w:adjustRightInd/>
              <w:textAlignment w:val="auto"/>
              <w:rPr>
                <w:rFonts w:asciiTheme="minorHAnsi" w:hAnsiTheme="minorHAnsi" w:cstheme="minorHAnsi"/>
                <w:b/>
                <w:sz w:val="22"/>
                <w:szCs w:val="22"/>
              </w:rPr>
            </w:pPr>
            <w:r>
              <w:rPr>
                <w:rFonts w:asciiTheme="minorHAnsi" w:hAnsiTheme="minorHAnsi" w:cstheme="minorHAnsi"/>
                <w:b/>
                <w:sz w:val="22"/>
                <w:szCs w:val="22"/>
              </w:rPr>
              <w:t>Gold</w:t>
            </w:r>
          </w:p>
        </w:tc>
      </w:tr>
    </w:tbl>
    <w:p w:rsidR="005779DA" w:rsidRPr="00D1396B" w:rsidRDefault="005779DA" w:rsidP="00D1396B">
      <w:pPr>
        <w:pStyle w:val="Header"/>
        <w:tabs>
          <w:tab w:val="clear" w:pos="4153"/>
          <w:tab w:val="clear" w:pos="8306"/>
        </w:tabs>
        <w:overflowPunct/>
        <w:autoSpaceDE/>
        <w:autoSpaceDN/>
        <w:adjustRightInd/>
        <w:textAlignment w:val="auto"/>
        <w:rPr>
          <w:rFonts w:asciiTheme="minorHAnsi" w:hAnsiTheme="minorHAnsi" w:cstheme="minorHAnsi"/>
          <w:sz w:val="22"/>
          <w:szCs w:val="22"/>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9"/>
      </w:tblGrid>
      <w:tr w:rsidR="005779DA" w:rsidRPr="00D1396B" w:rsidTr="008E17E0">
        <w:tc>
          <w:tcPr>
            <w:tcW w:w="9289" w:type="dxa"/>
          </w:tcPr>
          <w:p w:rsidR="005779DA" w:rsidRPr="00D1396B" w:rsidRDefault="005779DA" w:rsidP="00D1396B">
            <w:pPr>
              <w:spacing w:after="0"/>
              <w:rPr>
                <w:rFonts w:cstheme="minorHAnsi"/>
                <w:b/>
              </w:rPr>
            </w:pPr>
            <w:r w:rsidRPr="00D1396B">
              <w:rPr>
                <w:rFonts w:cstheme="minorHAnsi"/>
                <w:b/>
              </w:rPr>
              <w:t>Introduction and Overall Impression</w:t>
            </w:r>
          </w:p>
          <w:p w:rsidR="00D1396B" w:rsidRPr="00D1396B" w:rsidRDefault="00D1396B" w:rsidP="00D1396B">
            <w:pPr>
              <w:spacing w:after="0"/>
              <w:rPr>
                <w:rFonts w:eastAsia="Calibri" w:cstheme="minorHAnsi"/>
              </w:rPr>
            </w:pPr>
            <w:r w:rsidRPr="00D1396B">
              <w:rPr>
                <w:rFonts w:eastAsia="Calibri" w:cstheme="minorHAnsi"/>
              </w:rPr>
              <w:t xml:space="preserve">Norton-in-Hales is a picturesque, small village with a long history of taking part in competitions, shown by the number of brass plaques on the ‘Best Kept Village’ sign.  </w:t>
            </w:r>
          </w:p>
          <w:p w:rsidR="00D1396B" w:rsidRPr="00D1396B" w:rsidRDefault="00D1396B" w:rsidP="00D1396B">
            <w:pPr>
              <w:spacing w:after="0"/>
              <w:rPr>
                <w:rFonts w:eastAsia="Calibri" w:cstheme="minorHAnsi"/>
              </w:rPr>
            </w:pPr>
          </w:p>
          <w:p w:rsidR="005779DA" w:rsidRPr="00D1396B" w:rsidRDefault="00D1396B" w:rsidP="00CD343E">
            <w:pPr>
              <w:spacing w:after="0"/>
              <w:rPr>
                <w:rFonts w:cstheme="minorHAnsi"/>
                <w:b/>
              </w:rPr>
            </w:pPr>
            <w:r w:rsidRPr="00D1396B">
              <w:rPr>
                <w:rFonts w:eastAsia="Calibri" w:cstheme="minorHAnsi"/>
              </w:rPr>
              <w:t xml:space="preserve">Community is at the heart of the village and this strength is evident throughout the entry.  The judges were impressed by the wide range of events taking place throughout the year and the numbers of local people taking part – encompassing every aspect of Britain in Bloom.  </w:t>
            </w:r>
          </w:p>
        </w:tc>
      </w:tr>
    </w:tbl>
    <w:p w:rsidR="005779DA" w:rsidRPr="00D1396B" w:rsidRDefault="005779DA" w:rsidP="00D1396B">
      <w:pPr>
        <w:spacing w:after="0"/>
        <w:rPr>
          <w:rFonts w:cstheme="minorHAnsi"/>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9"/>
      </w:tblGrid>
      <w:tr w:rsidR="005779DA" w:rsidRPr="00D1396B" w:rsidTr="008E17E0">
        <w:tc>
          <w:tcPr>
            <w:tcW w:w="9289" w:type="dxa"/>
            <w:shd w:val="clear" w:color="auto" w:fill="CCCCCC"/>
          </w:tcPr>
          <w:p w:rsidR="005779DA" w:rsidRPr="00D1396B" w:rsidRDefault="005779DA" w:rsidP="00D1396B">
            <w:pPr>
              <w:spacing w:after="0"/>
              <w:rPr>
                <w:rFonts w:cstheme="minorHAnsi"/>
                <w:b/>
              </w:rPr>
            </w:pPr>
            <w:r w:rsidRPr="00D1396B">
              <w:rPr>
                <w:rFonts w:cstheme="minorHAnsi"/>
                <w:b/>
              </w:rPr>
              <w:t>SECTION A – Horticulture</w:t>
            </w:r>
          </w:p>
        </w:tc>
      </w:tr>
      <w:tr w:rsidR="005779DA" w:rsidRPr="00D1396B" w:rsidTr="008E17E0">
        <w:tc>
          <w:tcPr>
            <w:tcW w:w="9289" w:type="dxa"/>
          </w:tcPr>
          <w:p w:rsidR="00D1396B" w:rsidRPr="00D1396B" w:rsidRDefault="00D1396B" w:rsidP="00D1396B">
            <w:pPr>
              <w:spacing w:after="0"/>
              <w:rPr>
                <w:rFonts w:eastAsia="Calibri" w:cstheme="minorHAnsi"/>
              </w:rPr>
            </w:pPr>
            <w:r w:rsidRPr="00D1396B">
              <w:rPr>
                <w:rFonts w:eastAsia="Calibri" w:cstheme="minorHAnsi"/>
              </w:rPr>
              <w:t xml:space="preserve">The judges were impressed that so many of the village’s floral displays are looked after by individuals, as well as those being maintained by the group itself.  There was a good mix of sustainable and seasonal planting throughout.  There were lots of well-kept and colourful front gardens in evidence on the tour – of particular note were those at Ashville and Yew Tree House, and the frontage of The Hinds Head pub.  </w:t>
            </w:r>
          </w:p>
          <w:p w:rsidR="00D1396B" w:rsidRPr="00D1396B" w:rsidRDefault="00D1396B" w:rsidP="00D1396B">
            <w:pPr>
              <w:spacing w:after="0"/>
              <w:rPr>
                <w:rFonts w:eastAsia="Calibri" w:cstheme="minorHAnsi"/>
              </w:rPr>
            </w:pPr>
          </w:p>
          <w:p w:rsidR="00D1396B" w:rsidRPr="00D1396B" w:rsidRDefault="00D1396B" w:rsidP="00D1396B">
            <w:pPr>
              <w:spacing w:after="0"/>
              <w:rPr>
                <w:rFonts w:eastAsia="Calibri" w:cstheme="minorHAnsi"/>
              </w:rPr>
            </w:pPr>
            <w:r w:rsidRPr="00D1396B">
              <w:rPr>
                <w:rFonts w:eastAsia="Calibri" w:cstheme="minorHAnsi"/>
              </w:rPr>
              <w:t>Good photographic evidence of year-round planting, including spring plantings and blossom, together with the crocuses supplied by the Rotary Club and planted by local schoolchildren.</w:t>
            </w:r>
          </w:p>
          <w:p w:rsidR="00D1396B" w:rsidRPr="00D1396B" w:rsidRDefault="00D1396B" w:rsidP="00D1396B">
            <w:pPr>
              <w:spacing w:after="0"/>
              <w:rPr>
                <w:rFonts w:eastAsia="Calibri" w:cstheme="minorHAnsi"/>
              </w:rPr>
            </w:pPr>
            <w:r w:rsidRPr="00D1396B">
              <w:rPr>
                <w:rFonts w:eastAsia="Calibri" w:cstheme="minorHAnsi"/>
              </w:rPr>
              <w:t xml:space="preserve"> </w:t>
            </w:r>
          </w:p>
          <w:p w:rsidR="00D1396B" w:rsidRPr="00D1396B" w:rsidRDefault="00D1396B" w:rsidP="00D1396B">
            <w:pPr>
              <w:spacing w:after="0"/>
              <w:rPr>
                <w:rFonts w:eastAsia="Calibri" w:cstheme="minorHAnsi"/>
              </w:rPr>
            </w:pPr>
            <w:r w:rsidRPr="00D1396B">
              <w:rPr>
                <w:rFonts w:eastAsia="Calibri" w:cstheme="minorHAnsi"/>
              </w:rPr>
              <w:t xml:space="preserve">The cherry tree in the Jeff Hartley bed was showing some signs of distress, as was the large cherry tree beside the </w:t>
            </w:r>
            <w:proofErr w:type="spellStart"/>
            <w:r w:rsidRPr="00D1396B">
              <w:rPr>
                <w:rFonts w:eastAsia="Calibri" w:cstheme="minorHAnsi"/>
              </w:rPr>
              <w:t>Brassington</w:t>
            </w:r>
            <w:proofErr w:type="spellEnd"/>
            <w:r w:rsidRPr="00D1396B">
              <w:rPr>
                <w:rFonts w:eastAsia="Calibri" w:cstheme="minorHAnsi"/>
              </w:rPr>
              <w:t xml:space="preserve"> bed on the main road, which contained a lot of dead wood.  </w:t>
            </w:r>
          </w:p>
          <w:p w:rsidR="00D1396B" w:rsidRPr="00D1396B" w:rsidRDefault="00D1396B" w:rsidP="00D1396B">
            <w:pPr>
              <w:spacing w:after="0"/>
              <w:rPr>
                <w:rFonts w:eastAsia="Calibri" w:cstheme="minorHAnsi"/>
              </w:rPr>
            </w:pPr>
          </w:p>
          <w:p w:rsidR="00D1396B" w:rsidRDefault="00D1396B" w:rsidP="00D1396B">
            <w:pPr>
              <w:spacing w:after="0"/>
              <w:rPr>
                <w:rFonts w:eastAsia="Calibri" w:cstheme="minorHAnsi"/>
              </w:rPr>
            </w:pPr>
            <w:r w:rsidRPr="00D1396B">
              <w:rPr>
                <w:rFonts w:eastAsia="Calibri" w:cstheme="minorHAnsi"/>
              </w:rPr>
              <w:t>The edges of the Norton Forge bed in the churchyard could have been more densely planted, but the piece of iron in the centre of the bed had been covered by foliage – the judges suggest that perhaps you could rethink the planting design to further highlight the historical connection and add some signage.</w:t>
            </w:r>
          </w:p>
          <w:p w:rsidR="0084568D" w:rsidRPr="00D1396B" w:rsidRDefault="0084568D" w:rsidP="00D1396B">
            <w:pPr>
              <w:spacing w:after="0"/>
              <w:rPr>
                <w:rFonts w:eastAsia="Calibri" w:cstheme="minorHAnsi"/>
              </w:rPr>
            </w:pPr>
          </w:p>
          <w:p w:rsidR="00D1396B" w:rsidRDefault="00D1396B" w:rsidP="00D1396B">
            <w:pPr>
              <w:spacing w:after="0"/>
              <w:rPr>
                <w:rFonts w:eastAsia="Calibri" w:cstheme="minorHAnsi"/>
              </w:rPr>
            </w:pPr>
            <w:r w:rsidRPr="00D1396B">
              <w:rPr>
                <w:rFonts w:eastAsia="Calibri" w:cstheme="minorHAnsi"/>
              </w:rPr>
              <w:lastRenderedPageBreak/>
              <w:t xml:space="preserve">Additional street furniture in many of the flowerbeds is a little unfortunate, i.e. signposts, hydrant signs, and the grit box in the flowerbed next to the plough, as your eye is drawn to the street furniture and not to the plants.   </w:t>
            </w:r>
          </w:p>
          <w:p w:rsidR="0084568D" w:rsidRPr="00D1396B" w:rsidRDefault="0084568D" w:rsidP="00D1396B">
            <w:pPr>
              <w:spacing w:after="0"/>
              <w:rPr>
                <w:rFonts w:eastAsia="Calibri" w:cstheme="minorHAnsi"/>
              </w:rPr>
            </w:pPr>
          </w:p>
          <w:p w:rsidR="005779DA" w:rsidRPr="00D1396B" w:rsidRDefault="00D1396B" w:rsidP="00D1396B">
            <w:pPr>
              <w:spacing w:after="0"/>
              <w:rPr>
                <w:rFonts w:cstheme="minorHAnsi"/>
                <w:b/>
              </w:rPr>
            </w:pPr>
            <w:r w:rsidRPr="00D1396B">
              <w:rPr>
                <w:rFonts w:eastAsia="Calibri" w:cstheme="minorHAnsi"/>
              </w:rPr>
              <w:t>The lawns and flowerbeds at the school were well maintained and mulched, as were the borders at the cricket pavilion.</w:t>
            </w:r>
          </w:p>
        </w:tc>
      </w:tr>
    </w:tbl>
    <w:p w:rsidR="005779DA" w:rsidRPr="00D1396B" w:rsidRDefault="005779DA" w:rsidP="00D1396B">
      <w:pPr>
        <w:spacing w:after="0"/>
        <w:rPr>
          <w:rFonts w:cstheme="minorHAnsi"/>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9"/>
      </w:tblGrid>
      <w:tr w:rsidR="005779DA" w:rsidRPr="00D1396B" w:rsidTr="008E17E0">
        <w:tc>
          <w:tcPr>
            <w:tcW w:w="9289" w:type="dxa"/>
            <w:shd w:val="clear" w:color="auto" w:fill="CCCCCC"/>
          </w:tcPr>
          <w:p w:rsidR="005779DA" w:rsidRPr="00D1396B" w:rsidRDefault="005779DA" w:rsidP="00D1396B">
            <w:pPr>
              <w:spacing w:after="0"/>
              <w:rPr>
                <w:rFonts w:cstheme="minorHAnsi"/>
                <w:b/>
              </w:rPr>
            </w:pPr>
            <w:r w:rsidRPr="00D1396B">
              <w:rPr>
                <w:rFonts w:cstheme="minorHAnsi"/>
                <w:b/>
              </w:rPr>
              <w:t>SECTION B – Environment</w:t>
            </w:r>
          </w:p>
        </w:tc>
      </w:tr>
      <w:tr w:rsidR="005779DA" w:rsidRPr="00D1396B" w:rsidTr="008E17E0">
        <w:tc>
          <w:tcPr>
            <w:tcW w:w="9289" w:type="dxa"/>
          </w:tcPr>
          <w:p w:rsidR="00D1396B" w:rsidRPr="00D1396B" w:rsidRDefault="00D1396B" w:rsidP="00D1396B">
            <w:pPr>
              <w:spacing w:after="0"/>
              <w:rPr>
                <w:rFonts w:eastAsia="Calibri" w:cstheme="minorHAnsi"/>
              </w:rPr>
            </w:pPr>
            <w:r w:rsidRPr="00D1396B">
              <w:rPr>
                <w:rFonts w:eastAsia="Calibri" w:cstheme="minorHAnsi"/>
              </w:rPr>
              <w:t xml:space="preserve">Admirable efforts have been made by the Bloom group to repair and reinstate the steppingstones in the river at Parton’s Pool.  This spring-fed pool was suffering from an excess of blanket weed and algae at the time of the judges’ visit.  The area is managed by the group for wildlife and includes beehives, but it is recommended by the judges that further guidance is sought on conservation management to improve water quality and increase the biodiversity of the area.  </w:t>
            </w:r>
          </w:p>
          <w:p w:rsidR="00D1396B" w:rsidRPr="00D1396B" w:rsidRDefault="00D1396B" w:rsidP="00D1396B">
            <w:pPr>
              <w:spacing w:after="0"/>
              <w:rPr>
                <w:rFonts w:eastAsia="Calibri" w:cstheme="minorHAnsi"/>
              </w:rPr>
            </w:pPr>
          </w:p>
          <w:p w:rsidR="00D1396B" w:rsidRPr="00D1396B" w:rsidRDefault="00D1396B" w:rsidP="00D1396B">
            <w:pPr>
              <w:spacing w:after="0"/>
              <w:rPr>
                <w:rFonts w:eastAsia="Calibri" w:cstheme="minorHAnsi"/>
              </w:rPr>
            </w:pPr>
            <w:r w:rsidRPr="00D1396B">
              <w:rPr>
                <w:rFonts w:eastAsia="Calibri" w:cstheme="minorHAnsi"/>
              </w:rPr>
              <w:t xml:space="preserve">Bird, owl and bat boxes were in evidence throughout the village.  The introduction of a bat walk followed by a barbecue had proved popular with the community. The judges suggest that perhaps the results of surveying the success and inhabitants of the </w:t>
            </w:r>
            <w:proofErr w:type="spellStart"/>
            <w:r w:rsidRPr="00D1396B">
              <w:rPr>
                <w:rFonts w:eastAsia="Calibri" w:cstheme="minorHAnsi"/>
              </w:rPr>
              <w:t>birdboxes</w:t>
            </w:r>
            <w:proofErr w:type="spellEnd"/>
            <w:r w:rsidRPr="00D1396B">
              <w:rPr>
                <w:rFonts w:eastAsia="Calibri" w:cstheme="minorHAnsi"/>
              </w:rPr>
              <w:t xml:space="preserve">, and which bats are present in the village could be the subject of a future entry in </w:t>
            </w:r>
            <w:r w:rsidRPr="00D1396B">
              <w:rPr>
                <w:rFonts w:eastAsia="Calibri" w:cstheme="minorHAnsi"/>
                <w:i/>
              </w:rPr>
              <w:t xml:space="preserve">The </w:t>
            </w:r>
            <w:proofErr w:type="spellStart"/>
            <w:r w:rsidRPr="00D1396B">
              <w:rPr>
                <w:rFonts w:eastAsia="Calibri" w:cstheme="minorHAnsi"/>
                <w:i/>
              </w:rPr>
              <w:t>Bradling</w:t>
            </w:r>
            <w:proofErr w:type="spellEnd"/>
            <w:r w:rsidRPr="00D1396B">
              <w:rPr>
                <w:rFonts w:eastAsia="Calibri" w:cstheme="minorHAnsi"/>
                <w:i/>
              </w:rPr>
              <w:t xml:space="preserve"> Stone</w:t>
            </w:r>
            <w:r w:rsidRPr="00D1396B">
              <w:rPr>
                <w:rFonts w:eastAsia="Calibri" w:cstheme="minorHAnsi"/>
              </w:rPr>
              <w:t>.</w:t>
            </w:r>
          </w:p>
          <w:p w:rsidR="00D1396B" w:rsidRPr="00D1396B" w:rsidRDefault="00D1396B" w:rsidP="00D1396B">
            <w:pPr>
              <w:spacing w:after="0"/>
              <w:rPr>
                <w:rFonts w:eastAsia="Calibri" w:cstheme="minorHAnsi"/>
              </w:rPr>
            </w:pPr>
          </w:p>
          <w:p w:rsidR="00D1396B" w:rsidRPr="00D1396B" w:rsidRDefault="00D1396B" w:rsidP="00D1396B">
            <w:pPr>
              <w:spacing w:after="0"/>
              <w:rPr>
                <w:rFonts w:eastAsia="Calibri" w:cstheme="minorHAnsi"/>
              </w:rPr>
            </w:pPr>
            <w:r w:rsidRPr="00D1396B">
              <w:rPr>
                <w:rFonts w:eastAsia="Calibri" w:cstheme="minorHAnsi"/>
              </w:rPr>
              <w:t xml:space="preserve">The judges suggest that you could try to find a location where you can celebrate the rich and fascinating history and heritage of the village and share it with local people and visitors alike – perhaps at the bus shelter if there is sufficient room?  </w:t>
            </w:r>
          </w:p>
          <w:p w:rsidR="00D1396B" w:rsidRPr="00D1396B" w:rsidRDefault="00D1396B" w:rsidP="00D1396B">
            <w:pPr>
              <w:spacing w:after="0"/>
              <w:rPr>
                <w:rFonts w:eastAsia="Calibri" w:cstheme="minorHAnsi"/>
              </w:rPr>
            </w:pPr>
          </w:p>
          <w:p w:rsidR="00D1396B" w:rsidRPr="00D1396B" w:rsidRDefault="00D1396B" w:rsidP="00D1396B">
            <w:pPr>
              <w:spacing w:after="0"/>
              <w:rPr>
                <w:rFonts w:eastAsia="Calibri" w:cstheme="minorHAnsi"/>
              </w:rPr>
            </w:pPr>
            <w:r w:rsidRPr="00D1396B">
              <w:rPr>
                <w:rFonts w:eastAsia="Calibri" w:cstheme="minorHAnsi"/>
              </w:rPr>
              <w:t xml:space="preserve">The redundant telephone box turned information point is a novel idea but perhaps the location is not ideal.   </w:t>
            </w:r>
          </w:p>
          <w:p w:rsidR="00D1396B" w:rsidRPr="00D1396B" w:rsidRDefault="00D1396B" w:rsidP="00D1396B">
            <w:pPr>
              <w:spacing w:after="0"/>
              <w:rPr>
                <w:rFonts w:eastAsia="Calibri" w:cstheme="minorHAnsi"/>
              </w:rPr>
            </w:pPr>
          </w:p>
          <w:p w:rsidR="00D1396B" w:rsidRPr="00D1396B" w:rsidRDefault="00D1396B" w:rsidP="00D1396B">
            <w:pPr>
              <w:spacing w:after="0"/>
              <w:rPr>
                <w:rFonts w:eastAsia="Calibri" w:cstheme="minorHAnsi"/>
              </w:rPr>
            </w:pPr>
            <w:r w:rsidRPr="00D1396B">
              <w:rPr>
                <w:rFonts w:eastAsia="Calibri" w:cstheme="minorHAnsi"/>
              </w:rPr>
              <w:t>There is sufficient space at the cricket pavilion to increase the number of water butts for further rainwater capture, similar to the successful project carried out at The Hinds Head pub.  Also perhaps investigate investing in hanging baskets that have reservoirs to reduce the use of water.</w:t>
            </w:r>
          </w:p>
          <w:p w:rsidR="00D1396B" w:rsidRPr="00D1396B" w:rsidRDefault="00D1396B" w:rsidP="00D1396B">
            <w:pPr>
              <w:spacing w:after="0"/>
              <w:rPr>
                <w:rFonts w:eastAsia="Calibri" w:cstheme="minorHAnsi"/>
              </w:rPr>
            </w:pPr>
          </w:p>
          <w:p w:rsidR="00D1396B" w:rsidRPr="00D1396B" w:rsidRDefault="00D1396B" w:rsidP="00D1396B">
            <w:pPr>
              <w:spacing w:after="0"/>
              <w:rPr>
                <w:rFonts w:eastAsia="Calibri" w:cstheme="minorHAnsi"/>
              </w:rPr>
            </w:pPr>
            <w:r w:rsidRPr="00D1396B">
              <w:rPr>
                <w:rFonts w:eastAsia="Calibri" w:cstheme="minorHAnsi"/>
              </w:rPr>
              <w:t xml:space="preserve">Inconsistency in cutting of hedges – those at the cricket club had been left but the church hedges had been cut.  It is advisable to leave the cutting of hedges until all birds have fledged (Wildlife and Countryside Act 1981), although it is noted that people were asked by Norton </w:t>
            </w:r>
            <w:r w:rsidR="0084568D">
              <w:rPr>
                <w:rFonts w:eastAsia="Calibri" w:cstheme="minorHAnsi"/>
              </w:rPr>
              <w:t>i</w:t>
            </w:r>
            <w:r w:rsidRPr="00D1396B">
              <w:rPr>
                <w:rFonts w:eastAsia="Calibri" w:cstheme="minorHAnsi"/>
              </w:rPr>
              <w:t xml:space="preserve">n Bloom to cut their hedges for the Britain in Bloom judging.  It would have been better to have left the hedges and tell the judges why you have done so.  </w:t>
            </w:r>
          </w:p>
          <w:p w:rsidR="00D1396B" w:rsidRPr="00D1396B" w:rsidRDefault="00D1396B" w:rsidP="00D1396B">
            <w:pPr>
              <w:spacing w:after="0"/>
              <w:rPr>
                <w:rFonts w:eastAsia="Calibri" w:cstheme="minorHAnsi"/>
              </w:rPr>
            </w:pPr>
          </w:p>
          <w:p w:rsidR="00D1396B" w:rsidRPr="00D1396B" w:rsidRDefault="00D1396B" w:rsidP="00D1396B">
            <w:pPr>
              <w:spacing w:after="0"/>
              <w:rPr>
                <w:rFonts w:eastAsia="Calibri" w:cstheme="minorHAnsi"/>
              </w:rPr>
            </w:pPr>
            <w:r w:rsidRPr="00D1396B">
              <w:rPr>
                <w:rFonts w:eastAsia="Calibri" w:cstheme="minorHAnsi"/>
              </w:rPr>
              <w:t>Church grounds – there were lots of partially hidden graves underfoot that if uncovered could enhance the history and heritage of the churchyard and village</w:t>
            </w:r>
            <w:r w:rsidR="0084568D">
              <w:rPr>
                <w:rFonts w:eastAsia="Calibri" w:cstheme="minorHAnsi"/>
              </w:rPr>
              <w:t xml:space="preserve">. </w:t>
            </w:r>
          </w:p>
          <w:p w:rsidR="00D1396B" w:rsidRPr="00D1396B" w:rsidRDefault="00D1396B" w:rsidP="00D1396B">
            <w:pPr>
              <w:spacing w:after="0"/>
              <w:rPr>
                <w:rFonts w:eastAsia="Calibri" w:cstheme="minorHAnsi"/>
              </w:rPr>
            </w:pPr>
          </w:p>
          <w:p w:rsidR="00D1396B" w:rsidRPr="00D1396B" w:rsidRDefault="00D1396B" w:rsidP="00D1396B">
            <w:pPr>
              <w:spacing w:after="0"/>
              <w:rPr>
                <w:rFonts w:eastAsia="Calibri" w:cstheme="minorHAnsi"/>
                <w:b/>
                <w:i/>
              </w:rPr>
            </w:pPr>
            <w:r w:rsidRPr="00D1396B">
              <w:rPr>
                <w:rFonts w:eastAsia="Calibri" w:cstheme="minorHAnsi"/>
              </w:rPr>
              <w:t xml:space="preserve">The village was very clean, with no evidence of litter, graffiti or dog fouling.  Rubbish, recycling and green waste are collected by the council on a two- week cycle.  </w:t>
            </w:r>
          </w:p>
          <w:p w:rsidR="005779DA" w:rsidRPr="00D1396B" w:rsidRDefault="005779DA" w:rsidP="00D1396B">
            <w:pPr>
              <w:spacing w:after="0"/>
              <w:rPr>
                <w:rFonts w:cstheme="minorHAnsi"/>
              </w:rPr>
            </w:pPr>
          </w:p>
        </w:tc>
      </w:tr>
    </w:tbl>
    <w:p w:rsidR="005779DA" w:rsidRPr="00D1396B" w:rsidRDefault="005779DA" w:rsidP="00D1396B">
      <w:pPr>
        <w:spacing w:after="0"/>
        <w:rPr>
          <w:rFonts w:cstheme="minorHAnsi"/>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9"/>
      </w:tblGrid>
      <w:tr w:rsidR="005779DA" w:rsidRPr="00D1396B" w:rsidTr="008E17E0">
        <w:tc>
          <w:tcPr>
            <w:tcW w:w="9289" w:type="dxa"/>
            <w:shd w:val="clear" w:color="auto" w:fill="CCCCCC"/>
          </w:tcPr>
          <w:p w:rsidR="005779DA" w:rsidRPr="00D1396B" w:rsidRDefault="005779DA" w:rsidP="00D1396B">
            <w:pPr>
              <w:spacing w:after="0"/>
              <w:rPr>
                <w:rFonts w:cstheme="minorHAnsi"/>
                <w:b/>
              </w:rPr>
            </w:pPr>
            <w:r w:rsidRPr="00D1396B">
              <w:rPr>
                <w:rFonts w:cstheme="minorHAnsi"/>
              </w:rPr>
              <w:br w:type="page"/>
            </w:r>
            <w:r w:rsidRPr="00D1396B">
              <w:rPr>
                <w:rFonts w:cstheme="minorHAnsi"/>
                <w:b/>
                <w:lang w:val="en-US"/>
              </w:rPr>
              <w:t xml:space="preserve">SECTION C – </w:t>
            </w:r>
            <w:r w:rsidRPr="00D1396B">
              <w:rPr>
                <w:rFonts w:cstheme="minorHAnsi"/>
                <w:b/>
              </w:rPr>
              <w:t xml:space="preserve">Community </w:t>
            </w:r>
          </w:p>
        </w:tc>
      </w:tr>
      <w:tr w:rsidR="005779DA" w:rsidRPr="00D1396B" w:rsidTr="008E17E0">
        <w:tc>
          <w:tcPr>
            <w:tcW w:w="9289" w:type="dxa"/>
          </w:tcPr>
          <w:p w:rsidR="00D1396B" w:rsidRPr="00D1396B" w:rsidRDefault="00D1396B" w:rsidP="00D1396B">
            <w:pPr>
              <w:spacing w:after="0"/>
              <w:rPr>
                <w:rFonts w:eastAsia="Calibri" w:cstheme="minorHAnsi"/>
              </w:rPr>
            </w:pPr>
            <w:r w:rsidRPr="00D1396B">
              <w:rPr>
                <w:rFonts w:eastAsia="Calibri" w:cstheme="minorHAnsi"/>
              </w:rPr>
              <w:t xml:space="preserve">It is abundantly clear that the community works together to improve their local environment with everyone doing their “bit” for Norton in Hales, and it works very well.  </w:t>
            </w:r>
          </w:p>
          <w:p w:rsidR="00D1396B" w:rsidRPr="00D1396B" w:rsidRDefault="00D1396B" w:rsidP="00D1396B">
            <w:pPr>
              <w:spacing w:after="0"/>
              <w:rPr>
                <w:rFonts w:eastAsia="Calibri" w:cstheme="minorHAnsi"/>
              </w:rPr>
            </w:pPr>
          </w:p>
          <w:p w:rsidR="00D1396B" w:rsidRPr="00D1396B" w:rsidRDefault="00D1396B" w:rsidP="00D1396B">
            <w:pPr>
              <w:spacing w:after="0"/>
              <w:rPr>
                <w:rFonts w:eastAsia="Calibri" w:cstheme="minorHAnsi"/>
              </w:rPr>
            </w:pPr>
            <w:r w:rsidRPr="00D1396B">
              <w:rPr>
                <w:rFonts w:eastAsia="Calibri" w:cstheme="minorHAnsi"/>
              </w:rPr>
              <w:lastRenderedPageBreak/>
              <w:t xml:space="preserve">There was good evidence of a wide range of year round activities and fundraising, e.g. Christmas Fair, Easter Egg Hunt – a new initiative to get children involved (sponsored by </w:t>
            </w:r>
            <w:proofErr w:type="spellStart"/>
            <w:r w:rsidRPr="00D1396B">
              <w:rPr>
                <w:rFonts w:eastAsia="Calibri" w:cstheme="minorHAnsi"/>
              </w:rPr>
              <w:t>Morrisons</w:t>
            </w:r>
            <w:proofErr w:type="spellEnd"/>
            <w:r w:rsidRPr="00D1396B">
              <w:rPr>
                <w:rFonts w:eastAsia="Calibri" w:cstheme="minorHAnsi"/>
              </w:rPr>
              <w:t>) duck race, plant sale, village festival, plus sales of greetings cards and Christmas cards.</w:t>
            </w:r>
          </w:p>
          <w:p w:rsidR="00D1396B" w:rsidRPr="00D1396B" w:rsidRDefault="00D1396B" w:rsidP="00D1396B">
            <w:pPr>
              <w:spacing w:after="0"/>
              <w:rPr>
                <w:rFonts w:eastAsia="Calibri" w:cstheme="minorHAnsi"/>
              </w:rPr>
            </w:pPr>
            <w:r w:rsidRPr="00D1396B">
              <w:rPr>
                <w:rFonts w:eastAsia="Calibri" w:cstheme="minorHAnsi"/>
              </w:rPr>
              <w:t xml:space="preserve">  </w:t>
            </w:r>
          </w:p>
          <w:p w:rsidR="00D1396B" w:rsidRPr="00D1396B" w:rsidRDefault="00D1396B" w:rsidP="00D1396B">
            <w:pPr>
              <w:spacing w:after="0"/>
              <w:rPr>
                <w:rFonts w:eastAsia="Calibri" w:cstheme="minorHAnsi"/>
              </w:rPr>
            </w:pPr>
            <w:r w:rsidRPr="00D1396B">
              <w:rPr>
                <w:rFonts w:eastAsia="Calibri" w:cstheme="minorHAnsi"/>
              </w:rPr>
              <w:t>Regular work parties are held every Monday, with other projects taking place on an ad-hoc basis</w:t>
            </w:r>
            <w:r w:rsidR="00CD343E">
              <w:rPr>
                <w:rFonts w:eastAsia="Calibri" w:cstheme="minorHAnsi"/>
              </w:rPr>
              <w:t xml:space="preserve">, i.e. those at Parton’s Pool. </w:t>
            </w:r>
            <w:r w:rsidRPr="00D1396B">
              <w:rPr>
                <w:rFonts w:eastAsia="Calibri" w:cstheme="minorHAnsi"/>
              </w:rPr>
              <w:t xml:space="preserve">Committee and planning meetings are held monthly. </w:t>
            </w:r>
          </w:p>
          <w:p w:rsidR="00D1396B" w:rsidRPr="00D1396B" w:rsidRDefault="00D1396B" w:rsidP="00D1396B">
            <w:pPr>
              <w:spacing w:after="0"/>
              <w:rPr>
                <w:rFonts w:eastAsia="Calibri" w:cstheme="minorHAnsi"/>
              </w:rPr>
            </w:pPr>
            <w:r w:rsidRPr="00D1396B">
              <w:rPr>
                <w:rFonts w:eastAsia="Calibri" w:cstheme="minorHAnsi"/>
              </w:rPr>
              <w:t xml:space="preserve">   </w:t>
            </w:r>
          </w:p>
          <w:p w:rsidR="00D1396B" w:rsidRPr="00D1396B" w:rsidRDefault="0084568D" w:rsidP="00D1396B">
            <w:pPr>
              <w:spacing w:after="0"/>
              <w:rPr>
                <w:rFonts w:eastAsia="Calibri" w:cstheme="minorHAnsi"/>
              </w:rPr>
            </w:pPr>
            <w:r>
              <w:rPr>
                <w:rFonts w:eastAsia="Calibri" w:cstheme="minorHAnsi"/>
              </w:rPr>
              <w:t>The B</w:t>
            </w:r>
            <w:r w:rsidR="00D1396B" w:rsidRPr="00D1396B">
              <w:rPr>
                <w:rFonts w:eastAsia="Calibri" w:cstheme="minorHAnsi"/>
              </w:rPr>
              <w:t>loom group has re-introduced a Village Produce Show, and also holds a Front Garden and Best Front Door Step competition.</w:t>
            </w:r>
          </w:p>
          <w:p w:rsidR="00D1396B" w:rsidRPr="00D1396B" w:rsidRDefault="00D1396B" w:rsidP="00D1396B">
            <w:pPr>
              <w:spacing w:after="0"/>
              <w:rPr>
                <w:rFonts w:eastAsia="Calibri" w:cstheme="minorHAnsi"/>
              </w:rPr>
            </w:pPr>
          </w:p>
          <w:p w:rsidR="00D1396B" w:rsidRPr="00D1396B" w:rsidRDefault="00D1396B" w:rsidP="00D1396B">
            <w:pPr>
              <w:spacing w:after="0"/>
              <w:rPr>
                <w:rFonts w:eastAsia="Calibri" w:cstheme="minorHAnsi"/>
              </w:rPr>
            </w:pPr>
            <w:r w:rsidRPr="00D1396B">
              <w:rPr>
                <w:rFonts w:eastAsia="Calibri" w:cstheme="minorHAnsi"/>
              </w:rPr>
              <w:t xml:space="preserve">The group has a regular section in the new monthly village magazine </w:t>
            </w:r>
            <w:r w:rsidRPr="00D1396B">
              <w:rPr>
                <w:rFonts w:eastAsia="Calibri" w:cstheme="minorHAnsi"/>
                <w:i/>
              </w:rPr>
              <w:t xml:space="preserve">The </w:t>
            </w:r>
            <w:proofErr w:type="spellStart"/>
            <w:r w:rsidRPr="00D1396B">
              <w:rPr>
                <w:rFonts w:eastAsia="Calibri" w:cstheme="minorHAnsi"/>
                <w:i/>
              </w:rPr>
              <w:t>Bradling</w:t>
            </w:r>
            <w:proofErr w:type="spellEnd"/>
            <w:r w:rsidRPr="00D1396B">
              <w:rPr>
                <w:rFonts w:eastAsia="Calibri" w:cstheme="minorHAnsi"/>
                <w:i/>
              </w:rPr>
              <w:t xml:space="preserve"> Stone </w:t>
            </w:r>
            <w:r w:rsidRPr="00D1396B">
              <w:rPr>
                <w:rFonts w:eastAsia="Calibri" w:cstheme="minorHAnsi"/>
              </w:rPr>
              <w:t>and posts on the Norton-in-Hales Facebook page.</w:t>
            </w:r>
          </w:p>
          <w:p w:rsidR="00D1396B" w:rsidRPr="00D1396B" w:rsidRDefault="00D1396B" w:rsidP="00D1396B">
            <w:pPr>
              <w:spacing w:after="0"/>
              <w:rPr>
                <w:rFonts w:eastAsia="Calibri" w:cstheme="minorHAnsi"/>
              </w:rPr>
            </w:pPr>
          </w:p>
          <w:p w:rsidR="005779DA" w:rsidRPr="00D1396B" w:rsidRDefault="00D1396B" w:rsidP="00D1396B">
            <w:pPr>
              <w:spacing w:after="0"/>
              <w:rPr>
                <w:rFonts w:eastAsia="Calibri" w:cstheme="minorHAnsi"/>
              </w:rPr>
            </w:pPr>
            <w:r w:rsidRPr="00D1396B">
              <w:rPr>
                <w:rFonts w:eastAsia="Calibri" w:cstheme="minorHAnsi"/>
              </w:rPr>
              <w:t xml:space="preserve">In addition to £800-£1,000 in funding, the Parish Council also funds the annual celebration evening.  There is also sponsorship by local business and donations in-kind.  </w:t>
            </w:r>
          </w:p>
        </w:tc>
      </w:tr>
    </w:tbl>
    <w:p w:rsidR="005779DA" w:rsidRPr="00390BBD" w:rsidRDefault="005779DA" w:rsidP="00645510">
      <w:pPr>
        <w:spacing w:after="0"/>
        <w:rPr>
          <w:rFonts w:cstheme="minorHAnsi"/>
        </w:rPr>
      </w:pPr>
    </w:p>
    <w:p w:rsidR="005779DA" w:rsidRPr="00390BBD" w:rsidRDefault="005779DA" w:rsidP="00645510">
      <w:pPr>
        <w:spacing w:after="0"/>
        <w:rPr>
          <w:rFonts w:cstheme="minorHAnsi"/>
        </w:rPr>
      </w:pPr>
    </w:p>
    <w:sectPr w:rsidR="005779DA" w:rsidRPr="00390BB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2E8" w:rsidRDefault="00F932E8" w:rsidP="005779DA">
      <w:pPr>
        <w:spacing w:after="0" w:line="240" w:lineRule="auto"/>
      </w:pPr>
      <w:r>
        <w:separator/>
      </w:r>
    </w:p>
  </w:endnote>
  <w:endnote w:type="continuationSeparator" w:id="0">
    <w:p w:rsidR="00F932E8" w:rsidRDefault="00F932E8" w:rsidP="00577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9DA" w:rsidRPr="005779DA" w:rsidRDefault="005779DA" w:rsidP="005779DA">
    <w:pPr>
      <w:jc w:val="right"/>
      <w:rPr>
        <w:rFonts w:cs="Arial"/>
        <w:b/>
      </w:rPr>
    </w:pPr>
    <w:r w:rsidRPr="00137146">
      <w:rPr>
        <w:rFonts w:cs="Arial"/>
        <w:b/>
      </w:rPr>
      <w:t>RHS Britain in Bloom</w:t>
    </w:r>
    <w:r>
      <w:rPr>
        <w:rFonts w:cs="Arial"/>
        <w:b/>
      </w:rPr>
      <w:t xml:space="preserve"> - </w:t>
    </w:r>
    <w:r w:rsidRPr="00137146">
      <w:rPr>
        <w:rFonts w:cs="Arial"/>
        <w:b/>
      </w:rPr>
      <w:t>UK Finals Marking Sheet 201</w:t>
    </w:r>
    <w:r>
      <w:rPr>
        <w:rFonts w:cs="Arial"/>
        <w:b/>
      </w:rPr>
      <w:t>9</w:t>
    </w:r>
  </w:p>
  <w:p w:rsidR="005779DA" w:rsidRDefault="00577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2E8" w:rsidRDefault="00F932E8" w:rsidP="005779DA">
      <w:pPr>
        <w:spacing w:after="0" w:line="240" w:lineRule="auto"/>
      </w:pPr>
      <w:r>
        <w:separator/>
      </w:r>
    </w:p>
  </w:footnote>
  <w:footnote w:type="continuationSeparator" w:id="0">
    <w:p w:rsidR="00F932E8" w:rsidRDefault="00F932E8" w:rsidP="005779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DA"/>
    <w:rsid w:val="001B4E86"/>
    <w:rsid w:val="001E4D27"/>
    <w:rsid w:val="00327054"/>
    <w:rsid w:val="00390BBD"/>
    <w:rsid w:val="005779DA"/>
    <w:rsid w:val="00645510"/>
    <w:rsid w:val="006913C9"/>
    <w:rsid w:val="007E6EAD"/>
    <w:rsid w:val="00812A0C"/>
    <w:rsid w:val="0084568D"/>
    <w:rsid w:val="008D3C11"/>
    <w:rsid w:val="008D6D1D"/>
    <w:rsid w:val="00AA6BC6"/>
    <w:rsid w:val="00CD343E"/>
    <w:rsid w:val="00D1396B"/>
    <w:rsid w:val="00D70FCC"/>
    <w:rsid w:val="00ED78CB"/>
    <w:rsid w:val="00F932E8"/>
    <w:rsid w:val="00FC04B7"/>
    <w:rsid w:val="00FE3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483EC-38E8-47D2-ABB0-34110F96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79DA"/>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5779DA"/>
    <w:rPr>
      <w:rFonts w:ascii="Times New Roman" w:eastAsia="Times New Roman" w:hAnsi="Times New Roman" w:cs="Times New Roman"/>
      <w:sz w:val="20"/>
      <w:szCs w:val="20"/>
    </w:rPr>
  </w:style>
  <w:style w:type="table" w:styleId="TableGrid">
    <w:name w:val="Table Grid"/>
    <w:basedOn w:val="TableNormal"/>
    <w:rsid w:val="005779D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7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Royal Horticultural Society</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Hodge</dc:creator>
  <cp:keywords/>
  <dc:description/>
  <cp:lastModifiedBy>Yorke, Amy</cp:lastModifiedBy>
  <cp:revision>2</cp:revision>
  <dcterms:created xsi:type="dcterms:W3CDTF">2019-11-26T09:31:00Z</dcterms:created>
  <dcterms:modified xsi:type="dcterms:W3CDTF">2019-11-26T09:31:00Z</dcterms:modified>
</cp:coreProperties>
</file>