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bookmarkStart w:id="0" w:name="_GoBack"/>
            <w:bookmarkEnd w:id="0"/>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proofErr w:type="spellStart"/>
            <w:r>
              <w:t>Distr</w:t>
            </w:r>
            <w:proofErr w:type="spellEnd"/>
            <w:r>
              <w:t>.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p>
        </w:tc>
      </w:tr>
    </w:tbl>
    <w:p w14:paraId="05DD0F92" w14:textId="77777777" w:rsidR="00EE6D7E" w:rsidRPr="009B7423" w:rsidRDefault="00EE6D7E" w:rsidP="009B7423">
      <w:pPr>
        <w:rPr>
          <w:b/>
          <w:sz w:val="24"/>
          <w:szCs w:val="24"/>
          <w:lang w:val="en-GB"/>
        </w:rPr>
      </w:pPr>
      <w:proofErr w:type="spellStart"/>
      <w:r w:rsidRPr="009B7423">
        <w:rPr>
          <w:b/>
          <w:sz w:val="24"/>
          <w:szCs w:val="24"/>
          <w:lang w:val="en-GB"/>
        </w:rPr>
        <w:t>Consejo</w:t>
      </w:r>
      <w:proofErr w:type="spellEnd"/>
      <w:r w:rsidRPr="009B7423">
        <w:rPr>
          <w:b/>
          <w:sz w:val="24"/>
          <w:szCs w:val="24"/>
          <w:lang w:val="en-GB"/>
        </w:rPr>
        <w:t xml:space="preserve"> de </w:t>
      </w:r>
      <w:proofErr w:type="spellStart"/>
      <w:r w:rsidRPr="009B7423">
        <w:rPr>
          <w:b/>
          <w:sz w:val="24"/>
          <w:szCs w:val="24"/>
          <w:lang w:val="en-GB"/>
        </w:rPr>
        <w:t>Derechos</w:t>
      </w:r>
      <w:proofErr w:type="spellEnd"/>
      <w:r w:rsidRPr="009B7423">
        <w:rPr>
          <w:b/>
          <w:sz w:val="24"/>
          <w:szCs w:val="24"/>
          <w:lang w:val="en-GB"/>
        </w:rPr>
        <w:t xml:space="preserve"> </w:t>
      </w:r>
      <w:proofErr w:type="spellStart"/>
      <w:r w:rsidRPr="009B7423">
        <w:rPr>
          <w:b/>
          <w:sz w:val="24"/>
          <w:szCs w:val="24"/>
          <w:lang w:val="en-GB"/>
        </w:rPr>
        <w:t>Humanos</w:t>
      </w:r>
      <w:proofErr w:type="spellEnd"/>
    </w:p>
    <w:p w14:paraId="0CAB07F8" w14:textId="77777777" w:rsidR="00EE6D7E" w:rsidRPr="009B7423" w:rsidRDefault="00EE6D7E" w:rsidP="009B7423">
      <w:pPr>
        <w:rPr>
          <w:b/>
          <w:lang w:val="en-GB"/>
        </w:rPr>
      </w:pPr>
      <w:r w:rsidRPr="009B7423">
        <w:rPr>
          <w:b/>
          <w:lang w:val="en-GB"/>
        </w:rPr>
        <w:t xml:space="preserve">41º </w:t>
      </w:r>
      <w:proofErr w:type="spellStart"/>
      <w:r w:rsidRPr="009B7423">
        <w:rPr>
          <w:b/>
          <w:lang w:val="en-GB"/>
        </w:rPr>
        <w:t>período</w:t>
      </w:r>
      <w:proofErr w:type="spellEnd"/>
      <w:r w:rsidRPr="009B7423">
        <w:rPr>
          <w:b/>
          <w:lang w:val="en-GB"/>
        </w:rPr>
        <w:t xml:space="preserve"> de </w:t>
      </w:r>
      <w:proofErr w:type="spellStart"/>
      <w:r w:rsidRPr="009B7423">
        <w:rPr>
          <w:b/>
          <w:lang w:val="en-GB"/>
        </w:rPr>
        <w:t>sesiones</w:t>
      </w:r>
      <w:proofErr w:type="spellEnd"/>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r w:rsidR="00EE6D7E" w:rsidRPr="00666C0C">
        <w:t>Informe de la Alta Comisionada de las Naciones Unidas para los Derechos Humanos sobre la situación de los derechos humanos en la República Bolivariana de Venezuela</w:t>
      </w:r>
      <w:r w:rsidR="000A2208" w:rsidRPr="000A2208">
        <w:rPr>
          <w:rStyle w:val="Refdenotaalpie"/>
          <w:b w:val="0"/>
          <w:sz w:val="20"/>
          <w:vertAlign w:val="baseline"/>
        </w:rPr>
        <w:footnoteReference w:customMarkFollows="1" w:id="2"/>
        <w:t>*</w:t>
      </w:r>
    </w:p>
    <w:tbl>
      <w:tblPr>
        <w:tblStyle w:val="Tablaconcuadrcula"/>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Refdenotaalpi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Refdenotaalpi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Refdenotaalpie"/>
        </w:rPr>
        <w:footnoteReference w:id="5"/>
      </w:r>
      <w:r w:rsidRPr="008528EE">
        <w:t>. Además, celebró 159 reuniones con una amplia variedad de partes interesadas, incluyendo actores estatales</w:t>
      </w:r>
      <w:r w:rsidR="00E96B41">
        <w:rPr>
          <w:rStyle w:val="Refdenotaalpi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 xml:space="preserve">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w:t>
      </w:r>
      <w:r w:rsidRPr="008528EE">
        <w:lastRenderedPageBreak/>
        <w:t>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Refdenotaalpi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Refdenotaalpi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xml:space="preserve">, y los entrevistados dijeron que comían una vez, o como </w:t>
      </w:r>
      <w:r w:rsidRPr="000C4A68">
        <w:lastRenderedPageBreak/>
        <w:t>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Refdenotaalpi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Refdenotaalpi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Refdenotaalpi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Refdenotaalpi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Refdenotaalpi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Refdenotaalpie"/>
        </w:rPr>
        <w:footnoteReference w:id="14"/>
      </w:r>
      <w:r w:rsidRPr="004B43D0">
        <w:t xml:space="preserve">. Otras causas principales de mortalidad materna son la falta de personal cualificado para atender el parto, la falta de suministros </w:t>
      </w:r>
      <w:r w:rsidRPr="004B43D0">
        <w:lastRenderedPageBreak/>
        <w:t>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Refdenotaalpi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Refdenotaalpi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Refdenotaalpi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Refdenotaalpi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Refdenotaalpi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w:t>
      </w:r>
      <w:r w:rsidRPr="00C85E81">
        <w:lastRenderedPageBreak/>
        <w:t>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Refdenotaalpie"/>
        </w:rPr>
        <w:footnoteReference w:id="20"/>
      </w:r>
      <w:r w:rsidR="00C449FC" w:rsidRPr="00C449FC">
        <w:t>.</w:t>
      </w:r>
      <w:r w:rsidRPr="00C449FC">
        <w:t xml:space="preserve"> Hasta la fecha un país ha impuesto sanciones sectoriales más amplias a partir del 29 de agosto de 2017</w:t>
      </w:r>
      <w:r w:rsidR="002920DC">
        <w:rPr>
          <w:rStyle w:val="Refdenotaalpi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Refdenotaalpi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proofErr w:type="spellStart"/>
      <w:r w:rsidR="003157BA" w:rsidRPr="00DC693F">
        <w:t>over-compliance</w:t>
      </w:r>
      <w:proofErr w:type="spellEnd"/>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Refdenotaalpi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w:t>
      </w:r>
      <w:r w:rsidRPr="006A2B25">
        <w:lastRenderedPageBreak/>
        <w:t xml:space="preserve">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Refdenotaalpi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Refdenotaalpi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r>
      <w:proofErr w:type="spellStart"/>
      <w:r w:rsidR="00FF7D6A" w:rsidRPr="00501A89">
        <w:rPr>
          <w:lang w:val="en-GB"/>
        </w:rPr>
        <w:t>Instituciones</w:t>
      </w:r>
      <w:proofErr w:type="spellEnd"/>
      <w:r w:rsidR="00FF7D6A" w:rsidRPr="00501A89">
        <w:rPr>
          <w:lang w:val="en-GB"/>
        </w:rPr>
        <w:t xml:space="preserve"> y </w:t>
      </w:r>
      <w:proofErr w:type="spellStart"/>
      <w:r w:rsidR="00FF7D6A" w:rsidRPr="00501A89">
        <w:rPr>
          <w:lang w:val="en-GB"/>
        </w:rPr>
        <w:t>medidas</w:t>
      </w:r>
      <w:proofErr w:type="spellEnd"/>
      <w:r w:rsidR="00FF7D6A" w:rsidRPr="00501A89">
        <w:rPr>
          <w:lang w:val="en-GB"/>
        </w:rPr>
        <w:t xml:space="preserve"> de </w:t>
      </w:r>
      <w:proofErr w:type="spellStart"/>
      <w:r w:rsidR="00FF7D6A" w:rsidRPr="00501A89">
        <w:rPr>
          <w:lang w:val="en-GB"/>
        </w:rPr>
        <w:t>seguridad</w:t>
      </w:r>
      <w:proofErr w:type="spellEnd"/>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Refdenotaalpi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w:t>
      </w:r>
      <w:proofErr w:type="spellStart"/>
      <w:r w:rsidRPr="00501A89">
        <w:t>UBChs</w:t>
      </w:r>
      <w:proofErr w:type="spellEnd"/>
      <w:r w:rsidRPr="00501A89">
        <w:t>),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Refdenotaalpi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 xml:space="preserve">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w:t>
      </w:r>
      <w:r w:rsidRPr="00501A89">
        <w:lastRenderedPageBreak/>
        <w:t>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Refdenotaalpi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 xml:space="preserve">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w:t>
      </w:r>
      <w:proofErr w:type="spellStart"/>
      <w:r w:rsidRPr="00CF444D">
        <w:t>ONGs</w:t>
      </w:r>
      <w:proofErr w:type="spellEnd"/>
      <w:r w:rsidRPr="00CF444D">
        <w:t xml:space="preserve"> para representar a víctimas de violaciones de los derechos humanos</w:t>
      </w:r>
      <w:r w:rsidR="00843AD9">
        <w:rPr>
          <w:rStyle w:val="Refdenotaalpi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Refdenotaalpi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 xml:space="preserve">Los ataques contra familiares de opositores/as políticos/as son parte de la represión selectiva. El ACNUDH documentó un número creciente de detenciones arbitrarias de familiares, particularmente de mujeres, de presuntos opositores políticos. Sin tener acceso a </w:t>
      </w:r>
      <w:r w:rsidRPr="00CF444D">
        <w:lastRenderedPageBreak/>
        <w:t>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Refdenotaalpi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Refdenotaalpi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Refdenotaalpie"/>
        </w:rPr>
        <w:footnoteReference w:id="33"/>
      </w:r>
      <w:r w:rsidR="00E377F8">
        <w:t>.</w:t>
      </w:r>
      <w:r w:rsidRPr="00B84E32">
        <w:t xml:space="preserve"> Sin embargo, OVCS registró 14 muertes en el contexto de manifestaciones en </w:t>
      </w:r>
      <w:r w:rsidR="00B84E32" w:rsidRPr="00B84E32">
        <w:t>2018</w:t>
      </w:r>
      <w:r w:rsidR="00325C5F">
        <w:rPr>
          <w:rStyle w:val="Refdenotaalpi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Refdenotaalpi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Refdenotaalpi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 xml:space="preserve">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w:t>
      </w:r>
      <w:r w:rsidRPr="008D1185">
        <w:lastRenderedPageBreak/>
        <w:t>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 xml:space="preserve">El ACNUDH documentó casos de violencia sexual y de género contra mujeres y niñas durante su detención, en particular por efectivos del SEBIN y de la </w:t>
      </w:r>
      <w:proofErr w:type="gramStart"/>
      <w:r w:rsidRPr="008D1185">
        <w:t>DGCIM</w:t>
      </w:r>
      <w:proofErr w:type="gramEnd"/>
      <w:r w:rsidRPr="008D1185">
        <w:t xml:space="preserve">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Refdenotaalpi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w:t>
      </w:r>
      <w:r w:rsidR="005255BA">
        <w:lastRenderedPageBreak/>
        <w:t xml:space="preserve">homicidio. </w:t>
      </w:r>
      <w:r w:rsidR="009C0D37">
        <w:t>Sin embargo, en el contexto de estas operaciones de seguridad</w:t>
      </w:r>
      <w:r w:rsidR="00C150AA">
        <w:rPr>
          <w:rStyle w:val="Refdenotaalpi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Refdenotaalpi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w:t>
      </w:r>
      <w:proofErr w:type="spellStart"/>
      <w:r w:rsidR="00FF7D6A" w:rsidRPr="00966257">
        <w:t>ONGs</w:t>
      </w:r>
      <w:proofErr w:type="spellEnd"/>
      <w:r w:rsidR="00FF7D6A" w:rsidRPr="00966257">
        <w:t xml:space="preserve">, las FAES </w:t>
      </w:r>
      <w:r w:rsidR="00CF2219">
        <w:t>son responsables de</w:t>
      </w:r>
      <w:r w:rsidR="00FF7D6A" w:rsidRPr="00966257">
        <w:t xml:space="preserve"> centenares de muertes </w:t>
      </w:r>
      <w:r w:rsidR="00966257" w:rsidRPr="00966257">
        <w:t>violentas</w:t>
      </w:r>
      <w:r w:rsidR="00E22294">
        <w:rPr>
          <w:rStyle w:val="Refdenotaalpi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Refdenotaalpi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Refdenotaalpi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Refdenotaalpie"/>
        </w:rPr>
        <w:footnoteReference w:id="43"/>
      </w:r>
      <w:r w:rsidR="0011779E" w:rsidRPr="00966257">
        <w:t>.</w:t>
      </w:r>
      <w:r w:rsidRPr="00966257">
        <w:t xml:space="preserve"> El OVV informó de al menos 2.124 de esas muertes entre enero y mayo de 2019</w:t>
      </w:r>
      <w:r w:rsidR="00CC7D12">
        <w:rPr>
          <w:rStyle w:val="Refdenotaalpi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 xml:space="preserve">Además, el ACNUDH documentó los casos de seis hombres jóvenes ejecutados por las FAES en represalia por su papel en las protestas antigubernamentales en 2019. Estas </w:t>
      </w:r>
      <w:r w:rsidRPr="00966257">
        <w:lastRenderedPageBreak/>
        <w:t>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Refdenotaalpi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lastRenderedPageBreak/>
        <w:t>Casi dos años después de su creación, la Comisión para la Verdad, la Justicia, la Paz y la Tranquilidad Pública no ha publicado su informe sobre la violencia política que tuvo lugar entre 1999 y 2017</w:t>
      </w:r>
      <w:r w:rsidR="001B26AA">
        <w:rPr>
          <w:rStyle w:val="Refdenotaalpi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Refdenotaalpi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Refdenotaalpi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Refdenotaalpi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 xml:space="preserve">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w:t>
      </w:r>
      <w:proofErr w:type="spellStart"/>
      <w:r w:rsidRPr="00FB7CC2">
        <w:t>Pemón</w:t>
      </w:r>
      <w:proofErr w:type="spellEnd"/>
      <w:r w:rsidRPr="00FB7CC2">
        <w:t xml:space="preserve">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 xml:space="preserve">En febrero de 2019, se produjeron incidentes violentos en el territorio </w:t>
      </w:r>
      <w:proofErr w:type="spellStart"/>
      <w:r w:rsidRPr="00FB7CC2">
        <w:t>pemón</w:t>
      </w:r>
      <w:proofErr w:type="spellEnd"/>
      <w:r w:rsidRPr="00FB7CC2">
        <w:t xml:space="preserve"> en el contexto de la posible entrada de ayuda desde el cercano Brasil. Sin embargo, no se </w:t>
      </w:r>
      <w:r w:rsidRPr="00FB7CC2">
        <w:lastRenderedPageBreak/>
        <w:t xml:space="preserve">produjeron de forma aislada, sino en medio de la tensión entre el Gobierno y la comunidad </w:t>
      </w:r>
      <w:proofErr w:type="spellStart"/>
      <w:r w:rsidRPr="00FB7CC2">
        <w:t>pemón</w:t>
      </w:r>
      <w:proofErr w:type="spellEnd"/>
      <w:r w:rsidRPr="00FB7CC2">
        <w:t>,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 xml:space="preserve">El 22 febrero, unos soldados abrieron fuego contra miembros de la comunidad </w:t>
      </w:r>
      <w:proofErr w:type="spellStart"/>
      <w:r w:rsidRPr="00FB7CC2">
        <w:t>pemón</w:t>
      </w:r>
      <w:proofErr w:type="spellEnd"/>
      <w:r w:rsidRPr="00FB7CC2">
        <w:t xml:space="preserve"> de </w:t>
      </w:r>
      <w:proofErr w:type="spellStart"/>
      <w:r w:rsidRPr="00FB7CC2">
        <w:t>Kumaracapay</w:t>
      </w:r>
      <w:proofErr w:type="spellEnd"/>
      <w:r w:rsidRPr="00FB7CC2">
        <w:t xml:space="preserve">, a tres de los cuales mataron y a 12 hirieron. Durante estos eventos, cuatro soldados fueron retenidos por los/as </w:t>
      </w:r>
      <w:proofErr w:type="spellStart"/>
      <w:r w:rsidRPr="00FB7CC2">
        <w:t>pemones</w:t>
      </w:r>
      <w:proofErr w:type="spellEnd"/>
      <w:r w:rsidRPr="00FB7CC2">
        <w:t>,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 xml:space="preserve">Durante esos hechos, fuerzas militares tomaron el control del aeropuerto de la comunidad </w:t>
      </w:r>
      <w:proofErr w:type="spellStart"/>
      <w:r w:rsidRPr="00FB7CC2">
        <w:t>pemón</w:t>
      </w:r>
      <w:proofErr w:type="spellEnd"/>
      <w:r w:rsidRPr="00FB7CC2">
        <w:t xml:space="preserve"> de </w:t>
      </w:r>
      <w:proofErr w:type="spellStart"/>
      <w:r w:rsidRPr="00FB7CC2">
        <w:t>Maurak</w:t>
      </w:r>
      <w:proofErr w:type="spellEnd"/>
      <w:r w:rsidRPr="00FB7CC2">
        <w:t xml:space="preserve">, que hasta entonces estaba bajo control indígena. </w:t>
      </w:r>
      <w:proofErr w:type="spellStart"/>
      <w:r w:rsidRPr="00FB7CC2">
        <w:t>Maurak</w:t>
      </w:r>
      <w:proofErr w:type="spellEnd"/>
      <w:r w:rsidRPr="00FB7CC2">
        <w:t xml:space="preserve">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w:t>
      </w:r>
      <w:proofErr w:type="spellStart"/>
      <w:r w:rsidRPr="00FB7CC2">
        <w:t>pemones</w:t>
      </w:r>
      <w:proofErr w:type="spellEnd"/>
      <w:r w:rsidRPr="00FB7CC2">
        <w:t xml:space="preserve"> a huir al </w:t>
      </w:r>
      <w:r w:rsidR="00FB7CC2" w:rsidRPr="00FB7CC2">
        <w:t>Brasil</w:t>
      </w:r>
      <w:r w:rsidR="00DD7653">
        <w:rPr>
          <w:rStyle w:val="Refdenotaalpi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w:t>
      </w:r>
      <w:proofErr w:type="spellStart"/>
      <w:r w:rsidRPr="00FB7CC2">
        <w:t>pemones</w:t>
      </w:r>
      <w:proofErr w:type="spellEnd"/>
      <w:r w:rsidRPr="00FB7CC2">
        <w:t>,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Refdenotaalpi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Refdenotaalpi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 xml:space="preserve">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w:t>
      </w:r>
      <w:r w:rsidRPr="00656C62">
        <w:lastRenderedPageBreak/>
        <w:t>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 xml:space="preserve">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w:t>
      </w:r>
      <w:proofErr w:type="spellStart"/>
      <w:r w:rsidRPr="00656C62">
        <w:t>hipersexualizados</w:t>
      </w:r>
      <w:proofErr w:type="spellEnd"/>
      <w:r w:rsidRPr="00656C62">
        <w:t>,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Refdenotaalpi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lastRenderedPageBreak/>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 xml:space="preserve">Los pueblos indígenas venezolanos son objeto de graves violaciones de sus derechos individuales y colectivos. Al ACNUDH le preocupan especialmente los informes de amenazas y actos de violencia contra autoridades y dirigentes indígenas y la represión selectiva de los/as </w:t>
      </w:r>
      <w:proofErr w:type="spellStart"/>
      <w:r w:rsidRPr="008E436D">
        <w:t>pemones</w:t>
      </w:r>
      <w:proofErr w:type="spellEnd"/>
      <w:r w:rsidRPr="008E436D">
        <w:t xml:space="preserve">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 xml:space="preserve">Cese toda intimidación y ataques contra los pueblos indígenas, incluidos/as sus líderes y lideresas, y garantice su protección y adopte todas las medidas </w:t>
      </w:r>
      <w:r w:rsidR="00FF7D6A" w:rsidRPr="008C05D7">
        <w:rPr>
          <w:b/>
        </w:rPr>
        <w:lastRenderedPageBreak/>
        <w:t>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 xml:space="preserve">Solicitar al ACNUDH que se centre en garantizar la rendición de cuentas por las violaciones de los derechos humanos y los abusos en Venezuela, en particular mediante </w:t>
      </w:r>
      <w:r w:rsidRPr="008C05D7">
        <w:rPr>
          <w:b/>
        </w:rPr>
        <w:lastRenderedPageBreak/>
        <w:t>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E788" w14:textId="77777777" w:rsidR="001C3399" w:rsidRDefault="001C3399"/>
  </w:endnote>
  <w:endnote w:type="continuationSeparator" w:id="0">
    <w:p w14:paraId="00F282CD" w14:textId="77777777" w:rsidR="001C3399" w:rsidRDefault="001C3399"/>
  </w:endnote>
  <w:endnote w:type="continuationNotice" w:id="1">
    <w:p w14:paraId="337D1E78" w14:textId="77777777" w:rsidR="001C3399" w:rsidRDefault="001C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D9B4" w14:textId="288C31CD" w:rsidR="009C0D37" w:rsidRPr="001D74C8" w:rsidRDefault="009C0D37" w:rsidP="001D74C8">
    <w:pPr>
      <w:pStyle w:val="Piedepgina"/>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964CC2">
      <w:rPr>
        <w:b/>
        <w:noProof/>
        <w:sz w:val="18"/>
      </w:rPr>
      <w:t>18</w:t>
    </w:r>
    <w:r w:rsidRPr="001D74C8">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4344" w14:textId="63655BF7" w:rsidR="009C0D37" w:rsidRPr="001D74C8" w:rsidRDefault="009C0D37" w:rsidP="001D74C8">
    <w:pPr>
      <w:pStyle w:val="Piedepgina"/>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964CC2">
      <w:rPr>
        <w:b/>
        <w:noProof/>
        <w:sz w:val="18"/>
      </w:rPr>
      <w:t>17</w:t>
    </w:r>
    <w:r w:rsidRPr="001D74C8">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E16C" w14:textId="77777777" w:rsidR="001C3399" w:rsidRPr="000B175B" w:rsidRDefault="001C3399" w:rsidP="000B175B">
      <w:pPr>
        <w:tabs>
          <w:tab w:val="right" w:pos="2155"/>
        </w:tabs>
        <w:spacing w:after="80"/>
        <w:ind w:left="680"/>
        <w:rPr>
          <w:u w:val="single"/>
        </w:rPr>
      </w:pPr>
      <w:r>
        <w:rPr>
          <w:u w:val="single"/>
        </w:rPr>
        <w:tab/>
      </w:r>
    </w:p>
  </w:footnote>
  <w:footnote w:type="continuationSeparator" w:id="0">
    <w:p w14:paraId="7B71F2B2" w14:textId="77777777" w:rsidR="001C3399" w:rsidRPr="00FC68B7" w:rsidRDefault="001C3399" w:rsidP="00FC68B7">
      <w:pPr>
        <w:tabs>
          <w:tab w:val="left" w:pos="2155"/>
        </w:tabs>
        <w:spacing w:after="80"/>
        <w:ind w:left="680"/>
        <w:rPr>
          <w:u w:val="single"/>
        </w:rPr>
      </w:pPr>
      <w:r>
        <w:rPr>
          <w:u w:val="single"/>
        </w:rPr>
        <w:tab/>
      </w:r>
    </w:p>
  </w:footnote>
  <w:footnote w:type="continuationNotice" w:id="1">
    <w:p w14:paraId="7474A916" w14:textId="77777777" w:rsidR="001C3399" w:rsidRDefault="001C3399"/>
  </w:footnote>
  <w:footnote w:id="2">
    <w:p w14:paraId="7DA0488D" w14:textId="00D560AF" w:rsidR="009C0D37" w:rsidRPr="0008535B" w:rsidRDefault="009C0D37" w:rsidP="000A2208">
      <w:pPr>
        <w:pStyle w:val="Textonotapie"/>
        <w:rPr>
          <w:lang w:val="es-MX"/>
        </w:rPr>
      </w:pPr>
      <w:r w:rsidRPr="0008535B">
        <w:rPr>
          <w:rStyle w:val="Refdenotaalpie"/>
          <w:vertAlign w:val="baseline"/>
          <w:lang w:val="es-MX"/>
        </w:rPr>
        <w:tab/>
        <w:t>*</w:t>
      </w:r>
      <w:r w:rsidRPr="0008535B">
        <w:rPr>
          <w:rStyle w:val="Refdenotaalpi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Textonotapie"/>
        <w:rPr>
          <w:lang w:val="es-ES"/>
        </w:rPr>
      </w:pPr>
      <w:r w:rsidRPr="00AF32EE">
        <w:rPr>
          <w:lang w:val="es-ES"/>
        </w:rPr>
        <w:tab/>
      </w:r>
      <w:r>
        <w:rPr>
          <w:rStyle w:val="Refdenotaalpie"/>
        </w:rPr>
        <w:footnoteRef/>
      </w:r>
      <w:r w:rsidR="003617D2">
        <w:rPr>
          <w:lang w:val="es-ES"/>
        </w:rPr>
        <w:tab/>
        <w:t>A/HRC/RES/39/1.</w:t>
      </w:r>
    </w:p>
  </w:footnote>
  <w:footnote w:id="4">
    <w:p w14:paraId="777B0453" w14:textId="7F145B75" w:rsidR="00A871B4" w:rsidRPr="00A871B4" w:rsidRDefault="00A871B4" w:rsidP="002046AD">
      <w:pPr>
        <w:pStyle w:val="Textonotapie"/>
        <w:rPr>
          <w:lang w:val="es-ES"/>
        </w:rPr>
      </w:pPr>
      <w:r w:rsidRPr="008A4DF9">
        <w:rPr>
          <w:lang w:val="es-ES"/>
        </w:rPr>
        <w:tab/>
      </w:r>
      <w:r>
        <w:rPr>
          <w:rStyle w:val="Refdenotaalpi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Textonotapie"/>
        <w:rPr>
          <w:lang w:val="es-ES"/>
        </w:rPr>
      </w:pPr>
      <w:r w:rsidRPr="008A4DF9">
        <w:rPr>
          <w:lang w:val="es-ES"/>
        </w:rPr>
        <w:tab/>
      </w:r>
      <w:r>
        <w:rPr>
          <w:rStyle w:val="Refdenotaalpi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Textonotapie"/>
        <w:rPr>
          <w:lang w:val="es-ES"/>
        </w:rPr>
      </w:pPr>
      <w:r w:rsidRPr="008A4DF9">
        <w:rPr>
          <w:lang w:val="es-ES"/>
        </w:rPr>
        <w:tab/>
      </w:r>
      <w:r>
        <w:rPr>
          <w:rStyle w:val="Refdenotaalpi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Textonotapie"/>
        <w:rPr>
          <w:lang w:val="es-ES"/>
        </w:rPr>
      </w:pPr>
      <w:r w:rsidRPr="008A4DF9">
        <w:rPr>
          <w:lang w:val="es-ES"/>
        </w:rPr>
        <w:tab/>
      </w:r>
      <w:r>
        <w:rPr>
          <w:rStyle w:val="Refdenotaalpi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Textonotapie"/>
        <w:rPr>
          <w:lang w:val="es-ES"/>
        </w:rPr>
      </w:pPr>
      <w:r w:rsidRPr="008A4DF9">
        <w:rPr>
          <w:lang w:val="es-ES"/>
        </w:rPr>
        <w:tab/>
      </w:r>
      <w:r>
        <w:rPr>
          <w:rStyle w:val="Refdenotaalpi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Textonotapie"/>
        <w:rPr>
          <w:lang w:val="es-ES"/>
        </w:rPr>
      </w:pPr>
      <w:r w:rsidRPr="008A4DF9">
        <w:rPr>
          <w:lang w:val="es-ES"/>
        </w:rPr>
        <w:tab/>
      </w:r>
      <w:r>
        <w:rPr>
          <w:rStyle w:val="Refdenotaalpi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r>
        <w:rPr>
          <w:lang w:val="es-MX"/>
        </w:rPr>
        <w:t>io-Septiembre</w:t>
      </w:r>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Textonotapie"/>
        <w:rPr>
          <w:lang w:val="es-ES"/>
        </w:rPr>
      </w:pPr>
      <w:r w:rsidRPr="004854CC">
        <w:rPr>
          <w:lang w:val="es-ES"/>
        </w:rPr>
        <w:tab/>
      </w:r>
      <w:r>
        <w:rPr>
          <w:rStyle w:val="Refdenotaalpi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ipervnculo"/>
            <w:lang w:val="es-MX"/>
          </w:rPr>
          <w:t>www.mavidcarabobo.org.ve</w:t>
        </w:r>
      </w:hyperlink>
      <w:r w:rsidRPr="006473D7">
        <w:rPr>
          <w:rStyle w:val="Hipervnculo"/>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Textonotapie"/>
        <w:rPr>
          <w:lang w:val="es-ES"/>
        </w:rPr>
      </w:pPr>
      <w:r w:rsidRPr="008A4DF9">
        <w:rPr>
          <w:lang w:val="es-ES"/>
        </w:rPr>
        <w:tab/>
      </w:r>
      <w:r>
        <w:rPr>
          <w:rStyle w:val="Refdenotaalpi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ipervnculo"/>
            <w:lang w:val="es-ES"/>
          </w:rPr>
          <w:t>www.paho.org</w:t>
        </w:r>
      </w:hyperlink>
      <w:r>
        <w:rPr>
          <w:rStyle w:val="Hipervnculo"/>
          <w:lang w:val="es-ES"/>
        </w:rPr>
        <w:t>.</w:t>
      </w:r>
      <w:r w:rsidRPr="00143BCF">
        <w:rPr>
          <w:lang w:val="es-ES"/>
        </w:rPr>
        <w:t xml:space="preserve"> </w:t>
      </w:r>
    </w:p>
  </w:footnote>
  <w:footnote w:id="12">
    <w:p w14:paraId="350D9E2E" w14:textId="01FA2395" w:rsidR="001516F8" w:rsidRPr="001516F8" w:rsidRDefault="001516F8" w:rsidP="002046AD">
      <w:pPr>
        <w:pStyle w:val="Textonotapie"/>
        <w:rPr>
          <w:lang w:val="es-ES"/>
        </w:rPr>
      </w:pPr>
      <w:r w:rsidRPr="008A4DF9">
        <w:rPr>
          <w:lang w:val="es-ES"/>
        </w:rPr>
        <w:tab/>
      </w:r>
      <w:r>
        <w:rPr>
          <w:rStyle w:val="Refdenotaalpie"/>
        </w:rPr>
        <w:footnoteRef/>
      </w:r>
      <w:r w:rsidRPr="001516F8">
        <w:rPr>
          <w:lang w:val="es-ES"/>
        </w:rPr>
        <w:tab/>
      </w:r>
      <w:r>
        <w:rPr>
          <w:lang w:val="es-MX"/>
        </w:rPr>
        <w:t>Magdymar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Textonotapie"/>
        <w:rPr>
          <w:lang w:val="es-ES"/>
        </w:rPr>
      </w:pPr>
      <w:r w:rsidRPr="008A4DF9">
        <w:rPr>
          <w:lang w:val="es-ES"/>
        </w:rPr>
        <w:tab/>
      </w:r>
      <w:r>
        <w:rPr>
          <w:rStyle w:val="Refdenotaalpi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Textonotapie"/>
        <w:rPr>
          <w:lang w:val="es-ES"/>
        </w:rPr>
      </w:pPr>
      <w:r w:rsidRPr="008A4DF9">
        <w:rPr>
          <w:lang w:val="es-ES"/>
        </w:rPr>
        <w:tab/>
      </w:r>
      <w:r>
        <w:rPr>
          <w:rStyle w:val="Refdenotaalpie"/>
        </w:rPr>
        <w:footnoteRef/>
      </w:r>
      <w:r w:rsidRPr="008A4DF9">
        <w:rPr>
          <w:lang w:val="es-ES"/>
        </w:rPr>
        <w:tab/>
      </w:r>
      <w:hyperlink r:id="rId3" w:history="1">
        <w:r w:rsidRPr="008A4DF9">
          <w:rPr>
            <w:rStyle w:val="Hipervnculo"/>
            <w:lang w:val="es-ES"/>
          </w:rPr>
          <w:t>www.unfpa.org/maternal-health</w:t>
        </w:r>
      </w:hyperlink>
      <w:r w:rsidRPr="008A4DF9">
        <w:rPr>
          <w:rStyle w:val="Hipervnculo"/>
          <w:lang w:val="es-ES"/>
        </w:rPr>
        <w:t xml:space="preserve">. </w:t>
      </w:r>
      <w:r>
        <w:rPr>
          <w:rStyle w:val="Hipervnculo"/>
          <w:lang w:val="es-MX"/>
        </w:rPr>
        <w:t>Ver también</w:t>
      </w:r>
      <w:r w:rsidRPr="008A7202">
        <w:rPr>
          <w:rStyle w:val="Hipervnculo"/>
          <w:lang w:val="es-MX"/>
        </w:rPr>
        <w:t>:</w:t>
      </w:r>
      <w:r w:rsidRPr="00DC1B94">
        <w:rPr>
          <w:rStyle w:val="Hipervnculo"/>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Textonotapie"/>
        <w:rPr>
          <w:lang w:val="es-ES"/>
        </w:rPr>
      </w:pPr>
      <w:r w:rsidRPr="008A4DF9">
        <w:rPr>
          <w:lang w:val="es-ES"/>
        </w:rPr>
        <w:tab/>
      </w:r>
      <w:r>
        <w:rPr>
          <w:rStyle w:val="Refdenotaalpi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Textonotapie"/>
        <w:rPr>
          <w:lang w:val="es-ES"/>
        </w:rPr>
      </w:pPr>
      <w:r w:rsidRPr="008A4DF9">
        <w:rPr>
          <w:lang w:val="es-ES"/>
        </w:rPr>
        <w:tab/>
      </w:r>
      <w:r>
        <w:rPr>
          <w:rStyle w:val="Refdenotaalpi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Textonotapie"/>
        <w:rPr>
          <w:lang w:val="es-ES"/>
        </w:rPr>
      </w:pPr>
      <w:r w:rsidRPr="008A4DF9">
        <w:rPr>
          <w:lang w:val="es-ES"/>
        </w:rPr>
        <w:tab/>
      </w:r>
      <w:r>
        <w:rPr>
          <w:rStyle w:val="Refdenotaalpi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Textonotapie"/>
        <w:rPr>
          <w:lang w:val="es-ES"/>
        </w:rPr>
      </w:pPr>
      <w:r w:rsidRPr="008A4DF9">
        <w:rPr>
          <w:lang w:val="es-ES"/>
        </w:rPr>
        <w:tab/>
      </w:r>
      <w:r>
        <w:rPr>
          <w:rStyle w:val="Refdenotaalpi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Textonotapie"/>
        <w:rPr>
          <w:lang w:val="es-MX"/>
        </w:rPr>
      </w:pPr>
      <w:r w:rsidRPr="008A4DF9">
        <w:rPr>
          <w:lang w:val="es-ES"/>
        </w:rPr>
        <w:tab/>
      </w:r>
      <w:r>
        <w:rPr>
          <w:rStyle w:val="Refdenotaalpi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Textonotapie"/>
        <w:rPr>
          <w:lang w:val="es-ES"/>
        </w:rPr>
      </w:pPr>
      <w:r w:rsidRPr="008A4DF9">
        <w:rPr>
          <w:lang w:val="es-ES"/>
        </w:rPr>
        <w:tab/>
      </w:r>
      <w:r>
        <w:rPr>
          <w:rStyle w:val="Refdenotaalpi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Textonotapie"/>
        <w:rPr>
          <w:lang w:val="es-ES"/>
        </w:rPr>
      </w:pPr>
      <w:r w:rsidRPr="008A4DF9">
        <w:rPr>
          <w:lang w:val="es-ES"/>
        </w:rPr>
        <w:tab/>
      </w:r>
      <w:r>
        <w:rPr>
          <w:rStyle w:val="Refdenotaalpi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Textonotapie"/>
        <w:rPr>
          <w:lang w:val="es-MX"/>
        </w:rPr>
      </w:pPr>
      <w:r w:rsidRPr="008A4DF9">
        <w:rPr>
          <w:lang w:val="es-ES"/>
        </w:rPr>
        <w:tab/>
      </w:r>
      <w:r>
        <w:rPr>
          <w:rStyle w:val="Refdenotaalpi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Textonotapie"/>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Textonotapie"/>
        <w:rPr>
          <w:lang w:val="es-ES"/>
        </w:rPr>
      </w:pPr>
      <w:r w:rsidRPr="008A4DF9">
        <w:rPr>
          <w:lang w:val="es-MX"/>
        </w:rPr>
        <w:tab/>
      </w:r>
      <w:r>
        <w:rPr>
          <w:rStyle w:val="Refdenotaalpie"/>
        </w:rPr>
        <w:footnoteRef/>
      </w:r>
      <w:r w:rsidRPr="00025B1D">
        <w:rPr>
          <w:lang w:val="es-ES"/>
        </w:rPr>
        <w:tab/>
        <w:t xml:space="preserve">La Lista </w:t>
      </w:r>
      <w:proofErr w:type="spellStart"/>
      <w:r w:rsidRPr="00025B1D">
        <w:rPr>
          <w:i/>
          <w:lang w:val="es-ES"/>
        </w:rPr>
        <w:t>Tascón</w:t>
      </w:r>
      <w:proofErr w:type="spellEnd"/>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Textonotapie"/>
        <w:rPr>
          <w:lang w:val="es-ES"/>
        </w:rPr>
      </w:pPr>
      <w:r w:rsidRPr="008A4DF9">
        <w:rPr>
          <w:lang w:val="es-ES"/>
        </w:rPr>
        <w:tab/>
      </w:r>
      <w:r>
        <w:rPr>
          <w:rStyle w:val="Refdenotaalpi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Textonotapie"/>
        <w:rPr>
          <w:lang w:val="es-ES"/>
        </w:rPr>
      </w:pPr>
      <w:r w:rsidRPr="008A4DF9">
        <w:rPr>
          <w:lang w:val="es-ES"/>
        </w:rPr>
        <w:tab/>
      </w:r>
      <w:r>
        <w:rPr>
          <w:rStyle w:val="Refdenotaalpi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Textonotapie"/>
        <w:rPr>
          <w:lang w:val="es-ES"/>
        </w:rPr>
      </w:pPr>
      <w:r w:rsidRPr="008A4DF9">
        <w:rPr>
          <w:lang w:val="es-ES"/>
        </w:rPr>
        <w:tab/>
      </w:r>
      <w:r>
        <w:rPr>
          <w:rStyle w:val="Refdenotaalpi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Textonotapie"/>
        <w:rPr>
          <w:lang w:val="es-ES"/>
        </w:rPr>
      </w:pPr>
      <w:r w:rsidRPr="008A4DF9">
        <w:rPr>
          <w:lang w:val="es-ES"/>
        </w:rPr>
        <w:tab/>
      </w:r>
      <w:r>
        <w:rPr>
          <w:rStyle w:val="Refdenotaalpi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Textonotapie"/>
        <w:rPr>
          <w:lang w:val="es-ES"/>
        </w:rPr>
      </w:pPr>
      <w:r w:rsidRPr="008A4DF9">
        <w:rPr>
          <w:lang w:val="es-ES"/>
        </w:rPr>
        <w:tab/>
      </w:r>
      <w:r>
        <w:rPr>
          <w:rStyle w:val="Refdenotaalpi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Textonotapie"/>
        <w:rPr>
          <w:szCs w:val="24"/>
          <w:lang w:val="es-ES"/>
        </w:rPr>
      </w:pPr>
      <w:r w:rsidRPr="008A4DF9">
        <w:rPr>
          <w:lang w:val="es-ES"/>
        </w:rPr>
        <w:tab/>
      </w:r>
      <w:r>
        <w:rPr>
          <w:rStyle w:val="Refdenotaalpi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Textonotapie"/>
        <w:rPr>
          <w:lang w:val="es-ES"/>
        </w:rPr>
      </w:pPr>
      <w:r w:rsidRPr="008A4DF9">
        <w:rPr>
          <w:rStyle w:val="Hipervnculo"/>
          <w:lang w:val="es-ES"/>
        </w:rPr>
        <w:tab/>
      </w:r>
      <w:r w:rsidRPr="008A4DF9">
        <w:rPr>
          <w:rStyle w:val="Hipervnculo"/>
          <w:lang w:val="es-ES"/>
        </w:rPr>
        <w:tab/>
        <w:t>http://www.observatoriodeconflictos.org.ve/</w:t>
      </w:r>
      <w:r w:rsidR="00E377F8">
        <w:rPr>
          <w:rStyle w:val="Hipervnculo"/>
          <w:lang w:val="es-ES"/>
        </w:rPr>
        <w:t>.</w:t>
      </w:r>
    </w:p>
  </w:footnote>
  <w:footnote w:id="33">
    <w:p w14:paraId="380388A4" w14:textId="6B148D2F" w:rsidR="00325C5F" w:rsidRPr="00325C5F" w:rsidRDefault="00325C5F" w:rsidP="002046AD">
      <w:pPr>
        <w:pStyle w:val="Textonotapie"/>
        <w:rPr>
          <w:lang w:val="es-ES"/>
        </w:rPr>
      </w:pPr>
      <w:r w:rsidRPr="008A4DF9">
        <w:rPr>
          <w:lang w:val="es-ES"/>
        </w:rPr>
        <w:tab/>
      </w:r>
      <w:r>
        <w:rPr>
          <w:rStyle w:val="Refdenotaalpi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Textonotapie"/>
        <w:rPr>
          <w:szCs w:val="24"/>
          <w:lang w:val="es-ES"/>
        </w:rPr>
      </w:pPr>
      <w:r w:rsidRPr="008A4DF9">
        <w:rPr>
          <w:lang w:val="es-ES"/>
        </w:rPr>
        <w:tab/>
      </w:r>
      <w:r>
        <w:rPr>
          <w:rStyle w:val="Refdenotaalpi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Textonotapie"/>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Textonotapie"/>
        <w:rPr>
          <w:lang w:val="es-ES"/>
        </w:rPr>
      </w:pPr>
      <w:r w:rsidRPr="008A4DF9">
        <w:rPr>
          <w:lang w:val="es-ES"/>
        </w:rPr>
        <w:tab/>
      </w:r>
      <w:r>
        <w:rPr>
          <w:rStyle w:val="Refdenotaalpi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Textonotapie"/>
        <w:rPr>
          <w:lang w:val="es-ES"/>
        </w:rPr>
      </w:pPr>
      <w:r w:rsidRPr="008A4DF9">
        <w:rPr>
          <w:lang w:val="es-ES"/>
        </w:rPr>
        <w:tab/>
      </w:r>
      <w:r>
        <w:rPr>
          <w:rStyle w:val="Refdenotaalpi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Textonotapie"/>
        <w:rPr>
          <w:lang w:val="es-ES"/>
        </w:rPr>
      </w:pPr>
      <w:r w:rsidRPr="008A4DF9">
        <w:rPr>
          <w:lang w:val="es-ES"/>
        </w:rPr>
        <w:tab/>
      </w:r>
      <w:r>
        <w:rPr>
          <w:rStyle w:val="Refdenotaalpi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Textonotapie"/>
        <w:rPr>
          <w:lang w:val="es-ES"/>
        </w:rPr>
      </w:pPr>
      <w:r w:rsidRPr="008A4DF9">
        <w:rPr>
          <w:lang w:val="es-ES"/>
        </w:rPr>
        <w:tab/>
      </w:r>
      <w:r>
        <w:rPr>
          <w:rStyle w:val="Refdenotaalpi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Textonotapie"/>
        <w:rPr>
          <w:lang w:val="es-ES"/>
        </w:rPr>
      </w:pPr>
      <w:r w:rsidRPr="008A4DF9">
        <w:rPr>
          <w:lang w:val="es-ES"/>
        </w:rPr>
        <w:tab/>
      </w:r>
      <w:r>
        <w:rPr>
          <w:rStyle w:val="Refdenotaalpi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Textonotapie"/>
        <w:rPr>
          <w:lang w:val="es-ES"/>
        </w:rPr>
      </w:pPr>
      <w:r w:rsidRPr="008A4DF9">
        <w:rPr>
          <w:lang w:val="es-ES"/>
        </w:rPr>
        <w:tab/>
      </w:r>
      <w:r>
        <w:rPr>
          <w:rStyle w:val="Refdenotaalpi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Textonotapie"/>
        <w:rPr>
          <w:lang w:val="es-ES"/>
        </w:rPr>
      </w:pPr>
      <w:r w:rsidRPr="008A4DF9">
        <w:rPr>
          <w:lang w:val="es-ES"/>
        </w:rPr>
        <w:tab/>
      </w:r>
      <w:r>
        <w:rPr>
          <w:rStyle w:val="Refdenotaalpi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Textonotapie"/>
        <w:rPr>
          <w:lang w:val="es-ES"/>
        </w:rPr>
      </w:pPr>
      <w:r w:rsidRPr="008A4DF9">
        <w:rPr>
          <w:lang w:val="es-ES"/>
        </w:rPr>
        <w:tab/>
      </w:r>
      <w:r>
        <w:rPr>
          <w:rStyle w:val="Refdenotaalpi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Textonotapie"/>
        <w:rPr>
          <w:lang w:val="es-ES"/>
        </w:rPr>
      </w:pPr>
      <w:r w:rsidRPr="008A4DF9">
        <w:rPr>
          <w:lang w:val="es-ES"/>
        </w:rPr>
        <w:tab/>
      </w:r>
      <w:r>
        <w:rPr>
          <w:rStyle w:val="Refdenotaalpi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Textonotapie"/>
        <w:rPr>
          <w:lang w:val="es-ES"/>
        </w:rPr>
      </w:pPr>
      <w:r w:rsidRPr="008A4DF9">
        <w:rPr>
          <w:lang w:val="es-ES"/>
        </w:rPr>
        <w:tab/>
      </w:r>
      <w:r>
        <w:rPr>
          <w:rStyle w:val="Refdenotaalpi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Textonotapie"/>
        <w:rPr>
          <w:lang w:val="es-ES"/>
        </w:rPr>
      </w:pPr>
      <w:r w:rsidRPr="008A4DF9">
        <w:rPr>
          <w:lang w:val="es-ES"/>
        </w:rPr>
        <w:tab/>
      </w:r>
      <w:r>
        <w:rPr>
          <w:rStyle w:val="Refdenotaalpi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Textonotapie"/>
        <w:rPr>
          <w:lang w:val="es-ES"/>
        </w:rPr>
      </w:pPr>
      <w:r w:rsidRPr="008A4DF9">
        <w:rPr>
          <w:lang w:val="es-ES"/>
        </w:rPr>
        <w:tab/>
      </w:r>
      <w:r>
        <w:rPr>
          <w:rStyle w:val="Refdenotaalpi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Textonotapie"/>
        <w:rPr>
          <w:lang w:val="es-ES"/>
        </w:rPr>
      </w:pPr>
      <w:r w:rsidRPr="008A4DF9">
        <w:rPr>
          <w:lang w:val="es-ES"/>
        </w:rPr>
        <w:tab/>
      </w:r>
      <w:r>
        <w:rPr>
          <w:rStyle w:val="Refdenotaalpi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Textonotapie"/>
        <w:rPr>
          <w:lang w:val="es-ES"/>
        </w:rPr>
      </w:pPr>
      <w:r w:rsidRPr="008A4DF9">
        <w:rPr>
          <w:lang w:val="es-ES"/>
        </w:rPr>
        <w:tab/>
      </w:r>
      <w:r>
        <w:rPr>
          <w:rStyle w:val="Refdenotaalpie"/>
        </w:rPr>
        <w:footnoteRef/>
      </w:r>
      <w:r w:rsidRPr="008A4DF9">
        <w:rPr>
          <w:lang w:val="es-ES"/>
        </w:rPr>
        <w:tab/>
      </w:r>
      <w:hyperlink r:id="rId5" w:history="1">
        <w:r w:rsidRPr="008A4DF9">
          <w:rPr>
            <w:rStyle w:val="Hipervnculo"/>
            <w:lang w:val="es-ES"/>
          </w:rPr>
          <w:t>https://r4v.info/en/situations/platform</w:t>
        </w:r>
      </w:hyperlink>
    </w:p>
  </w:footnote>
  <w:footnote w:id="52">
    <w:p w14:paraId="64EDD2AE" w14:textId="66F1BA12" w:rsidR="001045E3" w:rsidRPr="001045E3" w:rsidRDefault="001045E3" w:rsidP="002046AD">
      <w:pPr>
        <w:pStyle w:val="Textonotapie"/>
        <w:rPr>
          <w:lang w:val="es-ES"/>
        </w:rPr>
      </w:pPr>
      <w:r w:rsidRPr="008A4DF9">
        <w:rPr>
          <w:lang w:val="es-ES"/>
        </w:rPr>
        <w:tab/>
      </w:r>
      <w:r>
        <w:rPr>
          <w:rStyle w:val="Refdenotaalpi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Textonotapie"/>
        <w:rPr>
          <w:lang w:val="es-MX"/>
        </w:rPr>
      </w:pPr>
      <w:r w:rsidRPr="008A4DF9">
        <w:rPr>
          <w:lang w:val="es-ES"/>
        </w:rPr>
        <w:tab/>
      </w:r>
      <w:r>
        <w:rPr>
          <w:rStyle w:val="Refdenotaalpi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D07F" w14:textId="2BCABB99" w:rsidR="009C0D37" w:rsidRPr="001D74C8" w:rsidRDefault="00681A86">
    <w:pPr>
      <w:pStyle w:val="Encabezado"/>
    </w:pPr>
    <w:fldSimple w:instr=" TITLE  \* MERGEFORMAT ">
      <w:r w:rsidR="00575D02">
        <w:t>A/HRC/41/18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8736" w14:textId="5A5239DC" w:rsidR="009C0D37" w:rsidRPr="001D74C8" w:rsidRDefault="00681A86" w:rsidP="001D74C8">
    <w:pPr>
      <w:pStyle w:val="Encabezado"/>
      <w:jc w:val="right"/>
    </w:pPr>
    <w:fldSimple w:instr=" TITLE  \* MERGEFORMAT ">
      <w:r w:rsidR="00575D02">
        <w:t>A/HRC/41/18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3399"/>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A6BD5"/>
    <w:rsid w:val="002B3DF2"/>
    <w:rsid w:val="002C0119"/>
    <w:rsid w:val="002C0E28"/>
    <w:rsid w:val="002C21F0"/>
    <w:rsid w:val="002C31B3"/>
    <w:rsid w:val="002C41D6"/>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4CC2"/>
    <w:rsid w:val="009654B7"/>
    <w:rsid w:val="00966257"/>
    <w:rsid w:val="009778B8"/>
    <w:rsid w:val="00987836"/>
    <w:rsid w:val="00991261"/>
    <w:rsid w:val="00994605"/>
    <w:rsid w:val="00995C43"/>
    <w:rsid w:val="009A0B83"/>
    <w:rsid w:val="009B3800"/>
    <w:rsid w:val="009B7423"/>
    <w:rsid w:val="009C0D37"/>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semiHidden/>
    <w:qFormat/>
    <w:rsid w:val="002C0119"/>
    <w:pPr>
      <w:spacing w:line="240" w:lineRule="auto"/>
      <w:outlineLvl w:val="1"/>
    </w:pPr>
    <w:rPr>
      <w:lang w:val="en-GB"/>
    </w:rPr>
  </w:style>
  <w:style w:type="paragraph" w:styleId="Ttulo3">
    <w:name w:val="heading 3"/>
    <w:basedOn w:val="Normal"/>
    <w:next w:val="Normal"/>
    <w:semiHidden/>
    <w:qFormat/>
    <w:rsid w:val="002C0119"/>
    <w:pPr>
      <w:spacing w:line="240" w:lineRule="auto"/>
      <w:outlineLvl w:val="2"/>
    </w:pPr>
    <w:rPr>
      <w:lang w:val="en-GB"/>
    </w:rPr>
  </w:style>
  <w:style w:type="paragraph" w:styleId="Ttulo4">
    <w:name w:val="heading 4"/>
    <w:basedOn w:val="Normal"/>
    <w:next w:val="Normal"/>
    <w:semiHidden/>
    <w:qFormat/>
    <w:rsid w:val="002C0119"/>
    <w:pPr>
      <w:spacing w:line="240" w:lineRule="auto"/>
      <w:outlineLvl w:val="3"/>
    </w:pPr>
    <w:rPr>
      <w:lang w:val="en-GB"/>
    </w:rPr>
  </w:style>
  <w:style w:type="paragraph" w:styleId="Ttulo5">
    <w:name w:val="heading 5"/>
    <w:basedOn w:val="Normal"/>
    <w:next w:val="Normal"/>
    <w:semiHidden/>
    <w:qFormat/>
    <w:rsid w:val="002C0119"/>
    <w:pPr>
      <w:spacing w:line="240" w:lineRule="auto"/>
      <w:outlineLvl w:val="4"/>
    </w:pPr>
    <w:rPr>
      <w:lang w:val="en-GB"/>
    </w:rPr>
  </w:style>
  <w:style w:type="paragraph" w:styleId="Ttulo6">
    <w:name w:val="heading 6"/>
    <w:basedOn w:val="Normal"/>
    <w:next w:val="Normal"/>
    <w:semiHidden/>
    <w:qFormat/>
    <w:rsid w:val="002C0119"/>
    <w:pPr>
      <w:spacing w:line="240" w:lineRule="auto"/>
      <w:outlineLvl w:val="5"/>
    </w:pPr>
    <w:rPr>
      <w:lang w:val="en-GB"/>
    </w:rPr>
  </w:style>
  <w:style w:type="paragraph" w:styleId="Ttulo7">
    <w:name w:val="heading 7"/>
    <w:basedOn w:val="Normal"/>
    <w:next w:val="Normal"/>
    <w:semiHidden/>
    <w:qFormat/>
    <w:rsid w:val="002C0119"/>
    <w:pPr>
      <w:spacing w:line="240" w:lineRule="auto"/>
      <w:outlineLvl w:val="6"/>
    </w:pPr>
    <w:rPr>
      <w:lang w:val="en-GB"/>
    </w:rPr>
  </w:style>
  <w:style w:type="paragraph" w:styleId="Ttulo8">
    <w:name w:val="heading 8"/>
    <w:basedOn w:val="Normal"/>
    <w:next w:val="Normal"/>
    <w:semiHidden/>
    <w:qFormat/>
    <w:rsid w:val="002C0119"/>
    <w:pPr>
      <w:spacing w:line="240" w:lineRule="auto"/>
      <w:outlineLvl w:val="7"/>
    </w:pPr>
    <w:rPr>
      <w:lang w:val="en-GB"/>
    </w:rPr>
  </w:style>
  <w:style w:type="paragraph" w:styleId="Ttulo9">
    <w:name w:val="heading 9"/>
    <w:basedOn w:val="Normal"/>
    <w:next w:val="Normal"/>
    <w:semiHidden/>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basedOn w:val="Fuentedeprrafopredeter"/>
    <w:qFormat/>
    <w:rsid w:val="002C0119"/>
    <w:rPr>
      <w:rFonts w:ascii="Times New Roman" w:hAnsi="Times New Roman"/>
      <w:sz w:val="18"/>
      <w:vertAlign w:val="superscript"/>
    </w:rPr>
  </w:style>
  <w:style w:type="character" w:styleId="Refdenotaalfinal">
    <w:name w:val="endnote reference"/>
    <w:aliases w:val="1_G"/>
    <w:basedOn w:val="Refdenotaalpie"/>
    <w:qFormat/>
    <w:rsid w:val="002C0119"/>
    <w:rPr>
      <w:rFonts w:ascii="Times New Roman" w:hAnsi="Times New Roman"/>
      <w:sz w:val="18"/>
      <w:vertAlign w:val="superscript"/>
    </w:rPr>
  </w:style>
  <w:style w:type="paragraph" w:styleId="Encabezado">
    <w:name w:val="header"/>
    <w:aliases w:val="6_G"/>
    <w:basedOn w:val="Normal"/>
    <w:qFormat/>
    <w:rsid w:val="002C0119"/>
    <w:pPr>
      <w:pBdr>
        <w:bottom w:val="single" w:sz="4" w:space="4" w:color="auto"/>
      </w:pBdr>
      <w:spacing w:line="240" w:lineRule="auto"/>
    </w:pPr>
    <w:rPr>
      <w:b/>
      <w:sz w:val="18"/>
      <w:lang w:val="en-GB"/>
    </w:rPr>
  </w:style>
  <w:style w:type="table" w:styleId="Tablaconcuadrcula">
    <w:name w:val="Table Grid"/>
    <w:basedOn w:val="Tablanormal"/>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ipervnculo">
    <w:name w:val="Hyperlink"/>
    <w:basedOn w:val="Fuentedeprrafopredeter"/>
    <w:uiPriority w:val="99"/>
    <w:rsid w:val="006301B4"/>
    <w:rPr>
      <w:color w:val="auto"/>
      <w:u w:val="none"/>
    </w:rPr>
  </w:style>
  <w:style w:type="character" w:styleId="Hipervnculovisitado">
    <w:name w:val="FollowedHyperlink"/>
    <w:basedOn w:val="Fuentedeprrafopredeter"/>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Footnote reference"/>
    <w:basedOn w:val="Normal"/>
    <w:link w:val="TextonotapieCar"/>
    <w:uiPriority w:val="99"/>
    <w:qFormat/>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qFormat/>
    <w:rsid w:val="002C0119"/>
  </w:style>
  <w:style w:type="character" w:styleId="Nmerodepgina">
    <w:name w:val="page number"/>
    <w:aliases w:val="7_G"/>
    <w:basedOn w:val="Fuentedeprrafopredeter"/>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Piedepgina">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uiPriority w:val="99"/>
    <w:semiHidden/>
    <w:rsid w:val="00C817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Prrafodelista">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
    <w:basedOn w:val="Fuentedeprrafopredeter"/>
    <w:link w:val="Textonotapie"/>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4" Type="http://schemas.openxmlformats.org/officeDocument/2006/relationships/hyperlink" Target="http://www.oveprisiones.com/desnutricion-enfermedades-y-violencia-mataron-a-46-presos-en-el-1er-trimestre-2019/" TargetMode="External"/><Relationship Id="rId5" Type="http://schemas.openxmlformats.org/officeDocument/2006/relationships/hyperlink" Target="https://r4v.info/en/situations/platform" TargetMode="External"/><Relationship Id="rId1" Type="http://schemas.openxmlformats.org/officeDocument/2006/relationships/hyperlink" Target="http://www.mavidcarabobo.org.ve" TargetMode="External"/><Relationship Id="rId2" Type="http://schemas.openxmlformats.org/officeDocument/2006/relationships/hyperlink" Target="http://www.pah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5F8A-6C81-4140-9F31-76B67B0E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1D300-D5AC-4E21-BD8D-F9B369D4E3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4.xml><?xml version="1.0" encoding="utf-8"?>
<ds:datastoreItem xmlns:ds="http://schemas.openxmlformats.org/officeDocument/2006/customXml" ds:itemID="{E438CA21-06F2-8842-8568-E632D47C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C:\UN-Docs2017\Templates\A\A_S.dotm</Template>
  <TotalTime>1</TotalTime>
  <Pages>18</Pages>
  <Words>9312</Words>
  <Characters>51222</Characters>
  <Application>Microsoft Macintosh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A/HRC/41/18</vt:lpstr>
      <vt:lpstr/>
    </vt:vector>
  </TitlesOfParts>
  <Company>CSD</Company>
  <LinksUpToDate>false</LinksUpToDate>
  <CharactersWithSpaces>60414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Luisa Nuccio</cp:lastModifiedBy>
  <cp:revision>2</cp:revision>
  <cp:lastPrinted>2019-07-04T13:42:00Z</cp:lastPrinted>
  <dcterms:created xsi:type="dcterms:W3CDTF">2019-07-07T14:40:00Z</dcterms:created>
  <dcterms:modified xsi:type="dcterms:W3CDTF">2019-07-07T14:40:00Z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